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 xml:space="preserve">few-shot</w:t>
      </w:r>
      <w:r>
        <w:t xml:space="preserve"> aporta +11,1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 xml:space="preserve">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 xml:space="preserve">few-shot</w:t>
      </w:r>
      <w:r>
        <w:t xml:space="preserve"> examples yields +11.1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 xml:space="preserve">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BodyText"/>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0"/>
        <w:tblLook w:firstRow="1"/>
      </w:tblPr>
      <w:tblGrid>
        <w:gridCol w:w="2092"/>
        <w:gridCol w:w="2964"/>
        <w:gridCol w:w="1394"/>
        <w:gridCol w:w="670"/>
        <w:gridCol w:w="1046"/>
        <w:gridCol w:w="672"/>
      </w:tblGrid>
      <w:tr>
        <w:trPr>
          <w:cnfStyle w:firstRow="1"/>
        </w:trPr>
        <w:tc>
          <w:tcPr>
            <w:tcW w:type="dxa" w:w="2092"/>
            <w:tcBorders>
              <w:bottom w:val="single"/>
            </w:tcBorders>
            <w:vAlign w:val="bottom"/>
          </w:tcPr>
          <w:p>
            <w:pPr>
              <w:pStyle w:val="Compact"/>
              <w:jc w:val="left"/>
            </w:pPr>
            <w:r>
              <w:rPr>
                <w:b/>
              </w:rPr>
              <w:t>Trabajo</w:t>
            </w:r>
          </w:p>
        </w:tc>
        <w:tc>
          <w:tcPr>
            <w:tcW w:type="dxa" w:w="2964"/>
            <w:tcBorders>
              <w:bottom w:val="single"/>
            </w:tcBorders>
            <w:vAlign w:val="bottom"/>
          </w:tcPr>
          <w:p>
            <w:pPr>
              <w:pStyle w:val="Compact"/>
              <w:jc w:val="left"/>
            </w:pPr>
            <w:r>
              <w:rPr>
                <w:b/>
              </w:rPr>
              <w:t>Dataset</w:t>
            </w:r>
          </w:p>
        </w:tc>
        <w:tc>
          <w:tcPr>
            <w:tcW w:type="dxa" w:w="1394"/>
            <w:tcBorders>
              <w:bottom w:val="single"/>
            </w:tcBorders>
            <w:vAlign w:val="bottom"/>
          </w:tcPr>
          <w:p>
            <w:pPr>
              <w:pStyle w:val="Compact"/>
              <w:jc w:val="left"/>
            </w:pPr>
            <w:r>
              <w:rPr>
                <w:b/>
              </w:rPr>
              <w:t>Modelo</w:t>
            </w:r>
          </w:p>
        </w:tc>
        <w:tc>
          <w:tcPr>
            <w:tcW w:type="dxa" w:w="670"/>
            <w:tcBorders>
              <w:bottom w:val="single"/>
            </w:tcBorders>
            <w:vAlign w:val="bottom"/>
          </w:tcPr>
          <w:p>
            <w:pPr>
              <w:pStyle w:val="Compact"/>
              <w:jc w:val="center"/>
            </w:pPr>
            <w:r>
              <w:rPr>
                <w:b/>
              </w:rPr>
              <w:t>F1</w:t>
            </w:r>
          </w:p>
        </w:tc>
        <w:tc>
          <w:tcPr>
            <w:tcW w:type="dxa" w:w="1046"/>
            <w:tcBorders>
              <w:bottom w:val="single"/>
            </w:tcBorders>
            <w:vAlign w:val="bottom"/>
          </w:tcPr>
          <w:p>
            <w:pPr>
              <w:pStyle w:val="Compact"/>
              <w:jc w:val="center"/>
            </w:pPr>
            <w:r>
              <w:rPr>
                <w:b/>
              </w:rPr>
              <w:t>Privacidad</w:t>
            </w:r>
          </w:p>
        </w:tc>
        <w:tc>
          <w:tcPr>
            <w:tcW w:type="dxa" w:w="672"/>
            <w:tcBorders>
              <w:bottom w:val="single"/>
            </w:tcBorders>
            <w:vAlign w:val="bottom"/>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BodyText"/>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BodyText"/>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BodyText"/>
      </w:pPr>
      <w:r>
        <w:t xml:space="preserve">El tercer criterio, operar sobre hardware de consumo, obliga a cuantizar a 4 bits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BodyText"/>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BodyText"/>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BodyText"/>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BodyText"/>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BodyText"/>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BodyText"/>
      </w:pPr>
      <w:r>
        <w:t>Los tres ejemplos empleados en la configuración few-shot en español cubren un caso de persona sancionada, uno de organización y uno de mención ambigua; se reproducen íntegros en el Anexo B.</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4. Métricas de Evaluación</w:t>
      </w:r>
    </w:p>
    <w:tbl>
      <w:tblPr>
        <w:tblStyle w:val="Table"/>
        <w:tblW w:type="pct" w:w="5000.0"/>
        <w:tblLook w:firstRow="1"/>
      </w:tblPr>
      <w:tblGrid>
        <w:gridCol w:w="3059"/>
        <w:gridCol w:w="5779"/>
      </w:tblGrid>
      <w:tr>
        <w:trPr>
          <w:cnfStyle w:firstRow="1"/>
        </w:trPr>
        <w:tc>
          <w:tcPr>
            <w:tcW w:type="dxa" w:w="3059"/>
            <w:tcBorders>
              <w:bottom w:val="single"/>
            </w:tcBorders>
            <w:vAlign w:val="bottom"/>
          </w:tcPr>
          <w:p>
            <w:pPr>
              <w:pStyle w:val="Compact"/>
              <w:jc w:val="left"/>
            </w:pPr>
            <w:r>
              <w:rPr>
                <w:b/>
              </w:rPr>
              <w:t>Métrica</w:t>
            </w:r>
          </w:p>
        </w:tc>
        <w:tc>
          <w:tcPr>
            <w:tcW w:type="dxa" w:w="5779"/>
            <w:tcBorders>
              <w:bottom w:val="single"/>
            </w:tcBorders>
            <w:vAlign w:val="bottom"/>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BodyText"/>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5. Benchmark General — 12 Modelos en 13 Configuraciones sobre Kleptotrace/CoNLL-2002 (N=15)</w:t>
      </w:r>
    </w:p>
    <w:tbl>
      <w:tblPr>
        <w:tblStyle w:val="Table"/>
        <w:tblW w:type="pct" w:w="5000.0"/>
        <w:tblLook w:firstRow="1"/>
      </w:tblPr>
      <w:tblGrid>
        <w:gridCol w:w="1991"/>
        <w:gridCol w:w="668"/>
        <w:gridCol w:w="948"/>
        <w:gridCol w:w="668"/>
        <w:gridCol w:w="853"/>
        <w:gridCol w:w="668"/>
        <w:gridCol w:w="1232"/>
        <w:gridCol w:w="1137"/>
        <w:gridCol w:w="673"/>
      </w:tblGrid>
      <w:tr>
        <w:trPr>
          <w:cnfStyle w:firstRow="1"/>
        </w:trPr>
        <w:tc>
          <w:tcPr>
            <w:tcW w:type="dxa" w:w="1991"/>
            <w:tcBorders>
              <w:bottom w:val="single"/>
            </w:tcBorders>
            <w:vAlign w:val="bottom"/>
          </w:tcPr>
          <w:p>
            <w:pPr>
              <w:pStyle w:val="Compact"/>
              <w:jc w:val="left"/>
            </w:pPr>
            <w:r>
              <w:rPr>
                <w:b/>
              </w:rPr>
              <w:t>Modelo</w:t>
            </w:r>
          </w:p>
        </w:tc>
        <w:tc>
          <w:tcPr>
            <w:tcW w:type="dxa" w:w="668"/>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668"/>
            <w:tcBorders>
              <w:bottom w:val="single"/>
            </w:tcBorders>
            <w:vAlign w:val="bottom"/>
          </w:tcPr>
          <w:p>
            <w:pPr>
              <w:pStyle w:val="Compact"/>
              <w:jc w:val="center"/>
            </w:pPr>
            <w:r>
              <w:rPr>
                <w:b/>
              </w:rPr>
              <w:t>F1</w:t>
            </w:r>
          </w:p>
        </w:tc>
        <w:tc>
          <w:tcPr>
            <w:tcW w:type="dxa" w:w="853"/>
            <w:tcBorders>
              <w:bottom w:val="single"/>
            </w:tcBorders>
            <w:vAlign w:val="bottom"/>
          </w:tcPr>
          <w:p>
            <w:pPr>
              <w:pStyle w:val="Compact"/>
              <w:jc w:val="center"/>
            </w:pPr>
            <w:r>
              <w:rPr>
                <w:b/>
              </w:rPr>
              <w:t>Precisión</w:t>
            </w:r>
          </w:p>
        </w:tc>
        <w:tc>
          <w:tcPr>
            <w:tcW w:type="dxa" w:w="668"/>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673"/>
            <w:tcBorders>
              <w:bottom w:val="single"/>
            </w:tcBorders>
            <w:vAlign w:val="bottom"/>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6. Análisis de Variantes de Prompts (gemma4:latest, N=15)</w:t>
      </w:r>
    </w:p>
    <w:tbl>
      <w:tblPr>
        <w:tblStyle w:val="Table"/>
        <w:tblW w:type="pct" w:w="5000.0"/>
        <w:tblLook w:firstRow="1"/>
      </w:tblPr>
      <w:tblGrid>
        <w:gridCol w:w="2687"/>
        <w:gridCol w:w="686"/>
        <w:gridCol w:w="895"/>
        <w:gridCol w:w="686"/>
        <w:gridCol w:w="1293"/>
        <w:gridCol w:w="1194"/>
        <w:gridCol w:w="1397"/>
      </w:tblGrid>
      <w:tr>
        <w:trPr>
          <w:cnfStyle w:firstRow="1"/>
        </w:trPr>
        <w:tc>
          <w:tcPr>
            <w:tcW w:type="dxa" w:w="2687"/>
            <w:tcBorders>
              <w:bottom w:val="single"/>
            </w:tcBorders>
            <w:vAlign w:val="bottom"/>
          </w:tcPr>
          <w:p>
            <w:pPr>
              <w:pStyle w:val="Compact"/>
              <w:jc w:val="left"/>
            </w:pPr>
            <w:r>
              <w:rPr>
                <w:b/>
              </w:rPr>
              <w:t>Configuración</w:t>
            </w:r>
          </w:p>
        </w:tc>
        <w:tc>
          <w:tcPr>
            <w:tcW w:type="dxa" w:w="686"/>
            <w:tcBorders>
              <w:bottom w:val="single"/>
            </w:tcBorders>
            <w:vAlign w:val="bottom"/>
          </w:tcPr>
          <w:p>
            <w:pPr>
              <w:pStyle w:val="Compact"/>
              <w:jc w:val="left"/>
            </w:pPr>
            <w:r>
              <w:rPr>
                <w:b/>
              </w:rPr>
              <w:t>F1</w:t>
            </w:r>
          </w:p>
        </w:tc>
        <w:tc>
          <w:tcPr>
            <w:tcW w:type="dxa" w:w="895"/>
            <w:tcBorders>
              <w:bottom w:val="single"/>
            </w:tcBorders>
            <w:vAlign w:val="bottom"/>
          </w:tcPr>
          <w:p>
            <w:pPr>
              <w:pStyle w:val="Compact"/>
              <w:jc w:val="left"/>
            </w:pPr>
            <w:r>
              <w:rPr>
                <w:b/>
              </w:rPr>
              <w:t>Precisión</w:t>
            </w:r>
          </w:p>
        </w:tc>
        <w:tc>
          <w:tcPr>
            <w:tcW w:type="dxa" w:w="686"/>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7. Validación Estadística sobre el Corpus del Dominio (N=30)</w:t>
      </w:r>
    </w:p>
    <w:tbl>
      <w:tblPr>
        <w:tblStyle w:val="Table"/>
        <w:tblW w:type="pct" w:w="5000.0"/>
        <w:tblLook w:firstRow="1"/>
      </w:tblPr>
      <w:tblGrid>
        <w:gridCol w:w="2028"/>
        <w:gridCol w:w="1014"/>
        <w:gridCol w:w="1303"/>
        <w:gridCol w:w="1014"/>
        <w:gridCol w:w="2607"/>
        <w:gridCol w:w="872"/>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607"/>
            <w:tcBorders>
              <w:bottom w:val="single"/>
            </w:tcBorders>
            <w:vAlign w:val="bottom"/>
          </w:tcPr>
          <w:p>
            <w:pPr>
              <w:pStyle w:val="Compact"/>
              <w:jc w:val="center"/>
            </w:pPr>
            <w:r>
              <w:rPr>
                <w:b/>
              </w:rPr>
              <w:t>IC 95 % del F1</w:t>
            </w:r>
          </w:p>
        </w:tc>
        <w:tc>
          <w:tcPr>
            <w:tcW w:type="dxa" w:w="872"/>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8. Validación Estadística sobre Corpus Real N=120 (estudio completo)</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172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w:t>
      </w:r>
    </w:p>
    <w:p>
      <w:pPr>
        <w:numPr>
          <w:ilvl w:val="0"/>
          <w:numId w:val="0"/>
        </w:numPr>
        <w:pStyle w:val="BodyText"/>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—−0,53 y −0,18 puntos en los dos de 31B—, que ya siguen correctamente las instrucciones sin contexto adicional. Diez de los trece modelos mejoran, aunque solo dos lo hagan de manera estadísticamente sólida.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9. Análisis de Eficiencia en Hardware Soberano</w:t>
      </w:r>
    </w:p>
    <w:tbl>
      <w:tblPr>
        <w:tblStyle w:val="Table"/>
        <w:tblW w:type="pct" w:w="5000.0"/>
        <w:tblLook w:firstRow="1"/>
      </w:tblPr>
      <w:tblGrid>
        <w:gridCol w:w="1753"/>
        <w:gridCol w:w="1127"/>
        <w:gridCol w:w="694"/>
        <w:gridCol w:w="1753"/>
        <w:gridCol w:w="1753"/>
        <w:gridCol w:w="1758"/>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694"/>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758"/>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10. Anexo A —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BodyText"/>
      </w:pPr>
      <w:r>
        <w:rPr>
          <w:b/>
        </w:rPr>
        <w:t>Ejemplos few-shot de la configuración FS-ES</w:t>
      </w:r>
      <w:r>
        <w:t xml:space="preserve"> (§4.3):</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BodyText"/>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11. Anexo C —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TableCaption"/>
      </w:pPr>
      <w:r>
        <w:t xml:space="preserve">Tabla 12.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 xml:space="preserve">Tabla 13. Guías Tipológicas de Dominio de la Base de Conocimientos</w:t>
      </w:r>
    </w:p>
    <w:tbl>
      <w:tblPr>
        <w:tblStyle w:val="Table"/>
        <w:tblW w:type="pct" w:w="5000.0"/>
        <w:tblLook w:firstRow="1"/>
      </w:tblPr>
      <w:tblGrid>
        <w:gridCol w:w="2513"/>
        <w:gridCol w:w="2211"/>
        <w:gridCol w:w="693"/>
        <w:gridCol w:w="3421"/>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693"/>
            <w:tcBorders>
              <w:bottom w:val="single"/>
            </w:tcBorders>
            <w:vAlign w:val="bottom"/>
          </w:tcPr>
          <w:p>
            <w:pPr>
              <w:pStyle w:val="Compact"/>
              <w:jc w:val="left"/>
            </w:pPr>
            <w:r>
              <w:rPr>
                <w:b/>
              </w:rPr>
              <w:t>Idioma</w:t>
            </w:r>
          </w:p>
        </w:tc>
        <w:tc>
          <w:tcPr>
            <w:tcW w:type="dxa" w:w="3421"/>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TableCaption"/>
      </w:pPr>
      <w:r>
        <w:t xml:space="preserve">Tabla 14.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 xml:space="preserve">Tabla 15. Reglas de la Base de Conocimientos Contextual</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 xml:space="preserve">Tabla 16. Resultados Completos del Benchmark General (13 Configuraciones, N=15)</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5</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17. H.1 Naturaleza y alcance del defecto</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18. H.2 Alcance medido y consecuencia sobre la comparación</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19. H.3 Evidencia empírica del efecto diferencial</w:t>
      </w:r>
    </w:p>
    <w:tbl>
      <w:tblPr>
        <w:tblStyle w:val="Table"/>
        <w:tblW w:type="pct" w:w="5000.0"/>
        <w:tblLook w:firstRow="1"/>
      </w:tblPr>
      <w:tblGrid>
        <w:gridCol w:w="4499"/>
        <w:gridCol w:w="4339"/>
      </w:tblGrid>
      <w:tr>
        <w:trPr>
          <w:cnfStyle w:firstRow="1"/>
        </w:trPr>
        <w:tc>
          <w:tcPr>
            <w:tcW w:type="dxa" w:w="4499"/>
            <w:tcBorders>
              <w:bottom w:val="single"/>
            </w:tcBorders>
            <w:vAlign w:val="bottom"/>
          </w:tcPr>
          <w:p>
            <w:pPr>
              <w:pStyle w:val="Compact"/>
              <w:jc w:val="left"/>
            </w:pPr>
            <w:r>
              <w:rPr>
                <w:b/>
              </w:rPr>
              <w:t>Modelo</w:t>
            </w:r>
          </w:p>
        </w:tc>
        <w:tc>
          <w:tcPr>
            <w:tcW w:type="dxa" w:w="4339"/>
            <w:tcBorders>
              <w:bottom w:val="single"/>
            </w:tcBorders>
            <w:vAlign w:val="bottom"/>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