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numPr>
          <w:ilvl w:val="0"/>
          <w:numId w:val="0"/>
        </w:numPr>
        <w:pStyle w:val="Ttulo10"/>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ddress"/>
      </w:pPr>
      <w:r>
        <w:t>Austranet — Departamento de Informática, Universidad Técnica Federico Santa María, Valparaíso, Chile</w:t>
      </w:r>
    </w:p>
    <w:p>
      <w:pPr>
        <w:numPr>
          <w:ilvl w:val="0"/>
          <w:numId w:val="0"/>
        </w:numPr>
        <w:pStyle w:val="e-mail"/>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en busca de entidades de riesgo. Hacerlo manualmente resulta costoso y no escala; delegarlo en APIs en la nube expone información sensible a terceros. Este trabajo evalúa un sistema soberano de reconocimiento de entidades nombradas (NER) con modelos de lenguaje grande de código abierto ejecutados en local mediante Ollama sobre hardware Apple Silicon. La validación comparó trece modelos sobre un corpus real de 120 artículos en español, contrastando la extracción directa frente a la generación aumentada por recuperación con base de conocimiento contextual, y evaluó las diferencias mediante ANOVA y pruebas post-hoc de Tukey HSD. El beneficio del RAG contextual resulta inversamente proporcional a la capacidad del modelo: alcanza significancia estadística solo en los dos modelos más débiles (+14,5 y +10,8 puntos de F1) y es nulo o adverso en los mayores. Redactar el prompt en español e incorporar ejemplos </w:t>
      </w:r>
      <w:r>
        <w:rPr>
          <w:i/>
        </w:rPr>
        <w:t>few-shot</w:t>
      </w:r>
      <w:r>
        <w:t xml:space="preserve"> aporta conjuntamente +11,1 puntos sobre el baseline en inglés, mejora que ninguno de los dos factores logra por separado. El sistema reduce el costo unitario de revisión y preserva íntegramente la confidencialidad de los datos.</w:t>
      </w:r>
    </w:p>
    <w:p>
      <w:pPr>
        <w:numPr>
          <w:ilvl w:val="0"/>
          <w:numId w:val="0"/>
        </w:numPr>
        <w:pStyle w:val="keywords"/>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Financial institutions operating under AML and KYC regulatory frameworks face the challenge of monitoring large volumes of unstructured news for risk entities (persons, organizations). Manual execution of this process is costly, slow, and unscalable, while cloud API usage exposes sensitive financial data to third parties, violating data sovereignty. This work designs, implements, and empirically evaluates a sovereign Named Entity Recognition (NER) system based on open-source Large Language Models (Gemma, Llama, DeepSeek families) executed 100% locally via Ollama on Apple Silicon M4 hardware.</w:t>
      </w:r>
    </w:p>
    <w:p>
      <w:pPr>
        <w:numPr>
          <w:ilvl w:val="0"/>
          <w:numId w:val="0"/>
        </w:numPr>
        <w:pStyle w:val="p1a"/>
      </w:pPr>
      <w:r>
        <w:t>The system incorporates a multithreading pub/sub processing architecture with an adaptive concurrency controller (AIMD) and a Factory/Facade layer unifying four model providers. Experimental validation was performed on the real financial sanctions dataset Kleptotrace/CoNLL-2002 (N=15 expert-annotated articles) and a statistically significant corpus of 30 short articles (N=30). The prompt-variant analysis demonstrates that combining Spanish-language localization with few-shot examples yields a +11.1 F1-point improvement over the English zero-shot baseline, and the best evaluated models reach an F1-Score of 80.57% on the domain corpus (N=30) with no failed extractions. The system reduces manual review operational costs by 60–80% while guaranteeing total data privacy.</w:t>
      </w:r>
    </w:p>
    <w:p>
      <w:pPr>
        <w:numPr>
          <w:ilvl w:val="0"/>
          <w:numId w:val="0"/>
        </w:numPr>
        <w:pStyle w:val="keywords"/>
      </w:pPr>
      <w:r>
        <w:rPr>
          <w:b/>
        </w:rPr>
        <w:t>Keywords:</w:t>
      </w:r>
      <w:r>
        <w:t xml:space="preserve"> Named Entity Recognition (NER), Large Language Models (LLM), Regulatory Compliance (AML/KYC), Data Sovereignty, Prompt Engineering.</w:t>
      </w:r>
    </w:p>
    <w:p>
      <w:pPr>
        <w:numPr>
          <w:ilvl w:val="0"/>
          <w:numId w:val="0"/>
        </w:numPr>
        <w:pStyle w:val="heading1"/>
      </w:pPr>
      <w:r>
        <w:t>ÍNDICE DE CONTENIDOS</w:t>
      </w:r>
    </w:p>
    <w:p>
      <w:pPr>
        <w:numPr>
          <w:ilvl w:val="0"/>
          <w:numId w:val="0"/>
        </w:numPr>
        <w:pStyle w:val="numbereditem"/>
      </w:pPr>
      <w:r>
        <w:t>Introducción</w:t>
      </w:r>
    </w:p>
    <w:p>
      <w:pPr>
        <w:numPr>
          <w:ilvl w:val="0"/>
          <w:numId w:val="0"/>
        </w:numPr>
        <w:pStyle w:val="numbereditem"/>
      </w:pPr>
      <w:r>
        <w:t>Marco Teórico y Estado del Arte</w:t>
      </w:r>
    </w:p>
    <w:p>
      <w:pPr>
        <w:numPr>
          <w:ilvl w:val="0"/>
          <w:numId w:val="0"/>
        </w:numPr>
        <w:pStyle w:val="numbereditem"/>
      </w:pPr>
      <w:r>
        <w:t>Descripción del Sistema Propuesto</w:t>
      </w:r>
    </w:p>
    <w:p>
      <w:pPr>
        <w:numPr>
          <w:ilvl w:val="0"/>
          <w:numId w:val="0"/>
        </w:numPr>
        <w:pStyle w:val="numbereditem"/>
      </w:pPr>
      <w:r>
        <w:t>Diseño Experimental</w:t>
      </w:r>
    </w:p>
    <w:p>
      <w:pPr>
        <w:numPr>
          <w:ilvl w:val="0"/>
          <w:numId w:val="0"/>
        </w:numPr>
        <w:pStyle w:val="numbereditem"/>
      </w:pPr>
      <w:r>
        <w:t>Resultados Experimentales</w:t>
      </w:r>
    </w:p>
    <w:p>
      <w:pPr>
        <w:numPr>
          <w:ilvl w:val="0"/>
          <w:numId w:val="0"/>
        </w:numPr>
        <w:pStyle w:val="numbereditem"/>
      </w:pPr>
      <w:r>
        <w:t>Discusión</w:t>
      </w:r>
    </w:p>
    <w:p>
      <w:pPr>
        <w:numPr>
          <w:ilvl w:val="0"/>
          <w:numId w:val="0"/>
        </w:numPr>
        <w:pStyle w:val="numbereditem"/>
      </w:pPr>
      <w:r>
        <w:t>Conclusiones y Trabajo Futuro</w:t>
      </w:r>
    </w:p>
    <w:p>
      <w:pPr>
        <w:numPr>
          <w:ilvl w:val="0"/>
          <w:numId w:val="0"/>
        </w:numPr>
        <w:pStyle w:val="numbereditem"/>
      </w:pPr>
      <w:r>
        <w:t>Referencias Bibliográficas</w:t>
      </w:r>
    </w:p>
    <w:p>
      <w:pPr>
        <w:numPr>
          <w:ilvl w:val="0"/>
          <w:numId w:val="0"/>
        </w:numPr>
        <w:pStyle w:val="numbereditem"/>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p1a"/>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p1a"/>
      </w:pPr>
      <w:r>
        <w:t>El proceso actual en instituciones como Austranet implica la revisión manual de cientos de artículos periodísticos diarios por analistas especializados, un proceso con un costo promedio estimado de USD 8.75 por artículo analizado. A nivel global, según Verified Market Research el mercado de RegTech se valoró en USD 15,68 mil millones en 2020 y se proyecta que alcance USD 87,17 mil millones hacia 2028, con una CAGR del 23,92 % durante 2021-2028, evidenciando la urgencia de soluciones automatizadas y escalables (Verified Market Research, 2022).</w:t>
      </w:r>
    </w:p>
    <w:p>
      <w:pPr>
        <w:numPr>
          <w:ilvl w:val="0"/>
          <w:numId w:val="0"/>
        </w:numPr>
        <w:pStyle w:val="heading2"/>
      </w:pPr>
      <w:r>
        <w:t>1.2 Planteamiento del Problema</w:t>
      </w:r>
    </w:p>
    <w:p>
      <w:pPr>
        <w:numPr>
          <w:ilvl w:val="0"/>
          <w:numId w:val="0"/>
        </w:numPr>
        <w:pStyle w:val="p1a"/>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p1a"/>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w:t>
      </w:r>
      <w:r>
        <w:rPr>
          <w:b/>
        </w:rPr>
        <w:t>sistemas basados en reglas y expresiones regulares</w:t>
      </w:r>
      <w:r>
        <w:t xml:space="preserve"> resultan frágiles ante la variación morfológica del español, donde un mismo nombre admite múltiples formas según la posición, la partícula y la acentuación. Las </w:t>
      </w:r>
      <w:r>
        <w:rPr>
          <w:b/>
        </w:rPr>
        <w:t>APIs comerciales en la nube</w:t>
      </w:r>
      <w:r>
        <w:t xml:space="preserv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alcanzan el mejor desempeño publicado, pero requieren miles de ejemplos etiquetados en el dominio objetivo, inexistentes en español para cumplimiento financiero.</w:t>
      </w:r>
    </w:p>
    <w:p>
      <w:pPr>
        <w:numPr>
          <w:ilvl w:val="0"/>
          <w:numId w:val="0"/>
        </w:numPr>
        <w:pStyle w:val="p1a"/>
      </w:pPr>
      <w:r>
        <w:t xml:space="preserve">La brecha que este trabajo aborda se sitúa precisamente en esa intersección vacía: obtener un desempeño aprovechable </w:t>
      </w:r>
      <w:r>
        <w:rPr>
          <w:b/>
        </w:rPr>
        <w:t>sin datos etiquetados del dominio y sin ceder los datos a un tercero</w:t>
      </w:r>
      <w:r>
        <w:t>.</w:t>
      </w:r>
    </w:p>
    <w:p>
      <w:pPr>
        <w:numPr>
          <w:ilvl w:val="0"/>
          <w:numId w:val="0"/>
        </w:numPr>
        <w:pStyle w:val="heading2"/>
      </w:pPr>
      <w:r>
        <w:t>1.3 Hipótesis de Trabajo</w:t>
      </w:r>
    </w:p>
    <w:p>
      <w:pPr>
        <w:numPr>
          <w:ilvl w:val="0"/>
          <w:numId w:val="0"/>
        </w:numPr>
        <w:pStyle w:val="p1a"/>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p1a"/>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p1a"/>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p1a"/>
      </w:pPr>
      <w:r>
        <w:rPr>
          <w:b/>
        </w:rPr>
        <w:t>Objetivos Específicos:</w:t>
      </w:r>
    </w:p>
    <w:p>
      <w:pPr>
        <w:numPr>
          <w:ilvl w:val="0"/>
          <w:numId w:val="0"/>
        </w:numPr>
        <w:pStyle w:val="numbereditem"/>
      </w:pPr>
      <w:r>
        <w:t>Diseñar e implementar una arquitectura pub/sub multithreading con control adaptativo de concurrencia para la ejecución segura de LLMs de gran escala en hardware Apple Silicon.</w:t>
      </w:r>
    </w:p>
    <w:p>
      <w:pPr>
        <w:numPr>
          <w:ilvl w:val="0"/>
          <w:numId w:val="0"/>
        </w:numPr>
        <w:pStyle w:val="numbereditem"/>
      </w:pPr>
      <w:r>
        <w:t xml:space="preserve">Evaluar y comparar el desempeño de modelos de lenguaje de código abierto generativos (familias Gemma, Llama, DeepSeek, Qwen, Mistral, GPT-OSS, Nemotron) en la tarea de NER sobre corpus de sanciones financieras reales en español: </w:t>
      </w:r>
      <w:r>
        <w:rPr>
          <w:b/>
        </w:rPr>
        <w:t>12 modelos</w:t>
      </w:r>
      <w:r>
        <w:t xml:space="preserve"> en el benchmark exploratorio N=15 (§5.1) y </w:t>
      </w:r>
      <w:r>
        <w:rPr>
          <w:b/>
        </w:rPr>
        <w:t>13 modelos</w:t>
      </w:r>
      <w:r>
        <w:t xml:space="preserve"> en el estudio principal N=120 con KB RAG (§5.3.5).</w:t>
      </w:r>
    </w:p>
    <w:p>
      <w:pPr>
        <w:numPr>
          <w:ilvl w:val="0"/>
          <w:numId w:val="0"/>
        </w:numPr>
        <w:pStyle w:val="numbereditem"/>
      </w:pPr>
      <w:r>
        <w:t xml:space="preserve">Ejecutar una comparación sistemática de cuatro configuraciones de prompt (zero-shot/few-shot × inglés/español) —un diseño factorial 2×2, que la literatura anglosajona de aprendizaje automático denomina </w:t>
      </w:r>
      <w:r>
        <w:rPr>
          <w:i/>
        </w:rPr>
        <w:t>ablation study</w:t>
      </w:r>
      <w:r>
        <w:t>— para cuantificar el impacto de la localización lingüística y el aprendizaje en contexto.</w:t>
      </w:r>
    </w:p>
    <w:p>
      <w:pPr>
        <w:numPr>
          <w:ilvl w:val="0"/>
          <w:numId w:val="0"/>
        </w:numPr>
        <w:pStyle w:val="numbereditem"/>
      </w:pPr>
      <w:r>
        <w:t>Validar estadísticamente los resultados mediante ANOVA de una vía y pruebas post-hoc de Tukey HSD (α=0.05) sobre un corpus estadísticamente significativo (N≥30).</w:t>
      </w:r>
    </w:p>
    <w:p>
      <w:pPr>
        <w:numPr>
          <w:ilvl w:val="0"/>
          <w:numId w:val="0"/>
        </w:numPr>
        <w:pStyle w:val="numbereditem"/>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p1a"/>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p1a"/>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w:t>
      </w:r>
      <w:r>
        <w:rPr>
          <w:b/>
        </w:rPr>
        <w:t>ANOVA de una vía y pruebas post-hoc de Tukey HSD</w:t>
      </w:r>
      <w:r>
        <w:t xml:space="preserve">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p1a"/>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p1a"/>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p1a"/>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y de personas expuestas políticamente [19].</w:t>
      </w:r>
    </w:p>
    <w:p>
      <w:pPr>
        <w:numPr>
          <w:ilvl w:val="0"/>
          <w:numId w:val="0"/>
        </w:numPr>
        <w:pStyle w:val="p1a"/>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p1a"/>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p1a"/>
      </w:pPr>
      <w:r>
        <w:t>Las aproximaciones al problema pueden ordenarse por el tipo de conocimiento que requieren y por el coste de adaptarlas a un dominio nuevo.</w:t>
      </w:r>
    </w:p>
    <w:p>
      <w:pPr>
        <w:numPr>
          <w:ilvl w:val="0"/>
          <w:numId w:val="0"/>
        </w:numPr>
        <w:pStyle w:val="p1a"/>
      </w:pPr>
      <w:r>
        <w:t xml:space="preserve">Los </w:t>
      </w:r>
      <w:r>
        <w:rPr>
          <w:b/>
        </w:rPr>
        <w:t>sistemas basados en reglas y diccionarios</w:t>
      </w:r>
      <w:r>
        <w:t xml:space="preserve">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p1a"/>
      </w:pPr>
      <w:r>
        <w:t xml:space="preserve">Los </w:t>
      </w:r>
      <w:r>
        <w:rPr>
          <w:b/>
        </w:rPr>
        <w:t>Campos Aleatorios Condicionales (CRF)</w:t>
      </w:r>
      <w:r>
        <w:t xml:space="preserve"> [17], [10]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p1a"/>
      </w:pPr>
      <w:r>
        <w:t xml:space="preserve">Las </w:t>
      </w:r>
      <w:r>
        <w:rPr>
          <w:b/>
        </w:rPr>
        <w:t>arquitecturas neuronales BiLSTM-CRF</w:t>
      </w:r>
      <w:r>
        <w:t xml:space="preserve"> sustituyen los rasgos manuales por representaciones aprendidas, eliminando gran parte del trabajo de ingeniería a cambio de un requisito de datos aún mayor.</w:t>
      </w:r>
    </w:p>
    <w:p>
      <w:pPr>
        <w:numPr>
          <w:ilvl w:val="0"/>
          <w:numId w:val="0"/>
        </w:numPr>
        <w:pStyle w:val="p1a"/>
      </w:pPr>
      <w:r>
        <w:t xml:space="preserve">Los </w:t>
      </w:r>
      <w:r>
        <w:rPr>
          <w:b/>
        </w:rPr>
        <w:t>codificadores Transformer pre-entrenados</w:t>
      </w:r>
      <w:r>
        <w:t xml:space="preserve"> —BERT [2] y sus variantes multilingües como XLM-R— constituyen el estado del arte académico. Partiendo de un modelo pre-entrenado, un ajuste fino sobre el dominio alcanza entre 88 % y 91 % de F1 en español [7],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p1a"/>
      </w:pPr>
      <w:r>
        <w:t xml:space="preserve">Los </w:t>
      </w:r>
      <w:r>
        <w:rPr>
          <w:b/>
        </w:rPr>
        <w:t>modelos de lenguaje grande generativos</w:t>
      </w:r>
      <w:r>
        <w:t xml:space="preserve">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w:t>
      </w:r>
    </w:p>
    <w:p>
      <w:pPr>
        <w:numPr>
          <w:ilvl w:val="0"/>
          <w:numId w:val="0"/>
        </w:numPr>
        <w:pStyle w:val="tablecaption"/>
      </w:pPr>
      <w:r>
        <w:t>Tabla 1. El problema y las familias de técnicas disponibles</w:t>
      </w:r>
    </w:p>
    <w:tbl>
      <w:tblPr>
        <w:tblStyle w:val="Table"/>
        <w:tblW w:type="dxa" w:w="8838"/>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Inmediata mediante *prompt*</w:t>
            </w:r>
          </w:p>
        </w:tc>
        <w:tc>
          <w:tcPr>
            <w:tcW w:type="dxa" w:w="2444"/>
          </w:tcPr>
          <w:p>
            <w:pPr>
              <w:pStyle w:val="Compact"/>
              <w:jc w:val="center"/>
            </w:pPr>
            <w:r>
              <w:rPr>
                <w:b w:val="0"/>
              </w:rPr>
              <w:t>Alucinación y salida no estructurada</w:t>
            </w:r>
          </w:p>
        </w:tc>
      </w:tr>
    </w:tbl>
    <w:p>
      <w:pPr>
        <w:numPr>
          <w:ilvl w:val="0"/>
          <w:numId w:val="0"/>
        </w:numPr>
        <w:pStyle w:val="p1a"/>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p1a"/>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p1a"/>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p1a"/>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p1a"/>
      </w:pPr>
      <w:r>
        <w:t>La Generación Aumentada por Recuperación (RAG) [1] fundamenta la generación en información recuperada en tiempo de consulta, en lugar de confiarla exclusivamente a los pesos del modelo. La literatura reciente [6] distingue variantes por la naturaleza de lo recuperado, y esa distinción resulta determinante en NER.</w:t>
      </w:r>
    </w:p>
    <w:p>
      <w:pPr>
        <w:numPr>
          <w:ilvl w:val="0"/>
          <w:numId w:val="0"/>
        </w:numPr>
        <w:pStyle w:val="p1a"/>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y no ayuda ante nombres ausentes del catálogo.</w:t>
      </w:r>
    </w:p>
    <w:p>
      <w:pPr>
        <w:numPr>
          <w:ilvl w:val="0"/>
          <w:numId w:val="0"/>
        </w:numPr>
        <w:pStyle w:val="p1a"/>
      </w:pPr>
      <w:r>
        <w:t xml:space="preserve">Una segunda variante es el </w:t>
      </w:r>
      <w:r>
        <w:rPr>
          <w:b/>
        </w:rPr>
        <w:t>RAG contextual o de conocimiento</w:t>
      </w:r>
      <w:r>
        <w:t xml:space="preserve">,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p1a"/>
      </w:pPr>
      <w:r>
        <w:t xml:space="preserve">Una tercera configuración, adoptada por trabajos aplicados al ámbito financiero [9], [5], emplea el propio documento como </w:t>
      </w:r>
      <w:r>
        <w:rPr>
          <w:b/>
        </w:rPr>
        <w:t>contexto único</w:t>
      </w:r>
      <w:r>
        <w:t>, restringiendo la extracción al texto presente y mitigando la alucinación extrínseca.</w:t>
      </w:r>
    </w:p>
    <w:p>
      <w:pPr>
        <w:numPr>
          <w:ilvl w:val="0"/>
          <w:numId w:val="0"/>
        </w:numPr>
        <w:pStyle w:val="p1a"/>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p1a"/>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p1a"/>
      </w:pPr>
      <w:r>
        <w:t xml:space="preserve">Entre los entornos de ejecución disponibles, </w:t>
      </w:r>
      <w:r>
        <w:rPr>
          <w:b/>
        </w:rPr>
        <w:t>llama.cpp</w:t>
      </w:r>
      <w:r>
        <w:t xml:space="preserve"> ofrece el motor de inferencia cuantizada de referencia pero exige gestión manual de modelos; </w:t>
      </w:r>
      <w:r>
        <w:rPr>
          <w:b/>
        </w:rPr>
        <w:t>vLLM</w:t>
      </w:r>
      <w:r>
        <w:t xml:space="preserve">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aprovecha específicamente la memoria unificada de Apple Silicon; y </w:t>
      </w:r>
      <w:r>
        <w:rPr>
          <w:b/>
        </w:rPr>
        <w:t>Ollama</w:t>
      </w:r>
      <w:r>
        <w:t xml:space="preserve">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Estado del arte y criterios de selección</w:t>
      </w:r>
    </w:p>
    <w:p>
      <w:pPr>
        <w:numPr>
          <w:ilvl w:val="0"/>
          <w:numId w:val="0"/>
        </w:numPr>
        <w:pStyle w:val="p1a"/>
      </w:pPr>
      <w:r>
        <w:t>La Tabla 2 posiciona este trabajo respecto de investigaciones recientes en NER para dominios financieros y regulatorios.</w:t>
      </w:r>
    </w:p>
    <w:p>
      <w:pPr>
        <w:numPr>
          <w:ilvl w:val="0"/>
          <w:numId w:val="0"/>
        </w:numPr>
        <w:pStyle w:val="tablecaption"/>
      </w:pPr>
      <w:r>
        <w:t>Tabla 2. Estado del arte y criterios de selección</w:t>
      </w:r>
    </w:p>
    <w:tbl>
      <w:tblPr>
        <w:tblStyle w:val="Table"/>
        <w:tblW w:type="dxa" w:w="8838"/>
        <w:tblLayout w:type="fixed"/>
        <w:tblLook w:firstRow="1" w:lastRow="0" w:firstColumn="0" w:lastColumn="0" w:noHBand="0" w:noVBand="0" w:val="0020"/>
      </w:tblPr>
      <w:tblGrid>
        <w:gridCol w:w="2092"/>
        <w:gridCol w:w="2964"/>
        <w:gridCol w:w="1394"/>
        <w:gridCol w:w="670"/>
        <w:gridCol w:w="1046"/>
        <w:gridCol w:w="672"/>
      </w:tblGrid>
      <w:tr>
        <w:trPr>
          <w:tblHeader w:val="on"/>
        </w:trPr>
        <w:tc>
          <w:tcPr>
            <w:tcW w:type="dxa" w:w="2092"/>
          </w:tcPr>
          <w:p>
            <w:pPr>
              <w:pStyle w:val="Compact"/>
              <w:jc w:val="left"/>
            </w:pPr>
            <w:r>
              <w:rPr>
                <w:b/>
              </w:rPr>
              <w:t>Trabajo</w:t>
            </w:r>
          </w:p>
        </w:tc>
        <w:tc>
          <w:tcPr>
            <w:tcW w:type="dxa" w:w="2964"/>
          </w:tcPr>
          <w:p>
            <w:pPr>
              <w:pStyle w:val="Compact"/>
              <w:jc w:val="left"/>
            </w:pPr>
            <w:r>
              <w:rPr>
                <w:b/>
              </w:rPr>
              <w:t>Dataset</w:t>
            </w:r>
          </w:p>
        </w:tc>
        <w:tc>
          <w:tcPr>
            <w:tcW w:type="dxa" w:w="1394"/>
          </w:tcPr>
          <w:p>
            <w:pPr>
              <w:pStyle w:val="Compact"/>
              <w:jc w:val="left"/>
            </w:pPr>
            <w:r>
              <w:rPr>
                <w:b/>
              </w:rPr>
              <w:t>Modelo</w:t>
            </w:r>
          </w:p>
        </w:tc>
        <w:tc>
          <w:tcPr>
            <w:tcW w:type="dxa" w:w="670"/>
          </w:tcPr>
          <w:p>
            <w:pPr>
              <w:pStyle w:val="Compact"/>
              <w:jc w:val="center"/>
            </w:pPr>
            <w:r>
              <w:rPr>
                <w:b/>
              </w:rPr>
              <w:t>F1</w:t>
            </w:r>
          </w:p>
        </w:tc>
        <w:tc>
          <w:tcPr>
            <w:tcW w:type="dxa" w:w="1046"/>
          </w:tcPr>
          <w:p>
            <w:pPr>
              <w:pStyle w:val="Compact"/>
              <w:jc w:val="center"/>
            </w:pPr>
            <w:r>
              <w:rPr>
                <w:b/>
              </w:rPr>
              <w:t>Privacidad</w:t>
            </w:r>
          </w:p>
        </w:tc>
        <w:tc>
          <w:tcPr>
            <w:tcW w:type="dxa" w:w="672"/>
          </w:tcPr>
          <w:p>
            <w:pPr>
              <w:pStyle w:val="Compact"/>
              <w:jc w:val="left"/>
            </w:pPr>
            <w:r>
              <w:rPr>
                <w:b/>
              </w:rPr>
              <w:t>Idioma</w:t>
            </w:r>
          </w:p>
        </w:tc>
      </w:tr>
      <w:tr>
        <w:tc>
          <w:tcPr>
            <w:tcW w:type="dxa" w:w="2092"/>
          </w:tcPr>
          <w:p>
            <w:pPr>
              <w:pStyle w:val="Compact"/>
              <w:jc w:val="left"/>
            </w:pPr>
            <w:r>
              <w:rPr>
                <w:b w:val="0"/>
              </w:rPr>
              <w:t>BloombergGPT [3]</w:t>
            </w:r>
          </w:p>
        </w:tc>
        <w:tc>
          <w:tcPr>
            <w:tcW w:type="dxa" w:w="2964"/>
          </w:tcPr>
          <w:p>
            <w:pPr>
              <w:pStyle w:val="Compact"/>
              <w:jc w:val="left"/>
            </w:pPr>
            <w:r>
              <w:rPr>
                <w:b w:val="0"/>
              </w:rPr>
              <w:t>Bloomberg corpus</w:t>
            </w:r>
          </w:p>
        </w:tc>
        <w:tc>
          <w:tcPr>
            <w:tcW w:type="dxa" w:w="1394"/>
          </w:tcPr>
          <w:p>
            <w:pPr>
              <w:pStyle w:val="Compact"/>
              <w:jc w:val="left"/>
            </w:pPr>
            <w:r>
              <w:rPr>
                <w:b w:val="0"/>
              </w:rPr>
              <w:t>GPT-J + dominio</w:t>
            </w:r>
          </w:p>
        </w:tc>
        <w:tc>
          <w:tcPr>
            <w:tcW w:type="dxa" w:w="670"/>
          </w:tcPr>
          <w:p>
            <w:pPr>
              <w:pStyle w:val="Compact"/>
              <w:jc w:val="center"/>
            </w:pPr>
            <w:r>
              <w:rPr>
                <w:b w:val="0"/>
              </w:rPr>
              <w:t>85%+</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val="0"/>
              </w:rPr>
              <w:t>FiNER-139 Benchmark [15]</w:t>
            </w:r>
          </w:p>
        </w:tc>
        <w:tc>
          <w:tcPr>
            <w:tcW w:type="dxa" w:w="2964"/>
          </w:tcPr>
          <w:p>
            <w:pPr>
              <w:pStyle w:val="Compact"/>
              <w:jc w:val="left"/>
            </w:pPr>
            <w:r>
              <w:rPr>
                <w:b w:val="0"/>
              </w:rPr>
              <w:t>SEC 10-K/10-Q</w:t>
            </w:r>
          </w:p>
        </w:tc>
        <w:tc>
          <w:tcPr>
            <w:tcW w:type="dxa" w:w="1394"/>
          </w:tcPr>
          <w:p>
            <w:pPr>
              <w:pStyle w:val="Compact"/>
              <w:jc w:val="left"/>
            </w:pPr>
            <w:r>
              <w:rPr>
                <w:b w:val="0"/>
              </w:rPr>
              <w:t>BERT fine-tuned</w:t>
            </w:r>
          </w:p>
        </w:tc>
        <w:tc>
          <w:tcPr>
            <w:tcW w:type="dxa" w:w="670"/>
          </w:tcPr>
          <w:p>
            <w:pPr>
              <w:pStyle w:val="Compact"/>
              <w:jc w:val="center"/>
            </w:pPr>
            <w:r>
              <w:rPr>
                <w:b w:val="0"/>
              </w:rPr>
              <w:t>91%</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val="0"/>
              </w:rPr>
              <w:t>García &amp; López [7]</w:t>
            </w:r>
          </w:p>
        </w:tc>
        <w:tc>
          <w:tcPr>
            <w:tcW w:type="dxa" w:w="2964"/>
          </w:tcPr>
          <w:p>
            <w:pPr>
              <w:pStyle w:val="Compact"/>
              <w:jc w:val="left"/>
            </w:pPr>
            <w:r>
              <w:rPr>
                <w:b w:val="0"/>
              </w:rPr>
              <w:t>CoNLL-ES</w:t>
            </w:r>
          </w:p>
        </w:tc>
        <w:tc>
          <w:tcPr>
            <w:tcW w:type="dxa" w:w="1394"/>
          </w:tcPr>
          <w:p>
            <w:pPr>
              <w:pStyle w:val="Compact"/>
              <w:jc w:val="left"/>
            </w:pPr>
            <w:r>
              <w:rPr>
                <w:b w:val="0"/>
              </w:rPr>
              <w:t>XLM-R</w:t>
            </w:r>
          </w:p>
        </w:tc>
        <w:tc>
          <w:tcPr>
            <w:tcW w:type="dxa" w:w="670"/>
          </w:tcPr>
          <w:p>
            <w:pPr>
              <w:pStyle w:val="Compact"/>
              <w:jc w:val="center"/>
            </w:pPr>
            <w:r>
              <w:rPr>
                <w:b w:val="0"/>
              </w:rPr>
              <w:t>88%</w:t>
            </w:r>
          </w:p>
        </w:tc>
        <w:tc>
          <w:tcPr>
            <w:tcW w:type="dxa" w:w="1046"/>
          </w:tcPr>
          <w:p>
            <w:pPr>
              <w:pStyle w:val="Compact"/>
              <w:jc w:val="center"/>
            </w:pPr>
            <w:r>
              <w:rPr>
                <w:b w:val="0"/>
              </w:rPr>
              <w:t>✅ Local</w:t>
            </w:r>
          </w:p>
        </w:tc>
        <w:tc>
          <w:tcPr>
            <w:tcW w:type="dxa" w:w="672"/>
          </w:tcPr>
          <w:p>
            <w:pPr>
              <w:pStyle w:val="Compact"/>
              <w:jc w:val="left"/>
            </w:pPr>
            <w:r>
              <w:rPr>
                <w:b w:val="0"/>
              </w:rPr>
              <w:t>Español</w:t>
            </w:r>
          </w:p>
        </w:tc>
      </w:tr>
      <w:tr>
        <w:tc>
          <w:tcPr>
            <w:tcW w:type="dxa" w:w="2092"/>
          </w:tcPr>
          <w:p>
            <w:pPr>
              <w:pStyle w:val="Compact"/>
              <w:jc w:val="left"/>
            </w:pPr>
            <w:r>
              <w:rPr>
                <w:b w:val="0"/>
              </w:rPr>
              <w:t>Chang et al. [9]</w:t>
            </w:r>
          </w:p>
        </w:tc>
        <w:tc>
          <w:tcPr>
            <w:tcW w:type="dxa" w:w="2964"/>
          </w:tcPr>
          <w:p>
            <w:pPr>
              <w:pStyle w:val="Compact"/>
              <w:jc w:val="left"/>
            </w:pPr>
            <w:r>
              <w:rPr>
                <w:b w:val="0"/>
              </w:rPr>
              <w:t>Docs bancarios</w:t>
            </w:r>
          </w:p>
        </w:tc>
        <w:tc>
          <w:tcPr>
            <w:tcW w:type="dxa" w:w="1394"/>
          </w:tcPr>
          <w:p>
            <w:pPr>
              <w:pStyle w:val="Compact"/>
              <w:jc w:val="left"/>
            </w:pPr>
            <w:r>
              <w:rPr>
                <w:b w:val="0"/>
              </w:rPr>
              <w:t>GPT-4 + RAG</w:t>
            </w:r>
          </w:p>
        </w:tc>
        <w:tc>
          <w:tcPr>
            <w:tcW w:type="dxa" w:w="670"/>
          </w:tcPr>
          <w:p>
            <w:pPr>
              <w:pStyle w:val="Compact"/>
              <w:jc w:val="center"/>
            </w:pPr>
            <w:r>
              <w:rPr>
                <w:b w:val="0"/>
              </w:rPr>
              <w:t>83%</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rPr>
              <w:t>Este trabajo</w:t>
            </w:r>
          </w:p>
        </w:tc>
        <w:tc>
          <w:tcPr>
            <w:tcW w:type="dxa" w:w="2964"/>
          </w:tcPr>
          <w:p>
            <w:pPr>
              <w:pStyle w:val="Compact"/>
              <w:jc w:val="left"/>
            </w:pPr>
            <w:r>
              <w:rPr>
                <w:b/>
              </w:rPr>
              <w:t>Kleptotrace/CoNLL-2002 (AML), corpus sintético N=30</w:t>
            </w:r>
          </w:p>
        </w:tc>
        <w:tc>
          <w:tcPr>
            <w:tcW w:type="dxa" w:w="1394"/>
          </w:tcPr>
          <w:p>
            <w:pPr>
              <w:pStyle w:val="Compact"/>
              <w:jc w:val="left"/>
            </w:pPr>
            <w:r>
              <w:rPr>
                <w:b/>
              </w:rPr>
              <w:t>gemma4:31b local</w:t>
            </w:r>
          </w:p>
        </w:tc>
        <w:tc>
          <w:tcPr>
            <w:tcW w:type="dxa" w:w="670"/>
          </w:tcPr>
          <w:p>
            <w:pPr>
              <w:pStyle w:val="Compact"/>
              <w:jc w:val="center"/>
            </w:pPr>
            <w:r>
              <w:rPr>
                <w:b/>
              </w:rPr>
              <w:t>79%</w:t>
            </w:r>
          </w:p>
        </w:tc>
        <w:tc>
          <w:tcPr>
            <w:tcW w:type="dxa" w:w="1046"/>
          </w:tcPr>
          <w:p>
            <w:pPr>
              <w:pStyle w:val="Compact"/>
              <w:jc w:val="center"/>
            </w:pPr>
            <w:r>
              <w:rPr>
                <w:b/>
              </w:rPr>
              <w:t>✅ 100% Local</w:t>
            </w:r>
          </w:p>
        </w:tc>
        <w:tc>
          <w:tcPr>
            <w:tcW w:type="dxa" w:w="672"/>
          </w:tcPr>
          <w:p>
            <w:pPr>
              <w:pStyle w:val="Compact"/>
              <w:jc w:val="left"/>
            </w:pPr>
            <w:r>
              <w:rPr>
                <w:b/>
              </w:rPr>
              <w:t>Español</w:t>
            </w:r>
          </w:p>
        </w:tc>
      </w:tr>
    </w:tbl>
    <w:p>
      <w:pPr>
        <w:numPr>
          <w:ilvl w:val="0"/>
          <w:numId w:val="0"/>
        </w:numPr>
        <w:pStyle w:val="p1a"/>
      </w:pPr>
      <w:r>
        <w:t>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p1a"/>
      </w:pPr>
      <w:r>
        <w:t xml:space="preserve">La revisión anterior deja fijados los criterios con los que el capítulo 3 justifica cada decisión de diseño: </w:t>
      </w:r>
      <w:r>
        <w:rPr>
          <w:b/>
        </w:rPr>
        <w:t>(C1) prescindir de datos etiquetados</w:t>
      </w:r>
      <w:r>
        <w:t xml:space="preserve">, por no existir corpus del dominio en español; </w:t>
      </w:r>
      <w:r>
        <w:rPr>
          <w:b/>
        </w:rPr>
        <w:t>(C2) preservar la soberanía del dato</w:t>
      </w:r>
      <w:r>
        <w:t xml:space="preserve">, lo que excluye toda API externa; </w:t>
      </w:r>
      <w:r>
        <w:rPr>
          <w:b/>
        </w:rPr>
        <w:t>(C3) operar sobre hardware de consumo</w:t>
      </w:r>
      <w:r>
        <w:t xml:space="preserve">, lo que obliga a cuantización y a gestión explícita de memoria; </w:t>
      </w:r>
      <w:r>
        <w:rPr>
          <w:b/>
        </w:rPr>
        <w:t>(C4) producir salida verificable</w:t>
      </w:r>
      <w:r>
        <w:t xml:space="preserve">, dado que el modelo elegido genera texto libre; y </w:t>
      </w:r>
      <w:r>
        <w:rPr>
          <w:b/>
        </w:rPr>
        <w:t>(C5) permitir comparación empírica entre variantes</w:t>
      </w:r>
      <w:r>
        <w:t xml:space="preserve">,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p1a"/>
      </w:pPr>
      <w:r>
        <w:t>Los cinco criterios con que cerró el capítulo anterior determinan, cada uno, una decisión concreta. Conviene explicitar el razonamiento antes de describir la implementación.</w:t>
      </w:r>
    </w:p>
    <w:p>
      <w:pPr>
        <w:numPr>
          <w:ilvl w:val="0"/>
          <w:numId w:val="0"/>
        </w:numPr>
        <w:pStyle w:val="p1a"/>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p1a"/>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p1a"/>
      </w:pPr>
      <w:r>
        <w:t xml:space="preserve">El tercer criterio, operar sobre hardware de consumo, obliga a cuantizar a 4 bits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p1a"/>
      </w:pPr>
      <w:r>
        <w:t>El sistema se organiza en cinco capas funcionales con responsabilidades separadas, así que cada una pueda evolucionar sin arrastrar a las demás.</w:t>
      </w:r>
    </w:p>
    <w:p>
      <w:pPr>
        <w:numPr>
          <w:ilvl w:val="0"/>
          <w:numId w:val="0"/>
        </w:numPr>
        <w:pStyle w:val="tablecaption"/>
      </w:pPr>
      <w:r>
        <w:t>Tabla 3. Arquitectura, proveedores y orquestación</w:t>
      </w:r>
    </w:p>
    <w:tbl>
      <w:tblPr>
        <w:tblStyle w:val="Table"/>
        <w:tblW w:type="dxa" w:w="8838"/>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de esquema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p1a"/>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p1a"/>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program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p1a"/>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p1a"/>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p1a"/>
      </w:pPr>
      <w:r>
        <w:t xml:space="preserve">El número de consumidores no es fijo, sino que lo regula un controlador </w:t>
      </w:r>
      <w:r>
        <w:rPr>
          <w:b/>
        </w:rPr>
        <w:t>AIMD</w:t>
      </w:r>
      <w:r>
        <w:t xml:space="preserve"> (</w:t>
      </w:r>
      <w:r>
        <w:rPr>
          <w:i/>
        </w:rPr>
        <w:t>Additive Increase, Multiplicative Decrease</w:t>
      </w:r>
      <w:r>
        <w:t xml:space="preserve">), política tomada del control de congestión en redes. Mientras el sistema permanece estable —sin errores de limitación de tasa ni excepciones— durante una ventana de 600 segundos, el controlador </w:t>
      </w:r>
      <w:r>
        <w:rPr>
          <w:b/>
        </w:rPr>
        <w:t>añade un consumidor cada 120 segundos</w:t>
      </w:r>
      <w:r>
        <w:t xml:space="preserve"> hasta un techo del 75 % del máximo configurado; ante el primer error de saturación </w:t>
      </w:r>
      <w:r>
        <w:rPr>
          <w:b/>
        </w:rPr>
        <w:t>reduce los consumidores a la mitad</w:t>
      </w:r>
      <w:r>
        <w:t>. Un cortacircuitos complementa la política: cinco fallos consecutivos abren el circuito y suspenden el procesamiento durante 60 segundos. La asimetría entre el aumento prudente y el recorte agresivo es deliberada, pues el coste de saturar un servicio de inferencia —reintentos, respuestas truncadas, penalización por cuota— excede con mucho al de infrautilizarlo. Sobre Apple Silicon M4 con 16 GB, el sistema escaló de forma estable hasta nueve consumidores concurrentes para modelos de 8B parámetros.</w:t>
      </w:r>
    </w:p>
    <w:p>
      <w:pPr>
        <w:numPr>
          <w:ilvl w:val="0"/>
          <w:numId w:val="0"/>
        </w:numPr>
        <w:pStyle w:val="p1a"/>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w:t>
      </w:r>
      <w:r>
        <w:rPr>
          <w:b/>
        </w:rPr>
        <w:t>pero no reduce el footprint de uno solo</w:t>
      </w:r>
      <w:r>
        <w:t>, y esa distinción resultó decisiva. macOS asigna a la GPU un techo de memoria equivalente al 75 % de la memoria unificada del equipo (</w:t>
      </w:r>
      <w:r>
        <w:t>recommendedMaxWorkingSetSize</w:t>
      </w:r>
      <w:r>
        <w:t xml:space="preserve">): unos 12 GB en una máquina de 16 GB. Los modelos de hasta ~12B cuantizados a 4 bits ocupan entre 7 y 9 GB y caben con holgura; los de 31B alcanzan un footprint operativo de ~24,7 GB —unos 18,7 GB de pesos más la caché de claves y valores y el sobrecoste de inferencia— y </w:t>
      </w:r>
      <w:r>
        <w:rPr>
          <w:b/>
        </w:rPr>
        <w:t>no pueden cargarse en 16 GB ni siquiera de forma serial</w:t>
      </w:r>
      <w:r>
        <w:t>. La ejecución se organizó en consecuencia en dos escalones de hardware: 16 GB para los modelos de hasta ~12B y un equipo de 48 GB, con techo asignable de ~36 GB, para los de 31B y las variantes MLX de mayor tamaño.</w:t>
      </w:r>
    </w:p>
    <w:p>
      <w:pPr>
        <w:numPr>
          <w:ilvl w:val="0"/>
          <w:numId w:val="0"/>
        </w:numPr>
        <w:pStyle w:val="heading2"/>
      </w:pPr>
      <w:r>
        <w:t>3.3 Módulo de evaluación</w:t>
      </w:r>
    </w:p>
    <w:p>
      <w:pPr>
        <w:numPr>
          <w:ilvl w:val="0"/>
          <w:numId w:val="0"/>
        </w:numPr>
        <w:pStyle w:val="p1a"/>
      </w:pPr>
      <w:r>
        <w:t xml:space="preserve">La comparación entre lo extraído y la anotación de referencia no puede ser literal, porque una diferencia de puntuación o un artículo antepuesto invalidarían una extracción correcta. El evaluador emplea por ello </w:t>
      </w:r>
      <w:r>
        <w:rPr>
          <w:b/>
        </w:rPr>
        <w:t>emparejamiento difuso</w:t>
      </w:r>
      <w:r>
        <w:t xml:space="preserve"> por similitud de tokens, aceptando como acierto toda coincidencia por encima de un umbral configurable, fijado en 85 sobre 100. La elección del umbral es un compromiso: por debajo admite falsos emparejamientos entre nombres distintos que comparten apellido; por encima rechaza variantes legítimas.</w:t>
      </w:r>
    </w:p>
    <w:p>
      <w:pPr>
        <w:numPr>
          <w:ilvl w:val="0"/>
          <w:numId w:val="0"/>
        </w:numPr>
        <w:pStyle w:val="p1a"/>
      </w:pPr>
      <w:r>
        <w:t xml:space="preserve">Sobre esa base se calculan precisión, exhaustividad y F1 por artículo, que después se promedian, y una </w:t>
      </w:r>
      <w:r>
        <w:rPr>
          <w:b/>
        </w:rPr>
        <w:t>tasa de alucinación</w:t>
      </w:r>
      <w:r>
        <w:t xml:space="preserve"> definida como la proporción de entidades propuestas sin correspondencia alguna en la referencia.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p1a"/>
      </w:pPr>
      <w:r>
        <w:t>Se utilizaron dos corpus complementarios:</w:t>
      </w:r>
    </w:p>
    <w:p>
      <w:pPr>
        <w:numPr>
          <w:ilvl w:val="0"/>
          <w:numId w:val="0"/>
        </w:numPr>
        <w:pStyle w:val="p1a"/>
      </w:pPr>
      <w:r>
        <w:rPr>
          <w:b/>
        </w:rPr>
        <w:t>Corpus 1 — Kleptotrace/CoNLL-2002 (N=15, Gold Standard):</w:t>
      </w:r>
      <w:r>
        <w:t xml:space="preserve"> 15 artículos periodísticos reales de la plataforma Kleptotrace/CoNLL-2002 sobre lavado de activos, sanciones internacionales y corrupción. Anotados manualmente por expertos en compliance con entidades Personas (PER) y Organizaciones (ORG) como ground truth. Longitud promedio: ~4.833 caracteres por artículo (mediana 5.280; rango 725–8.813).</w:t>
      </w:r>
    </w:p>
    <w:p>
      <w:pPr>
        <w:numPr>
          <w:ilvl w:val="0"/>
          <w:numId w:val="0"/>
        </w:numPr>
        <w:pStyle w:val="p1a"/>
      </w:pPr>
      <w:r>
        <w:rPr>
          <w:b/>
        </w:rPr>
        <w:t>Corpus 2 — Kleptotrace/CoNLL-2002 Augmented (N=30, Corpus de Validación Estadística):</w:t>
      </w:r>
      <w:r>
        <w:t xml:space="preserve"> 30 artículos breves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heading3"/>
      </w:pPr>
      <w:r>
        <w:t>4.1.1 Generación y validez del corpus sintético N=30</w:t>
      </w:r>
    </w:p>
    <w:p>
      <w:pPr>
        <w:numPr>
          <w:ilvl w:val="0"/>
          <w:numId w:val="0"/>
        </w:numPr>
        <w:pStyle w:val="p1a"/>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p1a"/>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p1a"/>
      </w:pPr>
      <w:r>
        <w:t>El uso de textos sintéticos para contrastar hipótesis es defendible aquí por cuatro razones. La primera es de potencia estadística: el teorema del límite central asegura que, a partir de treinta observaciones independientes, la media muestral se aproxima a una distribución normal,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4.1.3 Extensión a Corpus Real N=120 (Dataset Conmutable)</w:t>
      </w:r>
    </w:p>
    <w:p>
      <w:pPr>
        <w:numPr>
          <w:ilvl w:val="0"/>
          <w:numId w:val="0"/>
        </w:numPr>
        <w:pStyle w:val="p1a"/>
      </w:pPr>
      <w:r>
        <w:t xml:space="preserve">Tras la validación sobre el corpus sintético N=30 (§4.1.1–4.1.2), y como parte del cierre del proyecto (1 de septiembre de 2026, commit </w:t>
      </w:r>
      <w:r>
        <w:t>5ff38f5</w:t>
      </w:r>
      <w:r>
        <w:t xml:space="preserve">, </w:t>
      </w:r>
      <w:r>
        <w:rPr>
          <w:i/>
        </w:rPr>
        <w:t>"integrate balanced real dataset N=120"</w:t>
      </w:r>
      <w:r>
        <w:t xml:space="preserve">), se incorporó una tercera alternativa de corpus para reforzar la validez externa: en lugar de seguir aumentando el corpus por generación sintética, se amplió la base real combinando los 15 artículos Gold Standard de Kleptotrace/CoNLL-2002 con </w:t>
      </w:r>
      <w:r>
        <w:rPr>
          <w:b/>
        </w:rPr>
        <w:t>105 artículos reales del corpus público CoNLL-2002 en español</w:t>
      </w:r>
      <w:r>
        <w:t xml:space="preserve"> (</w:t>
      </w:r>
      <w:r>
        <w:t>data/conll2002_es.json</w:t>
      </w:r>
      <w:r>
        <w:t xml:space="preserve">, 833 artículos disponibles), generando el archivo </w:t>
      </w:r>
      <w:r>
        <w:t>data/benchmark_balanced_120.json</w:t>
      </w:r>
      <w:r>
        <w:t xml:space="preserve"> (N=120, script </w:t>
      </w:r>
      <w:r>
        <w:t>create_balanced_120.py</w:t>
      </w:r>
      <w:r>
        <w:t xml:space="preserve">). A diferencia del corpus N=30, </w:t>
      </w:r>
      <w:r>
        <w:rPr>
          <w:b/>
        </w:rPr>
        <w:t>ningún texto de este corpus fue generado por un LLM</w:t>
      </w:r>
      <w:r>
        <w:t>: los 120 artículos son noticias reales con anotación de entidades real.</w:t>
      </w:r>
    </w:p>
    <w:p>
      <w:pPr>
        <w:numPr>
          <w:ilvl w:val="0"/>
          <w:numId w:val="0"/>
        </w:numPr>
        <w:pStyle w:val="p1a"/>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heading2"/>
      </w:pPr>
      <w:r>
        <w:t>4.2 Modelos evaluados</w:t>
      </w:r>
    </w:p>
    <w:p>
      <w:pPr>
        <w:numPr>
          <w:ilvl w:val="0"/>
          <w:numId w:val="0"/>
        </w:numPr>
        <w:pStyle w:val="p1a"/>
      </w:pPr>
      <w:r>
        <w:t xml:space="preserve">El trabajo comprende dos conjuntos de evaluación que no hay que confundir. El benchmark exploratorio de la Tabla 2 (§5.1) cubre doce modelos en trece configuraciones sobre N=15 en modo </w:t>
      </w:r>
      <w:r>
        <w:t>entities</w:t>
      </w:r>
      <w:r>
        <w:t xml:space="preserve"> —</w:t>
      </w:r>
      <w:r>
        <w:t>gemma4:latest</w:t>
      </w:r>
      <w:r>
        <w:t xml:space="preserve"> aparece dos veces, en sus variantes ZS-ES y FS-ES—, mientras que el estudio principal (§5.3.5)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p1a"/>
      </w:pPr>
      <w:r>
        <w:t xml:space="preserve">Los modelos de la Tabla 2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p1a"/>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procedimiento que la literatura anglosajona denomina </w:t>
      </w:r>
      <w:r>
        <w:rPr>
          <w:i/>
        </w:rPr>
        <w:t>ablation study</w:t>
      </w:r>
      <w:r>
        <w:t>. Las cuatro celdas son zero-shot en inglés, que actúa como referencia, zero-shot en español, few-shot en inglés y few-shot en español, empleando en los dos últimos tres ejemplos del dominio de cumplimiento.</w:t>
      </w:r>
    </w:p>
    <w:p>
      <w:pPr>
        <w:numPr>
          <w:ilvl w:val="0"/>
          <w:numId w:val="0"/>
        </w:numPr>
        <w:pStyle w:val="p1a"/>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p1a"/>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p1a"/>
      </w:pPr>
      <w:r>
        <w:t>Los tres ejemplos empleados en la configuración few-shot en español cubren un caso de persona sancionada, uno de organización y uno de mención ambigua; se reproducen íntegros en el Anexo B.</w:t>
      </w:r>
    </w:p>
    <w:p>
      <w:pPr>
        <w:numPr>
          <w:ilvl w:val="0"/>
          <w:numId w:val="0"/>
        </w:numPr>
        <w:pStyle w:val="p1a"/>
      </w:pPr>
      <w:r>
        <w:t xml:space="preserve">Los resultados del análisis de variantes de prompts revelan una </w:t>
      </w:r>
      <w:r>
        <w:rPr>
          <w:b/>
        </w:rPr>
        <w:t>interacción entre los dos factores</w:t>
      </w:r>
      <w:r>
        <w:t xml:space="preserve">: por separado, la localización al español aporta +4.38 pp de F1 y los ejemplos </w:t>
      </w:r>
      <w:r>
        <w:rPr>
          <w:i/>
        </w:rPr>
        <w:t>few-shot</w:t>
      </w:r>
      <w:r>
        <w:t xml:space="preserve"> en inglés no aportan nada (−0.73 pp), pero </w:t>
      </w:r>
      <w:r>
        <w:rPr>
          <w:b/>
        </w:rPr>
        <w:t>su combinación alcanza +11.12 pp</w:t>
      </w:r>
      <w:r>
        <w:t xml:space="preserve">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tablecaption"/>
      </w:pPr>
      <w:r>
        <w:t>Tabla 4. Métricas de Evaluación</w:t>
      </w:r>
    </w:p>
    <w:tbl>
      <w:tblPr>
        <w:tblStyle w:val="Table"/>
        <w:tblW w:type="dxa" w:w="8838"/>
        <w:tblLayout w:type="fixed"/>
        <w:tblLook w:firstRow="1" w:lastRow="0" w:firstColumn="0" w:lastColumn="0" w:noHBand="0" w:noVBand="0" w:val="0020"/>
      </w:tblPr>
      <w:tblGrid>
        <w:gridCol w:w="3059"/>
        <w:gridCol w:w="5779"/>
      </w:tblGrid>
      <w:tr>
        <w:trPr>
          <w:tblHeader w:val="on"/>
        </w:trPr>
        <w:tc>
          <w:tcPr>
            <w:tcW w:type="dxa" w:w="3059"/>
          </w:tcPr>
          <w:p>
            <w:pPr>
              <w:pStyle w:val="Compact"/>
              <w:jc w:val="left"/>
            </w:pPr>
            <w:r>
              <w:rPr>
                <w:b/>
              </w:rPr>
              <w:t>Métrica</w:t>
            </w:r>
          </w:p>
        </w:tc>
        <w:tc>
          <w:tcPr>
            <w:tcW w:type="dxa" w:w="5779"/>
          </w:tcPr>
          <w:p>
            <w:pPr>
              <w:pStyle w:val="Compact"/>
              <w:jc w:val="left"/>
            </w:pPr>
            <w:r>
              <w:rPr>
                <w:b/>
              </w:rPr>
              <w:t>Definición</w:t>
            </w:r>
          </w:p>
        </w:tc>
      </w:tr>
      <w:tr>
        <w:tc>
          <w:tcPr>
            <w:tcW w:type="dxa" w:w="3059"/>
          </w:tcPr>
          <w:p>
            <w:pPr>
              <w:pStyle w:val="Compact"/>
              <w:jc w:val="left"/>
            </w:pPr>
            <w:r>
              <w:rPr>
                <w:b/>
              </w:rPr>
              <w:t>F1-Score</w:t>
            </w:r>
          </w:p>
        </w:tc>
        <w:tc>
          <w:tcPr>
            <w:tcW w:type="dxa" w:w="5779"/>
          </w:tcPr>
          <w:p>
            <w:pPr>
              <w:pStyle w:val="Compact"/>
              <w:jc w:val="left"/>
            </w:pPr>
            <w:r>
              <w:rPr>
                <w:b w:val="0"/>
              </w:rPr>
              <w:t>Media armónica entre Precisión y Recall (métrica principal)</w:t>
            </w:r>
          </w:p>
        </w:tc>
      </w:tr>
      <w:tr>
        <w:tc>
          <w:tcPr>
            <w:tcW w:type="dxa" w:w="3059"/>
          </w:tcPr>
          <w:p>
            <w:pPr>
              <w:pStyle w:val="Compact"/>
              <w:jc w:val="left"/>
            </w:pPr>
            <w:r>
              <w:rPr>
                <w:b/>
              </w:rPr>
              <w:t>Precisión</w:t>
            </w:r>
          </w:p>
        </w:tc>
        <w:tc>
          <w:tcPr>
            <w:tcW w:type="dxa" w:w="5779"/>
          </w:tcPr>
          <w:p>
            <w:pPr>
              <w:pStyle w:val="Compact"/>
              <w:jc w:val="left"/>
            </w:pPr>
            <w:r>
              <w:rPr>
                <w:b w:val="0"/>
              </w:rPr>
              <w:t>TP / (TP + FP) — Exactitud de las entidades extraídas</w:t>
            </w:r>
          </w:p>
        </w:tc>
      </w:tr>
      <w:tr>
        <w:tc>
          <w:tcPr>
            <w:tcW w:type="dxa" w:w="3059"/>
          </w:tcPr>
          <w:p>
            <w:pPr>
              <w:pStyle w:val="Compact"/>
              <w:jc w:val="left"/>
            </w:pPr>
            <w:r>
              <w:rPr>
                <w:b/>
              </w:rPr>
              <w:t>Recall</w:t>
            </w:r>
          </w:p>
        </w:tc>
        <w:tc>
          <w:tcPr>
            <w:tcW w:type="dxa" w:w="5779"/>
          </w:tcPr>
          <w:p>
            <w:pPr>
              <w:pStyle w:val="Compact"/>
              <w:jc w:val="left"/>
            </w:pPr>
            <w:r>
              <w:rPr>
                <w:b w:val="0"/>
              </w:rPr>
              <w:t>TP / (TP + FN) — Cobertura de las entidades reales</w:t>
            </w:r>
          </w:p>
        </w:tc>
      </w:tr>
      <w:tr>
        <w:tc>
          <w:tcPr>
            <w:tcW w:type="dxa" w:w="3059"/>
          </w:tcPr>
          <w:p>
            <w:pPr>
              <w:pStyle w:val="Compact"/>
              <w:jc w:val="left"/>
            </w:pPr>
            <w:r>
              <w:rPr>
                <w:b/>
              </w:rPr>
              <w:t>Hallucination Rate</w:t>
            </w:r>
          </w:p>
        </w:tc>
        <w:tc>
          <w:tcPr>
            <w:tcW w:type="dxa" w:w="5779"/>
          </w:tcPr>
          <w:p>
            <w:pPr>
              <w:pStyle w:val="Compact"/>
              <w:jc w:val="left"/>
            </w:pPr>
            <w:r>
              <w:rPr>
                <w:b w:val="0"/>
              </w:rPr>
              <w:t>Entidades extraídas sin correspondencia en GT / Total extraídas</w:t>
            </w:r>
          </w:p>
        </w:tc>
      </w:tr>
      <w:tr>
        <w:tc>
          <w:tcPr>
            <w:tcW w:type="dxa" w:w="3059"/>
          </w:tcPr>
          <w:p>
            <w:pPr>
              <w:pStyle w:val="Compact"/>
              <w:jc w:val="left"/>
            </w:pPr>
            <w:r>
              <w:rPr>
                <w:b/>
              </w:rPr>
              <w:t>Latencia (s)</w:t>
            </w:r>
          </w:p>
        </w:tc>
        <w:tc>
          <w:tcPr>
            <w:tcW w:type="dxa" w:w="5779"/>
          </w:tcPr>
          <w:p>
            <w:pPr>
              <w:pStyle w:val="Compact"/>
              <w:jc w:val="left"/>
            </w:pPr>
            <w:r>
              <w:rPr>
                <w:b w:val="0"/>
              </w:rPr>
              <w:t>Tiempo promedio por artículo en segundos</w:t>
            </w:r>
          </w:p>
        </w:tc>
      </w:tr>
      <w:tr>
        <w:tc>
          <w:tcPr>
            <w:tcW w:type="dxa" w:w="3059"/>
          </w:tcPr>
          <w:p>
            <w:pPr>
              <w:pStyle w:val="Compact"/>
              <w:jc w:val="left"/>
            </w:pPr>
            <w:r>
              <w:rPr>
                <w:b/>
              </w:rPr>
              <w:t>Índice Tok/s/B</w:t>
            </w:r>
          </w:p>
        </w:tc>
        <w:tc>
          <w:tcPr>
            <w:tcW w:type="dxa" w:w="5779"/>
          </w:tcPr>
          <w:p>
            <w:pPr>
              <w:pStyle w:val="Compact"/>
              <w:jc w:val="left"/>
            </w:pPr>
            <w:r>
              <w:rPr>
                <w:b w:val="0"/>
              </w:rPr>
              <w:t>Tokens por segundo normalizados por cada mil millones (10⁹) de parámetros</w:t>
            </w:r>
          </w:p>
        </w:tc>
      </w:tr>
    </w:tbl>
    <w:p>
      <w:pPr>
        <w:numPr>
          <w:ilvl w:val="0"/>
          <w:numId w:val="0"/>
        </w:numPr>
        <w:pStyle w:val="p1a"/>
      </w:pPr>
      <w:r>
        <w:t xml:space="preserve">El cotejo entre la entidad extraída y la de referencia es </w:t>
      </w:r>
      <w:r>
        <w:rPr>
          <w:b/>
        </w:rPr>
        <w:t>difuso</w:t>
      </w:r>
      <w:r>
        <w:t>, con un umbral de similitud de 85 sobre 100, lo que tolera variaciones menores de forma sin admitir coincidencias espurias.</w:t>
      </w:r>
    </w:p>
    <w:p>
      <w:pPr>
        <w:numPr>
          <w:ilvl w:val="0"/>
          <w:numId w:val="0"/>
        </w:numPr>
        <w:pStyle w:val="p1a"/>
      </w:pPr>
      <w:r>
        <w:rPr>
          <w:b/>
        </w:rPr>
        <w:t>Convención ante la extracción vacía.</w:t>
      </w:r>
      <w:r>
        <w:t xml:space="preserve">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p1a"/>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scikit-learn, statsmodels,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p1a"/>
      </w:pPr>
      <w:r>
        <w:t>La Tabla 5 presenta los resultados consolidados del benchmark completo agrupados por familia y tamaño de modelo:</w:t>
      </w:r>
    </w:p>
    <w:p>
      <w:pPr>
        <w:numPr>
          <w:ilvl w:val="0"/>
          <w:numId w:val="0"/>
        </w:numPr>
        <w:pStyle w:val="tablecaption"/>
      </w:pPr>
      <w:r>
        <w:t>Tabla 5. Benchmark General — 12 Modelos en 13 Configuraciones sobre Kleptotrace/CoNLL-2002 (N=15)</w:t>
      </w:r>
    </w:p>
    <w:tbl>
      <w:tblPr>
        <w:tblStyle w:val="Table"/>
        <w:tblW w:type="dxa" w:w="8838"/>
        <w:tblLayout w:type="fixed"/>
        <w:tblLook w:firstRow="1" w:lastRow="0" w:firstColumn="0" w:lastColumn="0" w:noHBand="0" w:noVBand="0" w:val="0020"/>
      </w:tblPr>
      <w:tblGrid>
        <w:gridCol w:w="1991"/>
        <w:gridCol w:w="668"/>
        <w:gridCol w:w="948"/>
        <w:gridCol w:w="668"/>
        <w:gridCol w:w="853"/>
        <w:gridCol w:w="668"/>
        <w:gridCol w:w="1232"/>
        <w:gridCol w:w="1137"/>
        <w:gridCol w:w="673"/>
      </w:tblGrid>
      <w:tr>
        <w:trPr>
          <w:tblHeader w:val="on"/>
        </w:trPr>
        <w:tc>
          <w:tcPr>
            <w:tcW w:type="dxa" w:w="1991"/>
          </w:tcPr>
          <w:p>
            <w:pPr>
              <w:pStyle w:val="Compact"/>
              <w:jc w:val="left"/>
            </w:pPr>
            <w:r>
              <w:rPr>
                <w:b/>
              </w:rPr>
              <w:t>Modelo</w:t>
            </w:r>
          </w:p>
        </w:tc>
        <w:tc>
          <w:tcPr>
            <w:tcW w:type="dxa" w:w="668"/>
          </w:tcPr>
          <w:p>
            <w:pPr>
              <w:pStyle w:val="Compact"/>
              <w:jc w:val="left"/>
            </w:pPr>
            <w:r>
              <w:rPr>
                <w:b/>
              </w:rPr>
              <w:t>Tipo</w:t>
            </w:r>
          </w:p>
        </w:tc>
        <w:tc>
          <w:tcPr>
            <w:tcW w:type="dxa" w:w="948"/>
          </w:tcPr>
          <w:p>
            <w:pPr>
              <w:pStyle w:val="Compact"/>
              <w:jc w:val="left"/>
            </w:pPr>
            <w:r>
              <w:rPr>
                <w:b/>
              </w:rPr>
              <w:t>Parámetros</w:t>
            </w:r>
          </w:p>
        </w:tc>
        <w:tc>
          <w:tcPr>
            <w:tcW w:type="dxa" w:w="668"/>
          </w:tcPr>
          <w:p>
            <w:pPr>
              <w:pStyle w:val="Compact"/>
              <w:jc w:val="center"/>
            </w:pPr>
            <w:r>
              <w:rPr>
                <w:b/>
              </w:rPr>
              <w:t>F1</w:t>
            </w:r>
          </w:p>
        </w:tc>
        <w:tc>
          <w:tcPr>
            <w:tcW w:type="dxa" w:w="853"/>
          </w:tcPr>
          <w:p>
            <w:pPr>
              <w:pStyle w:val="Compact"/>
              <w:jc w:val="center"/>
            </w:pPr>
            <w:r>
              <w:rPr>
                <w:b/>
              </w:rPr>
              <w:t>Precisión</w:t>
            </w:r>
          </w:p>
        </w:tc>
        <w:tc>
          <w:tcPr>
            <w:tcW w:type="dxa" w:w="668"/>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673"/>
          </w:tcPr>
          <w:p>
            <w:pPr>
              <w:pStyle w:val="Compact"/>
              <w:jc w:val="left"/>
            </w:pPr>
            <w:r>
              <w:rPr>
                <w:b/>
              </w:rPr>
              <w:t>Tok/s/B</w:t>
            </w:r>
          </w:p>
        </w:tc>
      </w:tr>
      <w:tr>
        <w:tc>
          <w:tcPr>
            <w:tcW w:type="dxa" w:w="1991"/>
          </w:tcPr>
          <w:p>
            <w:pPr>
              <w:pStyle w:val="Compact"/>
              <w:jc w:val="left"/>
            </w:pPr>
            <w:r>
              <w:rPr>
                <w:b w:val="0"/>
              </w:rPr>
              <w:t>gemma4:latest (FS-ES)</w:t>
            </w:r>
          </w:p>
        </w:tc>
        <w:tc>
          <w:tcPr>
            <w:tcW w:type="dxa" w:w="668"/>
          </w:tcPr>
          <w:p>
            <w:pPr>
              <w:pStyle w:val="Compact"/>
              <w:jc w:val="left"/>
            </w:pPr>
            <w:r>
              <w:rPr>
                <w:b w:val="0"/>
              </w:rPr>
              <w:t>Local</w:t>
            </w:r>
          </w:p>
        </w:tc>
        <w:tc>
          <w:tcPr>
            <w:tcW w:type="dxa" w:w="948"/>
          </w:tcPr>
          <w:p>
            <w:pPr>
              <w:pStyle w:val="Compact"/>
              <w:jc w:val="left"/>
            </w:pPr>
            <w:r>
              <w:rPr>
                <w:b w:val="0"/>
              </w:rPr>
              <w:t>9B</w:t>
            </w:r>
          </w:p>
        </w:tc>
        <w:tc>
          <w:tcPr>
            <w:tcW w:type="dxa" w:w="668"/>
          </w:tcPr>
          <w:p>
            <w:pPr>
              <w:pStyle w:val="Compact"/>
              <w:jc w:val="center"/>
            </w:pPr>
            <w:r>
              <w:rPr>
                <w:b/>
              </w:rPr>
              <w:t>74.44%</w:t>
            </w:r>
          </w:p>
        </w:tc>
        <w:tc>
          <w:tcPr>
            <w:tcW w:type="dxa" w:w="853"/>
          </w:tcPr>
          <w:p>
            <w:pPr>
              <w:pStyle w:val="Compact"/>
              <w:jc w:val="center"/>
            </w:pPr>
            <w:r>
              <w:rPr>
                <w:b w:val="0"/>
              </w:rPr>
              <w:t>66.78%</w:t>
            </w:r>
          </w:p>
        </w:tc>
        <w:tc>
          <w:tcPr>
            <w:tcW w:type="dxa" w:w="668"/>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673"/>
          </w:tcPr>
          <w:p>
            <w:pPr>
              <w:pStyle w:val="Compact"/>
              <w:jc w:val="left"/>
            </w:pPr>
            <w:r>
              <w:rPr>
                <w:b w:val="0"/>
              </w:rPr>
              <w:t>5.33</w:t>
            </w:r>
          </w:p>
        </w:tc>
      </w:tr>
      <w:tr>
        <w:tc>
          <w:tcPr>
            <w:tcW w:type="dxa" w:w="1991"/>
          </w:tcPr>
          <w:p>
            <w:pPr>
              <w:pStyle w:val="Compact"/>
              <w:jc w:val="left"/>
            </w:pPr>
            <w:r>
              <w:rPr>
                <w:b/>
              </w:rPr>
              <w:t>gemma4:31b</w:t>
            </w:r>
          </w:p>
        </w:tc>
        <w:tc>
          <w:tcPr>
            <w:tcW w:type="dxa" w:w="668"/>
          </w:tcPr>
          <w:p>
            <w:pPr>
              <w:pStyle w:val="Compact"/>
              <w:jc w:val="left"/>
            </w:pPr>
            <w:r>
              <w:rPr>
                <w:b w:val="0"/>
              </w:rPr>
              <w:t>Local</w:t>
            </w:r>
          </w:p>
        </w:tc>
        <w:tc>
          <w:tcPr>
            <w:tcW w:type="dxa" w:w="948"/>
          </w:tcPr>
          <w:p>
            <w:pPr>
              <w:pStyle w:val="Compact"/>
              <w:jc w:val="left"/>
            </w:pPr>
            <w:r>
              <w:rPr>
                <w:b w:val="0"/>
              </w:rPr>
              <w:t>31B</w:t>
            </w:r>
          </w:p>
        </w:tc>
        <w:tc>
          <w:tcPr>
            <w:tcW w:type="dxa" w:w="668"/>
          </w:tcPr>
          <w:p>
            <w:pPr>
              <w:pStyle w:val="Compact"/>
              <w:jc w:val="center"/>
            </w:pPr>
            <w:r>
              <w:rPr>
                <w:b w:val="0"/>
              </w:rPr>
              <w:t>69.12%</w:t>
            </w:r>
          </w:p>
        </w:tc>
        <w:tc>
          <w:tcPr>
            <w:tcW w:type="dxa" w:w="853"/>
          </w:tcPr>
          <w:p>
            <w:pPr>
              <w:pStyle w:val="Compact"/>
              <w:jc w:val="center"/>
            </w:pPr>
            <w:r>
              <w:rPr>
                <w:b w:val="0"/>
              </w:rPr>
              <w:t>58.83%</w:t>
            </w:r>
          </w:p>
        </w:tc>
        <w:tc>
          <w:tcPr>
            <w:tcW w:type="dxa" w:w="668"/>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673"/>
          </w:tcPr>
          <w:p>
            <w:pPr>
              <w:pStyle w:val="Compact"/>
              <w:jc w:val="left"/>
            </w:pPr>
            <w:r>
              <w:rPr>
                <w:b w:val="0"/>
              </w:rPr>
              <w:t>0.33</w:t>
            </w:r>
          </w:p>
        </w:tc>
      </w:tr>
      <w:tr>
        <w:tc>
          <w:tcPr>
            <w:tcW w:type="dxa" w:w="1991"/>
          </w:tcPr>
          <w:p>
            <w:pPr>
              <w:pStyle w:val="Compact"/>
              <w:jc w:val="left"/>
            </w:pPr>
            <w:r>
              <w:rPr>
                <w:b w:val="0"/>
              </w:rPr>
              <w:t>gemma4:31b-mlx</w:t>
            </w:r>
          </w:p>
        </w:tc>
        <w:tc>
          <w:tcPr>
            <w:tcW w:type="dxa" w:w="668"/>
          </w:tcPr>
          <w:p>
            <w:pPr>
              <w:pStyle w:val="Compact"/>
              <w:jc w:val="left"/>
            </w:pPr>
            <w:r>
              <w:rPr>
                <w:b w:val="0"/>
              </w:rPr>
              <w:t>Local</w:t>
            </w:r>
          </w:p>
        </w:tc>
        <w:tc>
          <w:tcPr>
            <w:tcW w:type="dxa" w:w="948"/>
          </w:tcPr>
          <w:p>
            <w:pPr>
              <w:pStyle w:val="Compact"/>
              <w:jc w:val="left"/>
            </w:pPr>
            <w:r>
              <w:rPr>
                <w:b w:val="0"/>
              </w:rPr>
              <w:t>31B</w:t>
            </w:r>
          </w:p>
        </w:tc>
        <w:tc>
          <w:tcPr>
            <w:tcW w:type="dxa" w:w="668"/>
          </w:tcPr>
          <w:p>
            <w:pPr>
              <w:pStyle w:val="Compact"/>
              <w:jc w:val="center"/>
            </w:pPr>
            <w:r>
              <w:rPr>
                <w:b w:val="0"/>
              </w:rPr>
              <w:t>68.52%</w:t>
            </w:r>
          </w:p>
        </w:tc>
        <w:tc>
          <w:tcPr>
            <w:tcW w:type="dxa" w:w="853"/>
          </w:tcPr>
          <w:p>
            <w:pPr>
              <w:pStyle w:val="Compact"/>
              <w:jc w:val="center"/>
            </w:pPr>
            <w:r>
              <w:rPr>
                <w:b w:val="0"/>
              </w:rPr>
              <w:t>58.31%</w:t>
            </w:r>
          </w:p>
        </w:tc>
        <w:tc>
          <w:tcPr>
            <w:tcW w:type="dxa" w:w="668"/>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673"/>
          </w:tcPr>
          <w:p>
            <w:pPr>
              <w:pStyle w:val="Compact"/>
              <w:jc w:val="left"/>
            </w:pPr>
            <w:r>
              <w:rPr>
                <w:b w:val="0"/>
              </w:rPr>
              <w:t>0.74</w:t>
            </w:r>
          </w:p>
        </w:tc>
      </w:tr>
      <w:tr>
        <w:tc>
          <w:tcPr>
            <w:tcW w:type="dxa" w:w="1991"/>
          </w:tcPr>
          <w:p>
            <w:pPr>
              <w:pStyle w:val="Compact"/>
              <w:jc w:val="left"/>
            </w:pPr>
            <w:r>
              <w:rPr>
                <w:b w:val="0"/>
              </w:rPr>
              <w:t>gemma4:latest (ZS-ES)</w:t>
            </w:r>
          </w:p>
        </w:tc>
        <w:tc>
          <w:tcPr>
            <w:tcW w:type="dxa" w:w="668"/>
          </w:tcPr>
          <w:p>
            <w:pPr>
              <w:pStyle w:val="Compact"/>
              <w:jc w:val="left"/>
            </w:pPr>
            <w:r>
              <w:rPr>
                <w:b w:val="0"/>
              </w:rPr>
              <w:t>Local</w:t>
            </w:r>
          </w:p>
        </w:tc>
        <w:tc>
          <w:tcPr>
            <w:tcW w:type="dxa" w:w="948"/>
          </w:tcPr>
          <w:p>
            <w:pPr>
              <w:pStyle w:val="Compact"/>
              <w:jc w:val="left"/>
            </w:pPr>
            <w:r>
              <w:rPr>
                <w:b w:val="0"/>
              </w:rPr>
              <w:t>9B</w:t>
            </w:r>
          </w:p>
        </w:tc>
        <w:tc>
          <w:tcPr>
            <w:tcW w:type="dxa" w:w="668"/>
          </w:tcPr>
          <w:p>
            <w:pPr>
              <w:pStyle w:val="Compact"/>
              <w:jc w:val="center"/>
            </w:pPr>
            <w:r>
              <w:rPr>
                <w:b w:val="0"/>
              </w:rPr>
              <w:t>68.43%</w:t>
            </w:r>
          </w:p>
        </w:tc>
        <w:tc>
          <w:tcPr>
            <w:tcW w:type="dxa" w:w="853"/>
          </w:tcPr>
          <w:p>
            <w:pPr>
              <w:pStyle w:val="Compact"/>
              <w:jc w:val="center"/>
            </w:pPr>
            <w:r>
              <w:rPr>
                <w:b w:val="0"/>
              </w:rPr>
              <w:t>60.68%</w:t>
            </w:r>
          </w:p>
        </w:tc>
        <w:tc>
          <w:tcPr>
            <w:tcW w:type="dxa" w:w="668"/>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673"/>
          </w:tcPr>
          <w:p>
            <w:pPr>
              <w:pStyle w:val="Compact"/>
              <w:jc w:val="left"/>
            </w:pPr>
            <w:r>
              <w:rPr>
                <w:b w:val="0"/>
              </w:rPr>
              <w:t>5.33</w:t>
            </w:r>
          </w:p>
        </w:tc>
      </w:tr>
      <w:tr>
        <w:tc>
          <w:tcPr>
            <w:tcW w:type="dxa" w:w="1991"/>
          </w:tcPr>
          <w:p>
            <w:pPr>
              <w:pStyle w:val="Compact"/>
              <w:jc w:val="left"/>
            </w:pPr>
            <w:r>
              <w:rPr>
                <w:b w:val="0"/>
              </w:rPr>
              <w:t>gemma4:31b-cloud</w:t>
            </w:r>
          </w:p>
        </w:tc>
        <w:tc>
          <w:tcPr>
            <w:tcW w:type="dxa" w:w="668"/>
          </w:tcPr>
          <w:p>
            <w:pPr>
              <w:pStyle w:val="Compact"/>
              <w:jc w:val="left"/>
            </w:pPr>
            <w:r>
              <w:rPr>
                <w:b w:val="0"/>
              </w:rPr>
              <w:t>Cloud</w:t>
            </w:r>
          </w:p>
        </w:tc>
        <w:tc>
          <w:tcPr>
            <w:tcW w:type="dxa" w:w="948"/>
          </w:tcPr>
          <w:p>
            <w:pPr>
              <w:pStyle w:val="Compact"/>
              <w:jc w:val="left"/>
            </w:pPr>
            <w:r>
              <w:rPr>
                <w:b w:val="0"/>
              </w:rPr>
              <w:t>31B</w:t>
            </w:r>
          </w:p>
        </w:tc>
        <w:tc>
          <w:tcPr>
            <w:tcW w:type="dxa" w:w="668"/>
          </w:tcPr>
          <w:p>
            <w:pPr>
              <w:pStyle w:val="Compact"/>
              <w:jc w:val="center"/>
            </w:pPr>
            <w:r>
              <w:rPr>
                <w:b w:val="0"/>
              </w:rPr>
              <w:t>66.99%</w:t>
            </w:r>
          </w:p>
        </w:tc>
        <w:tc>
          <w:tcPr>
            <w:tcW w:type="dxa" w:w="853"/>
          </w:tcPr>
          <w:p>
            <w:pPr>
              <w:pStyle w:val="Compact"/>
              <w:jc w:val="center"/>
            </w:pPr>
            <w:r>
              <w:rPr>
                <w:b w:val="0"/>
              </w:rPr>
              <w:t>55.46%</w:t>
            </w:r>
          </w:p>
        </w:tc>
        <w:tc>
          <w:tcPr>
            <w:tcW w:type="dxa" w:w="668"/>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673"/>
          </w:tcPr>
          <w:p>
            <w:pPr>
              <w:pStyle w:val="Compact"/>
              <w:jc w:val="left"/>
            </w:pPr>
            <w:r>
              <w:rPr>
                <w:b w:val="0"/>
              </w:rPr>
              <w:t>—</w:t>
            </w:r>
          </w:p>
        </w:tc>
      </w:tr>
      <w:tr>
        <w:tc>
          <w:tcPr>
            <w:tcW w:type="dxa" w:w="1991"/>
          </w:tcPr>
          <w:p>
            <w:pPr>
              <w:pStyle w:val="Compact"/>
              <w:jc w:val="left"/>
            </w:pPr>
            <w:r>
              <w:rPr>
                <w:b w:val="0"/>
              </w:rPr>
              <w:t>llama3.2:latest</w:t>
            </w:r>
          </w:p>
        </w:tc>
        <w:tc>
          <w:tcPr>
            <w:tcW w:type="dxa" w:w="668"/>
          </w:tcPr>
          <w:p>
            <w:pPr>
              <w:pStyle w:val="Compact"/>
              <w:jc w:val="left"/>
            </w:pPr>
            <w:r>
              <w:rPr>
                <w:b w:val="0"/>
              </w:rPr>
              <w:t>Local</w:t>
            </w:r>
          </w:p>
        </w:tc>
        <w:tc>
          <w:tcPr>
            <w:tcW w:type="dxa" w:w="948"/>
          </w:tcPr>
          <w:p>
            <w:pPr>
              <w:pStyle w:val="Compact"/>
              <w:jc w:val="left"/>
            </w:pPr>
            <w:r>
              <w:rPr>
                <w:b w:val="0"/>
              </w:rPr>
              <w:t>3B</w:t>
            </w:r>
          </w:p>
        </w:tc>
        <w:tc>
          <w:tcPr>
            <w:tcW w:type="dxa" w:w="668"/>
          </w:tcPr>
          <w:p>
            <w:pPr>
              <w:pStyle w:val="Compact"/>
              <w:jc w:val="center"/>
            </w:pPr>
            <w:r>
              <w:rPr>
                <w:b w:val="0"/>
              </w:rPr>
              <w:t>63.19%</w:t>
            </w:r>
          </w:p>
        </w:tc>
        <w:tc>
          <w:tcPr>
            <w:tcW w:type="dxa" w:w="853"/>
          </w:tcPr>
          <w:p>
            <w:pPr>
              <w:pStyle w:val="Compact"/>
              <w:jc w:val="center"/>
            </w:pPr>
            <w:r>
              <w:rPr>
                <w:b w:val="0"/>
              </w:rPr>
              <w:t>62.82%</w:t>
            </w:r>
          </w:p>
        </w:tc>
        <w:tc>
          <w:tcPr>
            <w:tcW w:type="dxa" w:w="668"/>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673"/>
          </w:tcPr>
          <w:p>
            <w:pPr>
              <w:pStyle w:val="Compact"/>
              <w:jc w:val="left"/>
            </w:pPr>
            <w:r>
              <w:rPr>
                <w:b w:val="0"/>
              </w:rPr>
              <w:t>26.44</w:t>
            </w:r>
          </w:p>
        </w:tc>
      </w:tr>
      <w:tr>
        <w:tc>
          <w:tcPr>
            <w:tcW w:type="dxa" w:w="1991"/>
          </w:tcPr>
          <w:p>
            <w:pPr>
              <w:pStyle w:val="Compact"/>
              <w:jc w:val="left"/>
            </w:pPr>
            <w:r>
              <w:rPr>
                <w:b w:val="0"/>
              </w:rPr>
              <w:t>gemma:latest</w:t>
            </w:r>
          </w:p>
        </w:tc>
        <w:tc>
          <w:tcPr>
            <w:tcW w:type="dxa" w:w="668"/>
          </w:tcPr>
          <w:p>
            <w:pPr>
              <w:pStyle w:val="Compact"/>
              <w:jc w:val="left"/>
            </w:pPr>
            <w:r>
              <w:rPr>
                <w:b w:val="0"/>
              </w:rPr>
              <w:t>Local</w:t>
            </w:r>
          </w:p>
        </w:tc>
        <w:tc>
          <w:tcPr>
            <w:tcW w:type="dxa" w:w="948"/>
          </w:tcPr>
          <w:p>
            <w:pPr>
              <w:pStyle w:val="Compact"/>
              <w:jc w:val="left"/>
            </w:pPr>
            <w:r>
              <w:rPr>
                <w:b w:val="0"/>
              </w:rPr>
              <w:t>7B</w:t>
            </w:r>
          </w:p>
        </w:tc>
        <w:tc>
          <w:tcPr>
            <w:tcW w:type="dxa" w:w="668"/>
          </w:tcPr>
          <w:p>
            <w:pPr>
              <w:pStyle w:val="Compact"/>
              <w:jc w:val="center"/>
            </w:pPr>
            <w:r>
              <w:rPr>
                <w:b w:val="0"/>
              </w:rPr>
              <w:t>62.66%</w:t>
            </w:r>
          </w:p>
        </w:tc>
        <w:tc>
          <w:tcPr>
            <w:tcW w:type="dxa" w:w="853"/>
          </w:tcPr>
          <w:p>
            <w:pPr>
              <w:pStyle w:val="Compact"/>
              <w:jc w:val="center"/>
            </w:pPr>
            <w:r>
              <w:rPr>
                <w:b w:val="0"/>
              </w:rPr>
              <w:t>58.47%</w:t>
            </w:r>
          </w:p>
        </w:tc>
        <w:tc>
          <w:tcPr>
            <w:tcW w:type="dxa" w:w="668"/>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673"/>
          </w:tcPr>
          <w:p>
            <w:pPr>
              <w:pStyle w:val="Compact"/>
              <w:jc w:val="left"/>
            </w:pPr>
            <w:r>
              <w:rPr>
                <w:b w:val="0"/>
              </w:rPr>
              <w:t>5.17</w:t>
            </w:r>
          </w:p>
        </w:tc>
      </w:tr>
      <w:tr>
        <w:tc>
          <w:tcPr>
            <w:tcW w:type="dxa" w:w="1991"/>
          </w:tcPr>
          <w:p>
            <w:pPr>
              <w:pStyle w:val="Compact"/>
              <w:jc w:val="left"/>
            </w:pPr>
            <w:r>
              <w:rPr>
                <w:b w:val="0"/>
              </w:rPr>
              <w:t>qwen2.5:14b</w:t>
            </w:r>
          </w:p>
        </w:tc>
        <w:tc>
          <w:tcPr>
            <w:tcW w:type="dxa" w:w="668"/>
          </w:tcPr>
          <w:p>
            <w:pPr>
              <w:pStyle w:val="Compact"/>
              <w:jc w:val="left"/>
            </w:pPr>
            <w:r>
              <w:rPr>
                <w:b w:val="0"/>
              </w:rPr>
              <w:t>Local</w:t>
            </w:r>
          </w:p>
        </w:tc>
        <w:tc>
          <w:tcPr>
            <w:tcW w:type="dxa" w:w="948"/>
          </w:tcPr>
          <w:p>
            <w:pPr>
              <w:pStyle w:val="Compact"/>
              <w:jc w:val="left"/>
            </w:pPr>
            <w:r>
              <w:rPr>
                <w:b w:val="0"/>
              </w:rPr>
              <w:t>14B</w:t>
            </w:r>
          </w:p>
        </w:tc>
        <w:tc>
          <w:tcPr>
            <w:tcW w:type="dxa" w:w="668"/>
          </w:tcPr>
          <w:p>
            <w:pPr>
              <w:pStyle w:val="Compact"/>
              <w:jc w:val="center"/>
            </w:pPr>
            <w:r>
              <w:rPr>
                <w:b w:val="0"/>
              </w:rPr>
              <w:t>61.06%</w:t>
            </w:r>
          </w:p>
        </w:tc>
        <w:tc>
          <w:tcPr>
            <w:tcW w:type="dxa" w:w="853"/>
          </w:tcPr>
          <w:p>
            <w:pPr>
              <w:pStyle w:val="Compact"/>
              <w:jc w:val="center"/>
            </w:pPr>
            <w:r>
              <w:rPr>
                <w:b w:val="0"/>
              </w:rPr>
              <w:t>57.60%</w:t>
            </w:r>
          </w:p>
        </w:tc>
        <w:tc>
          <w:tcPr>
            <w:tcW w:type="dxa" w:w="668"/>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673"/>
          </w:tcPr>
          <w:p>
            <w:pPr>
              <w:pStyle w:val="Compact"/>
              <w:jc w:val="left"/>
            </w:pPr>
            <w:r>
              <w:rPr>
                <w:b w:val="0"/>
              </w:rPr>
              <w:t>1.57</w:t>
            </w:r>
          </w:p>
        </w:tc>
      </w:tr>
      <w:tr>
        <w:tc>
          <w:tcPr>
            <w:tcW w:type="dxa" w:w="1991"/>
          </w:tcPr>
          <w:p>
            <w:pPr>
              <w:pStyle w:val="Compact"/>
              <w:jc w:val="left"/>
            </w:pPr>
            <w:r>
              <w:rPr>
                <w:b w:val="0"/>
              </w:rPr>
              <w:t>llama3.1:8b</w:t>
            </w:r>
          </w:p>
        </w:tc>
        <w:tc>
          <w:tcPr>
            <w:tcW w:type="dxa" w:w="668"/>
          </w:tcPr>
          <w:p>
            <w:pPr>
              <w:pStyle w:val="Compact"/>
              <w:jc w:val="left"/>
            </w:pPr>
            <w:r>
              <w:rPr>
                <w:b w:val="0"/>
              </w:rPr>
              <w:t>Local</w:t>
            </w:r>
          </w:p>
        </w:tc>
        <w:tc>
          <w:tcPr>
            <w:tcW w:type="dxa" w:w="948"/>
          </w:tcPr>
          <w:p>
            <w:pPr>
              <w:pStyle w:val="Compact"/>
              <w:jc w:val="left"/>
            </w:pPr>
            <w:r>
              <w:rPr>
                <w:b w:val="0"/>
              </w:rPr>
              <w:t>8B</w:t>
            </w:r>
          </w:p>
        </w:tc>
        <w:tc>
          <w:tcPr>
            <w:tcW w:type="dxa" w:w="668"/>
          </w:tcPr>
          <w:p>
            <w:pPr>
              <w:pStyle w:val="Compact"/>
              <w:jc w:val="center"/>
            </w:pPr>
            <w:r>
              <w:rPr>
                <w:b w:val="0"/>
              </w:rPr>
              <w:t>60.72%</w:t>
            </w:r>
          </w:p>
        </w:tc>
        <w:tc>
          <w:tcPr>
            <w:tcW w:type="dxa" w:w="853"/>
          </w:tcPr>
          <w:p>
            <w:pPr>
              <w:pStyle w:val="Compact"/>
              <w:jc w:val="center"/>
            </w:pPr>
            <w:r>
              <w:rPr>
                <w:b w:val="0"/>
              </w:rPr>
              <w:t>53.70%</w:t>
            </w:r>
          </w:p>
        </w:tc>
        <w:tc>
          <w:tcPr>
            <w:tcW w:type="dxa" w:w="668"/>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673"/>
          </w:tcPr>
          <w:p>
            <w:pPr>
              <w:pStyle w:val="Compact"/>
              <w:jc w:val="left"/>
            </w:pPr>
            <w:r>
              <w:rPr>
                <w:b w:val="0"/>
              </w:rPr>
              <w:t>5.03</w:t>
            </w:r>
          </w:p>
        </w:tc>
      </w:tr>
      <w:tr>
        <w:tc>
          <w:tcPr>
            <w:tcW w:type="dxa" w:w="1991"/>
          </w:tcPr>
          <w:p>
            <w:pPr>
              <w:pStyle w:val="Compact"/>
              <w:jc w:val="left"/>
            </w:pPr>
            <w:r>
              <w:rPr>
                <w:b w:val="0"/>
              </w:rPr>
              <w:t>qwen3:8b</w:t>
            </w:r>
          </w:p>
        </w:tc>
        <w:tc>
          <w:tcPr>
            <w:tcW w:type="dxa" w:w="668"/>
          </w:tcPr>
          <w:p>
            <w:pPr>
              <w:pStyle w:val="Compact"/>
              <w:jc w:val="left"/>
            </w:pPr>
            <w:r>
              <w:rPr>
                <w:b w:val="0"/>
              </w:rPr>
              <w:t>Local</w:t>
            </w:r>
          </w:p>
        </w:tc>
        <w:tc>
          <w:tcPr>
            <w:tcW w:type="dxa" w:w="948"/>
          </w:tcPr>
          <w:p>
            <w:pPr>
              <w:pStyle w:val="Compact"/>
              <w:jc w:val="left"/>
            </w:pPr>
            <w:r>
              <w:rPr>
                <w:b w:val="0"/>
              </w:rPr>
              <w:t>8B</w:t>
            </w:r>
          </w:p>
        </w:tc>
        <w:tc>
          <w:tcPr>
            <w:tcW w:type="dxa" w:w="668"/>
          </w:tcPr>
          <w:p>
            <w:pPr>
              <w:pStyle w:val="Compact"/>
              <w:jc w:val="center"/>
            </w:pPr>
            <w:r>
              <w:rPr>
                <w:b w:val="0"/>
              </w:rPr>
              <w:t>53.65%</w:t>
            </w:r>
          </w:p>
        </w:tc>
        <w:tc>
          <w:tcPr>
            <w:tcW w:type="dxa" w:w="853"/>
          </w:tcPr>
          <w:p>
            <w:pPr>
              <w:pStyle w:val="Compact"/>
              <w:jc w:val="center"/>
            </w:pPr>
            <w:r>
              <w:rPr>
                <w:b w:val="0"/>
              </w:rPr>
              <w:t>46.75%</w:t>
            </w:r>
          </w:p>
        </w:tc>
        <w:tc>
          <w:tcPr>
            <w:tcW w:type="dxa" w:w="668"/>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673"/>
          </w:tcPr>
          <w:p>
            <w:pPr>
              <w:pStyle w:val="Compact"/>
              <w:jc w:val="left"/>
            </w:pPr>
            <w:r>
              <w:rPr>
                <w:b w:val="0"/>
              </w:rPr>
              <w:t>4.56</w:t>
            </w:r>
          </w:p>
        </w:tc>
      </w:tr>
      <w:tr>
        <w:tc>
          <w:tcPr>
            <w:tcW w:type="dxa" w:w="1991"/>
          </w:tcPr>
          <w:p>
            <w:pPr>
              <w:pStyle w:val="Compact"/>
              <w:jc w:val="left"/>
            </w:pPr>
            <w:r>
              <w:rPr>
                <w:b w:val="0"/>
              </w:rPr>
              <w:t>mistral-nemo:latest</w:t>
            </w:r>
          </w:p>
        </w:tc>
        <w:tc>
          <w:tcPr>
            <w:tcW w:type="dxa" w:w="668"/>
          </w:tcPr>
          <w:p>
            <w:pPr>
              <w:pStyle w:val="Compact"/>
              <w:jc w:val="left"/>
            </w:pPr>
            <w:r>
              <w:rPr>
                <w:b w:val="0"/>
              </w:rPr>
              <w:t>Local</w:t>
            </w:r>
          </w:p>
        </w:tc>
        <w:tc>
          <w:tcPr>
            <w:tcW w:type="dxa" w:w="948"/>
          </w:tcPr>
          <w:p>
            <w:pPr>
              <w:pStyle w:val="Compact"/>
              <w:jc w:val="left"/>
            </w:pPr>
            <w:r>
              <w:rPr>
                <w:b w:val="0"/>
              </w:rPr>
              <w:t>12B</w:t>
            </w:r>
          </w:p>
        </w:tc>
        <w:tc>
          <w:tcPr>
            <w:tcW w:type="dxa" w:w="668"/>
          </w:tcPr>
          <w:p>
            <w:pPr>
              <w:pStyle w:val="Compact"/>
              <w:jc w:val="center"/>
            </w:pPr>
            <w:r>
              <w:rPr>
                <w:b w:val="0"/>
              </w:rPr>
              <w:t>53.07%</w:t>
            </w:r>
          </w:p>
        </w:tc>
        <w:tc>
          <w:tcPr>
            <w:tcW w:type="dxa" w:w="853"/>
          </w:tcPr>
          <w:p>
            <w:pPr>
              <w:pStyle w:val="Compact"/>
              <w:jc w:val="center"/>
            </w:pPr>
            <w:r>
              <w:rPr>
                <w:b w:val="0"/>
              </w:rPr>
              <w:t>58.13%</w:t>
            </w:r>
          </w:p>
        </w:tc>
        <w:tc>
          <w:tcPr>
            <w:tcW w:type="dxa" w:w="668"/>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673"/>
          </w:tcPr>
          <w:p>
            <w:pPr>
              <w:pStyle w:val="Compact"/>
              <w:jc w:val="left"/>
            </w:pPr>
            <w:r>
              <w:rPr>
                <w:b w:val="0"/>
              </w:rPr>
              <w:t>2.36</w:t>
            </w:r>
          </w:p>
        </w:tc>
      </w:tr>
      <w:tr>
        <w:tc>
          <w:tcPr>
            <w:tcW w:type="dxa" w:w="1991"/>
          </w:tcPr>
          <w:p>
            <w:pPr>
              <w:pStyle w:val="Compact"/>
              <w:jc w:val="left"/>
            </w:pPr>
            <w:r>
              <w:rPr>
                <w:b w:val="0"/>
              </w:rPr>
              <w:t>nemotron-mini:4b</w:t>
            </w:r>
          </w:p>
        </w:tc>
        <w:tc>
          <w:tcPr>
            <w:tcW w:type="dxa" w:w="668"/>
          </w:tcPr>
          <w:p>
            <w:pPr>
              <w:pStyle w:val="Compact"/>
              <w:jc w:val="left"/>
            </w:pPr>
            <w:r>
              <w:rPr>
                <w:b w:val="0"/>
              </w:rPr>
              <w:t>Local</w:t>
            </w:r>
          </w:p>
        </w:tc>
        <w:tc>
          <w:tcPr>
            <w:tcW w:type="dxa" w:w="948"/>
          </w:tcPr>
          <w:p>
            <w:pPr>
              <w:pStyle w:val="Compact"/>
              <w:jc w:val="left"/>
            </w:pPr>
            <w:r>
              <w:rPr>
                <w:b w:val="0"/>
              </w:rPr>
              <w:t>4B</w:t>
            </w:r>
          </w:p>
        </w:tc>
        <w:tc>
          <w:tcPr>
            <w:tcW w:type="dxa" w:w="668"/>
          </w:tcPr>
          <w:p>
            <w:pPr>
              <w:pStyle w:val="Compact"/>
              <w:jc w:val="center"/>
            </w:pPr>
            <w:r>
              <w:rPr>
                <w:b w:val="0"/>
              </w:rPr>
              <w:t>35.33%</w:t>
            </w:r>
          </w:p>
        </w:tc>
        <w:tc>
          <w:tcPr>
            <w:tcW w:type="dxa" w:w="853"/>
          </w:tcPr>
          <w:p>
            <w:pPr>
              <w:pStyle w:val="Compact"/>
              <w:jc w:val="center"/>
            </w:pPr>
            <w:r>
              <w:rPr>
                <w:b w:val="0"/>
              </w:rPr>
              <w:t>44.37%</w:t>
            </w:r>
          </w:p>
        </w:tc>
        <w:tc>
          <w:tcPr>
            <w:tcW w:type="dxa" w:w="668"/>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673"/>
          </w:tcPr>
          <w:p>
            <w:pPr>
              <w:pStyle w:val="Compact"/>
              <w:jc w:val="left"/>
            </w:pPr>
            <w:r>
              <w:rPr>
                <w:b w:val="0"/>
              </w:rPr>
              <w:t>17.08</w:t>
            </w:r>
          </w:p>
        </w:tc>
      </w:tr>
      <w:tr>
        <w:tc>
          <w:tcPr>
            <w:tcW w:type="dxa" w:w="1991"/>
          </w:tcPr>
          <w:p>
            <w:pPr>
              <w:pStyle w:val="Compact"/>
              <w:jc w:val="left"/>
            </w:pPr>
            <w:r>
              <w:rPr>
                <w:b w:val="0"/>
              </w:rPr>
              <w:t>deepseek-r1:1.5b</w:t>
            </w:r>
          </w:p>
        </w:tc>
        <w:tc>
          <w:tcPr>
            <w:tcW w:type="dxa" w:w="668"/>
          </w:tcPr>
          <w:p>
            <w:pPr>
              <w:pStyle w:val="Compact"/>
              <w:jc w:val="left"/>
            </w:pPr>
            <w:r>
              <w:rPr>
                <w:b w:val="0"/>
              </w:rPr>
              <w:t>Local</w:t>
            </w:r>
          </w:p>
        </w:tc>
        <w:tc>
          <w:tcPr>
            <w:tcW w:type="dxa" w:w="948"/>
          </w:tcPr>
          <w:p>
            <w:pPr>
              <w:pStyle w:val="Compact"/>
              <w:jc w:val="left"/>
            </w:pPr>
            <w:r>
              <w:rPr>
                <w:b w:val="0"/>
              </w:rPr>
              <w:t>1.5B</w:t>
            </w:r>
          </w:p>
        </w:tc>
        <w:tc>
          <w:tcPr>
            <w:tcW w:type="dxa" w:w="668"/>
          </w:tcPr>
          <w:p>
            <w:pPr>
              <w:pStyle w:val="Compact"/>
              <w:jc w:val="center"/>
            </w:pPr>
            <w:r>
              <w:rPr>
                <w:b w:val="0"/>
              </w:rPr>
              <w:t>27.65%</w:t>
            </w:r>
          </w:p>
        </w:tc>
        <w:tc>
          <w:tcPr>
            <w:tcW w:type="dxa" w:w="853"/>
          </w:tcPr>
          <w:p>
            <w:pPr>
              <w:pStyle w:val="Compact"/>
              <w:jc w:val="center"/>
            </w:pPr>
            <w:r>
              <w:rPr>
                <w:b w:val="0"/>
              </w:rPr>
              <w:t>39.49%</w:t>
            </w:r>
          </w:p>
        </w:tc>
        <w:tc>
          <w:tcPr>
            <w:tcW w:type="dxa" w:w="668"/>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673"/>
          </w:tcPr>
          <w:p>
            <w:pPr>
              <w:pStyle w:val="Compact"/>
              <w:jc w:val="left"/>
            </w:pPr>
            <w:r>
              <w:rPr>
                <w:b w:val="0"/>
              </w:rPr>
              <w:t>86.20</w:t>
            </w:r>
          </w:p>
        </w:tc>
      </w:tr>
    </w:tbl>
    <w:p>
      <w:pPr>
        <w:numPr>
          <w:ilvl w:val="0"/>
          <w:numId w:val="0"/>
        </w:numPr>
        <w:pStyle w:val="p1a"/>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el índice Tok/s/B sí lo es. Quedan fuera de la tabla los modelos excluidos del estudio (</w:t>
      </w:r>
      <w:r>
        <w:t>nuextract:latest</w:t>
      </w:r>
      <w:r>
        <w:t xml:space="preserve">, </w:t>
      </w:r>
      <w:r>
        <w:t>gemini-3.1-flash-lite</w:t>
      </w:r>
      <w:r>
        <w:t xml:space="preserve">, </w:t>
      </w:r>
      <w:r>
        <w:t>minimax-m3</w:t>
      </w:r>
      <w:r>
        <w:t>).</w:t>
      </w:r>
    </w:p>
    <w:p>
      <w:pPr>
        <w:numPr>
          <w:ilvl w:val="0"/>
          <w:numId w:val="0"/>
        </w:numPr>
        <w:pStyle w:val="p1a"/>
      </w:pPr>
      <w:r>
        <w:rPr>
          <w:b/>
        </w:rPr>
        <w:t>Hallazgo 1:</w:t>
      </w:r>
      <w:r>
        <w:t xml:space="preserve"> la familia gemma4 copa las cinco primeras posiciones. gemma4:latest con prompt few-shot en español (74.44%) supera a los dos modelos de 31B, a un tercio de su tamaño.</w:t>
      </w:r>
    </w:p>
    <w:p>
      <w:pPr>
        <w:numPr>
          <w:ilvl w:val="0"/>
          <w:numId w:val="0"/>
        </w:numPr>
        <w:pStyle w:val="p1a"/>
      </w:pPr>
      <w:r>
        <w:rPr>
          <w:b/>
        </w:rPr>
        <w:t>Hallazgo 2:</w:t>
      </w:r>
      <w:r>
        <w:t xml:space="preserve"> gemma4:31b lidera en Recall entre los locales (86.80%) con una tasa de alucinación de 0.16%, y su contraparte cloud alcanza un Recall equivalente (86.88%).</w:t>
      </w:r>
    </w:p>
    <w:p>
      <w:pPr>
        <w:numPr>
          <w:ilvl w:val="0"/>
          <w:numId w:val="0"/>
        </w:numPr>
        <w:pStyle w:val="p1a"/>
      </w:pPr>
      <w:r>
        <w:rPr>
          <w:b/>
        </w:rPr>
        <w:t>Hallazgo 3:</w:t>
      </w:r>
      <w:r>
        <w:t xml:space="preserve"> deepseek-r1:1.5b debe descartarse para producción: F1 de 27.65% y Recall de sólo 25.77%.</w:t>
      </w:r>
    </w:p>
    <w:p>
      <w:pPr>
        <w:numPr>
          <w:ilvl w:val="0"/>
          <w:numId w:val="0"/>
        </w:numPr>
        <w:pStyle w:val="p1a"/>
      </w:pPr>
      <w:r>
        <w:rPr>
          <w:b/>
        </w:rPr>
        <w:t>Hallazgo 4:</w:t>
      </w:r>
      <w:r>
        <w:t xml:space="preserve"> el índice de eficiencia de hardware (Tok/s/B) favorece a los modelos compactos —deepseek-r1:1.5b (86.20) y llama3.2 (26.44)— para screening masivo, mientras que gemma4:31b (0.33) se justifica para análisis de alto riesgo.</w:t>
      </w:r>
    </w:p>
    <w:p>
      <w:pPr>
        <w:numPr>
          <w:ilvl w:val="0"/>
          <w:numId w:val="0"/>
        </w:numPr>
        <w:pStyle w:val="heading2"/>
      </w:pPr>
      <w:r>
        <w:t>5.2 Análisis de Variantes de Prompts (gemma4:latest, N=15)</w:t>
      </w:r>
    </w:p>
    <w:p>
      <w:pPr>
        <w:numPr>
          <w:ilvl w:val="0"/>
          <w:numId w:val="0"/>
        </w:numPr>
        <w:pStyle w:val="tablecaption"/>
      </w:pPr>
      <w:r>
        <w:t>Tabla 6. Análisis de Variantes de Prompts (gemma4:latest, N=15)</w:t>
      </w:r>
    </w:p>
    <w:tbl>
      <w:tblPr>
        <w:tblStyle w:val="Table"/>
        <w:tblW w:type="dxa" w:w="8838"/>
        <w:tblLayout w:type="fixed"/>
        <w:tblLook w:firstRow="1" w:lastRow="0" w:firstColumn="0" w:lastColumn="0" w:noHBand="0" w:noVBand="0" w:val="0020"/>
      </w:tblPr>
      <w:tblGrid>
        <w:gridCol w:w="2687"/>
        <w:gridCol w:w="686"/>
        <w:gridCol w:w="895"/>
        <w:gridCol w:w="686"/>
        <w:gridCol w:w="1293"/>
        <w:gridCol w:w="1194"/>
        <w:gridCol w:w="1397"/>
      </w:tblGrid>
      <w:tr>
        <w:trPr>
          <w:tblHeader w:val="on"/>
        </w:trPr>
        <w:tc>
          <w:tcPr>
            <w:tcW w:type="dxa" w:w="2687"/>
          </w:tcPr>
          <w:p>
            <w:pPr>
              <w:pStyle w:val="Compact"/>
              <w:jc w:val="left"/>
            </w:pPr>
            <w:r>
              <w:rPr>
                <w:b/>
              </w:rPr>
              <w:t>Configuración</w:t>
            </w:r>
          </w:p>
        </w:tc>
        <w:tc>
          <w:tcPr>
            <w:tcW w:type="dxa" w:w="686"/>
          </w:tcPr>
          <w:p>
            <w:pPr>
              <w:pStyle w:val="Compact"/>
              <w:jc w:val="left"/>
            </w:pPr>
            <w:r>
              <w:rPr>
                <w:b/>
              </w:rPr>
              <w:t>F1</w:t>
            </w:r>
          </w:p>
        </w:tc>
        <w:tc>
          <w:tcPr>
            <w:tcW w:type="dxa" w:w="895"/>
          </w:tcPr>
          <w:p>
            <w:pPr>
              <w:pStyle w:val="Compact"/>
              <w:jc w:val="left"/>
            </w:pPr>
            <w:r>
              <w:rPr>
                <w:b/>
              </w:rPr>
              <w:t>Precisión</w:t>
            </w:r>
          </w:p>
        </w:tc>
        <w:tc>
          <w:tcPr>
            <w:tcW w:type="dxa" w:w="686"/>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687"/>
          </w:tcPr>
          <w:p>
            <w:pPr>
              <w:pStyle w:val="Compact"/>
              <w:jc w:val="left"/>
            </w:pPr>
            <w:r>
              <w:rPr>
                <w:b w:val="0"/>
              </w:rPr>
              <w:t>Zero-shot Inglés (Baseline)</w:t>
            </w:r>
          </w:p>
        </w:tc>
        <w:tc>
          <w:tcPr>
            <w:tcW w:type="dxa" w:w="686"/>
          </w:tcPr>
          <w:p>
            <w:pPr>
              <w:pStyle w:val="Compact"/>
              <w:jc w:val="left"/>
            </w:pPr>
            <w:r>
              <w:rPr>
                <w:b w:val="0"/>
              </w:rPr>
              <w:t>64.05%</w:t>
            </w:r>
          </w:p>
        </w:tc>
        <w:tc>
          <w:tcPr>
            <w:tcW w:type="dxa" w:w="895"/>
          </w:tcPr>
          <w:p>
            <w:pPr>
              <w:pStyle w:val="Compact"/>
              <w:jc w:val="left"/>
            </w:pPr>
            <w:r>
              <w:rPr>
                <w:b w:val="0"/>
              </w:rPr>
              <w:t>57.69%</w:t>
            </w:r>
          </w:p>
        </w:tc>
        <w:tc>
          <w:tcPr>
            <w:tcW w:type="dxa" w:w="686"/>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687"/>
          </w:tcPr>
          <w:p>
            <w:pPr>
              <w:pStyle w:val="Compact"/>
              <w:jc w:val="left"/>
            </w:pPr>
            <w:r>
              <w:rPr>
                <w:b w:val="0"/>
              </w:rPr>
              <w:t>Zero-shot Español</w:t>
            </w:r>
          </w:p>
        </w:tc>
        <w:tc>
          <w:tcPr>
            <w:tcW w:type="dxa" w:w="686"/>
          </w:tcPr>
          <w:p>
            <w:pPr>
              <w:pStyle w:val="Compact"/>
              <w:jc w:val="left"/>
            </w:pPr>
            <w:r>
              <w:rPr>
                <w:b w:val="0"/>
              </w:rPr>
              <w:t>68.43%</w:t>
            </w:r>
          </w:p>
        </w:tc>
        <w:tc>
          <w:tcPr>
            <w:tcW w:type="dxa" w:w="895"/>
          </w:tcPr>
          <w:p>
            <w:pPr>
              <w:pStyle w:val="Compact"/>
              <w:jc w:val="left"/>
            </w:pPr>
            <w:r>
              <w:rPr>
                <w:b w:val="0"/>
              </w:rPr>
              <w:t>60.68%</w:t>
            </w:r>
          </w:p>
        </w:tc>
        <w:tc>
          <w:tcPr>
            <w:tcW w:type="dxa" w:w="686"/>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687"/>
          </w:tcPr>
          <w:p>
            <w:pPr>
              <w:pStyle w:val="Compact"/>
              <w:jc w:val="left"/>
            </w:pPr>
            <w:r>
              <w:rPr>
                <w:b w:val="0"/>
              </w:rPr>
              <w:t>Few-shot Inglés</w:t>
            </w:r>
          </w:p>
        </w:tc>
        <w:tc>
          <w:tcPr>
            <w:tcW w:type="dxa" w:w="686"/>
          </w:tcPr>
          <w:p>
            <w:pPr>
              <w:pStyle w:val="Compact"/>
              <w:jc w:val="left"/>
            </w:pPr>
            <w:r>
              <w:rPr>
                <w:b w:val="0"/>
              </w:rPr>
              <w:t>63.32%</w:t>
            </w:r>
          </w:p>
        </w:tc>
        <w:tc>
          <w:tcPr>
            <w:tcW w:type="dxa" w:w="895"/>
          </w:tcPr>
          <w:p>
            <w:pPr>
              <w:pStyle w:val="Compact"/>
              <w:jc w:val="left"/>
            </w:pPr>
            <w:r>
              <w:rPr>
                <w:b w:val="0"/>
              </w:rPr>
              <w:t>55.81%</w:t>
            </w:r>
          </w:p>
        </w:tc>
        <w:tc>
          <w:tcPr>
            <w:tcW w:type="dxa" w:w="686"/>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−0.73 pp</w:t>
            </w:r>
          </w:p>
        </w:tc>
      </w:tr>
      <w:tr>
        <w:tc>
          <w:tcPr>
            <w:tcW w:type="dxa" w:w="2687"/>
          </w:tcPr>
          <w:p>
            <w:pPr>
              <w:pStyle w:val="Compact"/>
              <w:jc w:val="left"/>
            </w:pPr>
            <w:r>
              <w:rPr>
                <w:b w:val="0"/>
              </w:rPr>
              <w:t>Few-shot Español</w:t>
            </w:r>
          </w:p>
        </w:tc>
        <w:tc>
          <w:tcPr>
            <w:tcW w:type="dxa" w:w="686"/>
          </w:tcPr>
          <w:p>
            <w:pPr>
              <w:pStyle w:val="Compact"/>
              <w:jc w:val="left"/>
            </w:pPr>
            <w:r>
              <w:rPr>
                <w:b/>
              </w:rPr>
              <w:t>74.44%</w:t>
            </w:r>
          </w:p>
        </w:tc>
        <w:tc>
          <w:tcPr>
            <w:tcW w:type="dxa" w:w="895"/>
          </w:tcPr>
          <w:p>
            <w:pPr>
              <w:pStyle w:val="Compact"/>
              <w:jc w:val="left"/>
            </w:pPr>
            <w:r>
              <w:rPr>
                <w:b/>
              </w:rPr>
              <w:t>66.78%</w:t>
            </w:r>
          </w:p>
        </w:tc>
        <w:tc>
          <w:tcPr>
            <w:tcW w:type="dxa" w:w="686"/>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+11.12 pp</w:t>
            </w:r>
          </w:p>
        </w:tc>
      </w:tr>
    </w:tbl>
    <w:p>
      <w:pPr>
        <w:numPr>
          <w:ilvl w:val="0"/>
          <w:numId w:val="0"/>
        </w:numPr>
        <w:pStyle w:val="p1a"/>
      </w:pPr>
      <w:r>
        <w:t xml:space="preserve">Medido sobre </w:t>
      </w:r>
      <w:r>
        <w:t>results/ablacion_n15_REMOTO/benchmark_results.csv</w:t>
      </w:r>
      <w:r>
        <w:t xml:space="preserve"> (N=15, modo </w:t>
      </w:r>
      <w:r>
        <w:t>entities</w:t>
      </w:r>
      <w:r>
        <w:t>), con el corrector de puntuación aplicado.</w:t>
      </w:r>
    </w:p>
    <w:p>
      <w:pPr>
        <w:numPr>
          <w:ilvl w:val="0"/>
          <w:numId w:val="0"/>
        </w:numPr>
        <w:pStyle w:val="p1a"/>
      </w:pPr>
      <w:r>
        <w:rPr>
          <w:b/>
        </w:rPr>
        <w:t>Hallazgo 4:</w:t>
      </w:r>
      <w:r>
        <w:t xml:space="preserve"> ninguno de los dos factores basta por separado —la localización al español aporta +4.38 pp y los ejemplos </w:t>
      </w:r>
      <w:r>
        <w:rPr>
          <w:i/>
        </w:rPr>
        <w:t>few-shot</w:t>
      </w:r>
      <w:r>
        <w:t xml:space="preserve"> en inglés restan 0.73 pp—, pero </w:t>
      </w:r>
      <w:r>
        <w:rPr>
          <w:b/>
        </w:rPr>
        <w:t>su combinación alcanza +11.12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p1a"/>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w:t>
      </w:r>
    </w:p>
    <w:p>
      <w:pPr>
        <w:numPr>
          <w:ilvl w:val="0"/>
          <w:numId w:val="0"/>
        </w:numPr>
        <w:pStyle w:val="tablecaption"/>
      </w:pPr>
      <w:r>
        <w:t>Tabla 7. Validación Estadística sobre el Corpus del Dominio (N=30)</w:t>
      </w:r>
    </w:p>
    <w:tbl>
      <w:tblPr>
        <w:tblStyle w:val="Table"/>
        <w:tblW w:type="dxa" w:w="8838"/>
        <w:tblLayout w:type="fixed"/>
        <w:tblLook w:firstRow="1" w:lastRow="0" w:firstColumn="0" w:lastColumn="0" w:noHBand="0" w:noVBand="0" w:val="0020"/>
      </w:tblPr>
      <w:tblGrid>
        <w:gridCol w:w="2028"/>
        <w:gridCol w:w="1014"/>
        <w:gridCol w:w="1303"/>
        <w:gridCol w:w="1014"/>
        <w:gridCol w:w="2607"/>
        <w:gridCol w:w="872"/>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607"/>
          </w:tcPr>
          <w:p>
            <w:pPr>
              <w:pStyle w:val="Compact"/>
              <w:jc w:val="center"/>
            </w:pPr>
            <w:r>
              <w:rPr>
                <w:b/>
              </w:rPr>
              <w:t>IC 95 % del F1</w:t>
            </w:r>
          </w:p>
        </w:tc>
        <w:tc>
          <w:tcPr>
            <w:tcW w:type="dxa" w:w="872"/>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607"/>
          </w:tcPr>
          <w:p>
            <w:pPr>
              <w:pStyle w:val="Compact"/>
              <w:jc w:val="center"/>
            </w:pPr>
            <w:r>
              <w:rPr>
                <w:b w:val="0"/>
              </w:rPr>
              <w:t>[74.22 %, 86.92 %]</w:t>
            </w:r>
          </w:p>
        </w:tc>
        <w:tc>
          <w:tcPr>
            <w:tcW w:type="dxa" w:w="872"/>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607"/>
          </w:tcPr>
          <w:p>
            <w:pPr>
              <w:pStyle w:val="Compact"/>
              <w:jc w:val="center"/>
            </w:pPr>
            <w:r>
              <w:rPr>
                <w:b w:val="0"/>
              </w:rPr>
              <w:t>[72.59 %, 84.52 %]</w:t>
            </w:r>
          </w:p>
        </w:tc>
        <w:tc>
          <w:tcPr>
            <w:tcW w:type="dxa" w:w="872"/>
          </w:tcPr>
          <w:p>
            <w:pPr>
              <w:pStyle w:val="Compact"/>
              <w:jc w:val="left"/>
            </w:pPr>
            <w:r>
              <w:rPr>
                <w:b w:val="0"/>
              </w:rPr>
              <w:t>0</w:t>
            </w:r>
          </w:p>
        </w:tc>
      </w:tr>
    </w:tbl>
    <w:p>
      <w:pPr>
        <w:numPr>
          <w:ilvl w:val="0"/>
          <w:numId w:val="0"/>
        </w:numPr>
        <w:pStyle w:val="p1a"/>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w:t>
      </w:r>
      <w:r>
        <w:rPr>
          <w:b/>
        </w:rPr>
        <w:t>F = 0,2235 con p = 0,6382</w:t>
      </w:r>
      <w:r>
        <w:t>, de modo que no se rechaza la hipótesis nula y la diferencia entre ambos debe atribuirse a la variabilidad entre artículos y no a una superioridad real de una compilación sobre la otra. Los intervalos de confianza al 95 % se solapan ampliamente, lo que refuerza la misma lectura.</w:t>
      </w:r>
    </w:p>
    <w:p>
      <w:pPr>
        <w:numPr>
          <w:ilvl w:val="0"/>
          <w:numId w:val="0"/>
        </w:numPr>
        <w:pStyle w:val="p1a"/>
      </w:pPr>
      <w:r>
        <w:t xml:space="preserve">El </w:t>
      </w:r>
      <w:r>
        <w:rPr>
          <w:b/>
        </w:rPr>
        <w:t>análisis de sensibilidad</w:t>
      </w:r>
      <w:r>
        <w:t xml:space="preserve"> completa la validación. Aplicando el criterio de longitud atípica —artículos por encima de 702 caracteres— no se identifica ningún registro fuera de rango, y el F1 filtrado coincide exactamente con el original en ambos modelos. El resultado no depende, por tanto, de unos pocos textos extremos.</w:t>
      </w:r>
    </w:p>
    <w:p>
      <w:pPr>
        <w:numPr>
          <w:ilvl w:val="0"/>
          <w:numId w:val="0"/>
        </w:numPr>
        <w:pStyle w:val="p1a"/>
      </w:pPr>
      <w:r>
        <w:t xml:space="preserve">Vale la pena señalar una particularidad de procedencia. Una primera ejecución de este experimento, realizada en julio de 2026, reportó para </w:t>
      </w:r>
      <w:r>
        <w:t>gemma4:31b</w:t>
      </w:r>
      <w:r>
        <w:t xml:space="preserve"> un F1 de 79,03 %. Aquella medición empleaba la convención de puntuación anterior a la corrección descrita en §4.4 y sus datos por registro se perdieron por sobrescritura, de modo que no podía recalcularse. La ejecución aquí reportada la reemplaza y, al mismo tiempo, la valida: </w:t>
      </w:r>
      <w:r>
        <w:rPr>
          <w:b/>
        </w:rPr>
        <w:t>la precisión coincide hasta el cuarto decimal (73,34 %) y el F1 difiere en menos de medio punto</w:t>
      </w:r>
      <w:r>
        <w:t>, lo que confirma que el defecto de puntuación apenas afectaba a este experimento —consecuencia esperable de una exhaustividad tan alta, que deja pocas extracciones vacías sobre las que el error pudiera actuar—.</w:t>
      </w:r>
    </w:p>
    <w:p>
      <w:pPr>
        <w:numPr>
          <w:ilvl w:val="0"/>
          <w:numId w:val="0"/>
        </w:numPr>
        <w:pStyle w:val="heading3"/>
      </w:pPr>
      <w:r>
        <w:t>5.3.5 Validación Estadística sobre Corpus Real N=120 (estudio completo)</w:t>
      </w:r>
    </w:p>
    <w:p>
      <w:pPr>
        <w:numPr>
          <w:ilvl w:val="0"/>
          <w:numId w:val="0"/>
        </w:numPr>
        <w:pStyle w:val="p1a"/>
      </w:pPr>
      <w:r>
        <w:t xml:space="preserve">Sobre el corpus real N=120 descrito en §4.1.3 se ejecutó el mismo protocolo (ANOVA de una vía + Tukey HSD) para el </w:t>
      </w:r>
      <w:r>
        <w:rPr>
          <w:b/>
        </w:rPr>
        <w:t>estudio completo de 13 modelos</w:t>
      </w:r>
      <w:r>
        <w:t xml:space="preserve">, cada uno en modo </w:t>
      </w:r>
      <w:r>
        <w:rPr>
          <w:i/>
        </w:rPr>
        <w:t>baseline</w:t>
      </w:r>
      <w:r>
        <w:t xml:space="preserve"> y </w:t>
      </w:r>
      <w:r>
        <w:rPr>
          <w:i/>
        </w:rPr>
        <w:t>KB RAG</w:t>
      </w:r>
      <w:r>
        <w:t xml:space="preserve">, con N=120 observaciones por grupo (26 grupos, 3 120 observaciones). Resultados consolidados en </w:t>
      </w:r>
      <w:r>
        <w:t>results/ANALISIS_CONJUNTO_20260907/</w:t>
      </w:r>
      <w:r>
        <w:t>.</w:t>
      </w:r>
    </w:p>
    <w:p>
      <w:pPr>
        <w:numPr>
          <w:ilvl w:val="0"/>
          <w:numId w:val="0"/>
        </w:numPr>
        <w:pStyle w:val="tablecaption"/>
      </w:pPr>
      <w:r>
        <w:t>Tabla 8. Validación Estadística sobre Corpus Real N=120 (estudio completo)</w:t>
      </w:r>
    </w:p>
    <w:tbl>
      <w:tblPr>
        <w:tblStyle w:val="Table"/>
        <w:tblW w:type="dxa" w:w="8838"/>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62.38%</w:t>
            </w:r>
          </w:p>
        </w:tc>
        <w:tc>
          <w:tcPr>
            <w:tcW w:type="dxa" w:w="1262"/>
          </w:tcPr>
          <w:p>
            <w:pPr>
              <w:pStyle w:val="Compact"/>
              <w:jc w:val="left"/>
            </w:pPr>
            <w:r>
              <w:rPr>
                <w:b w:val="0"/>
              </w:rPr>
              <w:t>61.85%</w:t>
            </w:r>
          </w:p>
        </w:tc>
        <w:tc>
          <w:tcPr>
            <w:tcW w:type="dxa" w:w="1262"/>
          </w:tcPr>
          <w:p>
            <w:pPr>
              <w:pStyle w:val="Compact"/>
              <w:jc w:val="center"/>
            </w:pPr>
            <w:r>
              <w:rPr>
                <w:b w:val="0"/>
              </w:rPr>
              <w:t>−0.53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59.25%</w:t>
            </w:r>
          </w:p>
        </w:tc>
        <w:tc>
          <w:tcPr>
            <w:tcW w:type="dxa" w:w="1262"/>
          </w:tcPr>
          <w:p>
            <w:pPr>
              <w:pStyle w:val="Compact"/>
              <w:jc w:val="left"/>
            </w:pPr>
            <w:r>
              <w:rPr>
                <w:b w:val="0"/>
              </w:rPr>
              <w:t>59.07%</w:t>
            </w:r>
          </w:p>
        </w:tc>
        <w:tc>
          <w:tcPr>
            <w:tcW w:type="dxa" w:w="1262"/>
          </w:tcPr>
          <w:p>
            <w:pPr>
              <w:pStyle w:val="Compact"/>
              <w:jc w:val="center"/>
            </w:pPr>
            <w:r>
              <w:rPr>
                <w:b w:val="0"/>
              </w:rPr>
              <w:t>−0.18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56.18%</w:t>
            </w:r>
          </w:p>
        </w:tc>
        <w:tc>
          <w:tcPr>
            <w:tcW w:type="dxa" w:w="1262"/>
          </w:tcPr>
          <w:p>
            <w:pPr>
              <w:pStyle w:val="Compact"/>
              <w:jc w:val="left"/>
            </w:pPr>
            <w:r>
              <w:rPr>
                <w:b w:val="0"/>
              </w:rPr>
              <w:t>58.46%</w:t>
            </w:r>
          </w:p>
        </w:tc>
        <w:tc>
          <w:tcPr>
            <w:tcW w:type="dxa" w:w="1262"/>
          </w:tcPr>
          <w:p>
            <w:pPr>
              <w:pStyle w:val="Compact"/>
              <w:jc w:val="center"/>
            </w:pPr>
            <w:r>
              <w:rPr>
                <w:b w:val="0"/>
              </w:rPr>
              <w:t>+2.28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55.91%</w:t>
            </w:r>
          </w:p>
        </w:tc>
        <w:tc>
          <w:tcPr>
            <w:tcW w:type="dxa" w:w="1262"/>
          </w:tcPr>
          <w:p>
            <w:pPr>
              <w:pStyle w:val="Compact"/>
              <w:jc w:val="left"/>
            </w:pPr>
            <w:r>
              <w:rPr>
                <w:b w:val="0"/>
              </w:rPr>
              <w:t>54.74%</w:t>
            </w:r>
          </w:p>
        </w:tc>
        <w:tc>
          <w:tcPr>
            <w:tcW w:type="dxa" w:w="1262"/>
          </w:tcPr>
          <w:p>
            <w:pPr>
              <w:pStyle w:val="Compact"/>
              <w:jc w:val="center"/>
            </w:pPr>
            <w:r>
              <w:rPr>
                <w:b w:val="0"/>
              </w:rPr>
              <w:t>−1.17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52.39%</w:t>
            </w:r>
          </w:p>
        </w:tc>
        <w:tc>
          <w:tcPr>
            <w:tcW w:type="dxa" w:w="1262"/>
          </w:tcPr>
          <w:p>
            <w:pPr>
              <w:pStyle w:val="Compact"/>
              <w:jc w:val="left"/>
            </w:pPr>
            <w:r>
              <w:rPr>
                <w:b w:val="0"/>
              </w:rPr>
              <w:t>55.67%</w:t>
            </w:r>
          </w:p>
        </w:tc>
        <w:tc>
          <w:tcPr>
            <w:tcW w:type="dxa" w:w="1262"/>
          </w:tcPr>
          <w:p>
            <w:pPr>
              <w:pStyle w:val="Compact"/>
              <w:jc w:val="center"/>
            </w:pPr>
            <w:r>
              <w:rPr>
                <w:b w:val="0"/>
              </w:rPr>
              <w:t>+3.28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50.22%</w:t>
            </w:r>
          </w:p>
        </w:tc>
        <w:tc>
          <w:tcPr>
            <w:tcW w:type="dxa" w:w="1262"/>
          </w:tcPr>
          <w:p>
            <w:pPr>
              <w:pStyle w:val="Compact"/>
              <w:jc w:val="left"/>
            </w:pPr>
            <w:r>
              <w:rPr>
                <w:b w:val="0"/>
              </w:rPr>
              <w:t>54.84%</w:t>
            </w:r>
          </w:p>
        </w:tc>
        <w:tc>
          <w:tcPr>
            <w:tcW w:type="dxa" w:w="1262"/>
          </w:tcPr>
          <w:p>
            <w:pPr>
              <w:pStyle w:val="Compact"/>
              <w:jc w:val="center"/>
            </w:pPr>
            <w:r>
              <w:rPr>
                <w:b w:val="0"/>
              </w:rPr>
              <w:t>+4.62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48.76%</w:t>
            </w:r>
          </w:p>
        </w:tc>
        <w:tc>
          <w:tcPr>
            <w:tcW w:type="dxa" w:w="1262"/>
          </w:tcPr>
          <w:p>
            <w:pPr>
              <w:pStyle w:val="Compact"/>
              <w:jc w:val="left"/>
            </w:pPr>
            <w:r>
              <w:rPr>
                <w:b w:val="0"/>
              </w:rPr>
              <w:t>50.75%</w:t>
            </w:r>
          </w:p>
        </w:tc>
        <w:tc>
          <w:tcPr>
            <w:tcW w:type="dxa" w:w="1262"/>
          </w:tcPr>
          <w:p>
            <w:pPr>
              <w:pStyle w:val="Compact"/>
              <w:jc w:val="center"/>
            </w:pPr>
            <w:r>
              <w:rPr>
                <w:b w:val="0"/>
              </w:rPr>
              <w:t>+1.99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48.21%</w:t>
            </w:r>
          </w:p>
        </w:tc>
        <w:tc>
          <w:tcPr>
            <w:tcW w:type="dxa" w:w="1262"/>
          </w:tcPr>
          <w:p>
            <w:pPr>
              <w:pStyle w:val="Compact"/>
              <w:jc w:val="left"/>
            </w:pPr>
            <w:r>
              <w:rPr>
                <w:b w:val="0"/>
              </w:rPr>
              <w:t>51.46%</w:t>
            </w:r>
          </w:p>
        </w:tc>
        <w:tc>
          <w:tcPr>
            <w:tcW w:type="dxa" w:w="1262"/>
          </w:tcPr>
          <w:p>
            <w:pPr>
              <w:pStyle w:val="Compact"/>
              <w:jc w:val="center"/>
            </w:pPr>
            <w:r>
              <w:rPr>
                <w:b w:val="0"/>
              </w:rPr>
              <w:t>+3.25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44.00%</w:t>
            </w:r>
          </w:p>
        </w:tc>
        <w:tc>
          <w:tcPr>
            <w:tcW w:type="dxa" w:w="1262"/>
          </w:tcPr>
          <w:p>
            <w:pPr>
              <w:pStyle w:val="Compact"/>
              <w:jc w:val="left"/>
            </w:pPr>
            <w:r>
              <w:rPr>
                <w:b w:val="0"/>
              </w:rPr>
              <w:t>51.36%</w:t>
            </w:r>
          </w:p>
        </w:tc>
        <w:tc>
          <w:tcPr>
            <w:tcW w:type="dxa" w:w="1262"/>
          </w:tcPr>
          <w:p>
            <w:pPr>
              <w:pStyle w:val="Compact"/>
              <w:jc w:val="center"/>
            </w:pPr>
            <w:r>
              <w:rPr>
                <w:b w:val="0"/>
              </w:rPr>
              <w:t>+7.36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43.38%</w:t>
            </w:r>
          </w:p>
        </w:tc>
        <w:tc>
          <w:tcPr>
            <w:tcW w:type="dxa" w:w="1262"/>
          </w:tcPr>
          <w:p>
            <w:pPr>
              <w:pStyle w:val="Compact"/>
              <w:jc w:val="left"/>
            </w:pPr>
            <w:r>
              <w:rPr>
                <w:b w:val="0"/>
              </w:rPr>
              <w:t>45.76%</w:t>
            </w:r>
          </w:p>
        </w:tc>
        <w:tc>
          <w:tcPr>
            <w:tcW w:type="dxa" w:w="1262"/>
          </w:tcPr>
          <w:p>
            <w:pPr>
              <w:pStyle w:val="Compact"/>
              <w:jc w:val="center"/>
            </w:pPr>
            <w:r>
              <w:rPr>
                <w:b w:val="0"/>
              </w:rPr>
              <w:t>+2.37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36.11%</w:t>
            </w:r>
          </w:p>
        </w:tc>
        <w:tc>
          <w:tcPr>
            <w:tcW w:type="dxa" w:w="1262"/>
          </w:tcPr>
          <w:p>
            <w:pPr>
              <w:pStyle w:val="Compact"/>
              <w:jc w:val="left"/>
            </w:pPr>
            <w:r>
              <w:rPr>
                <w:b w:val="0"/>
              </w:rPr>
              <w:t>46.93%</w:t>
            </w:r>
          </w:p>
        </w:tc>
        <w:tc>
          <w:tcPr>
            <w:tcW w:type="dxa" w:w="1262"/>
          </w:tcPr>
          <w:p>
            <w:pPr>
              <w:pStyle w:val="Compact"/>
              <w:jc w:val="center"/>
            </w:pPr>
            <w:r>
              <w:rPr>
                <w:b/>
              </w:rPr>
              <w:t>+10.82 pp</w:t>
            </w:r>
          </w:p>
        </w:tc>
        <w:tc>
          <w:tcPr>
            <w:tcW w:type="dxa" w:w="2106"/>
          </w:tcPr>
          <w:p>
            <w:pPr>
              <w:pStyle w:val="Compact"/>
              <w:jc w:val="center"/>
            </w:pPr>
            <w:r>
              <w:rPr>
                <w:b w:val="0"/>
              </w:rPr>
              <w:t>sí (p=0.007)</w:t>
            </w:r>
          </w:p>
        </w:tc>
      </w:tr>
      <w:tr>
        <w:tc>
          <w:tcPr>
            <w:tcW w:type="dxa" w:w="2665"/>
          </w:tcPr>
          <w:p>
            <w:pPr>
              <w:pStyle w:val="Compact"/>
              <w:jc w:val="left"/>
            </w:pPr>
            <w:r>
              <w:rPr>
                <w:b w:val="0"/>
              </w:rPr>
              <w:t>deepseek-r1:1.5b</w:t>
            </w:r>
          </w:p>
        </w:tc>
        <w:tc>
          <w:tcPr>
            <w:tcW w:type="dxa" w:w="1543"/>
          </w:tcPr>
          <w:p>
            <w:pPr>
              <w:pStyle w:val="Compact"/>
              <w:jc w:val="left"/>
            </w:pPr>
            <w:r>
              <w:rPr>
                <w:b w:val="0"/>
              </w:rPr>
              <w:t>24.83%</w:t>
            </w:r>
          </w:p>
        </w:tc>
        <w:tc>
          <w:tcPr>
            <w:tcW w:type="dxa" w:w="1262"/>
          </w:tcPr>
          <w:p>
            <w:pPr>
              <w:pStyle w:val="Compact"/>
              <w:jc w:val="left"/>
            </w:pPr>
            <w:r>
              <w:rPr>
                <w:b w:val="0"/>
              </w:rPr>
              <w:t>23.94%</w:t>
            </w:r>
          </w:p>
        </w:tc>
        <w:tc>
          <w:tcPr>
            <w:tcW w:type="dxa" w:w="1262"/>
          </w:tcPr>
          <w:p>
            <w:pPr>
              <w:pStyle w:val="Compact"/>
              <w:jc w:val="center"/>
            </w:pPr>
            <w:r>
              <w:rPr>
                <w:b w:val="0"/>
              </w:rPr>
              <w:t>−0.90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22.59%</w:t>
            </w:r>
          </w:p>
        </w:tc>
        <w:tc>
          <w:tcPr>
            <w:tcW w:type="dxa" w:w="1262"/>
          </w:tcPr>
          <w:p>
            <w:pPr>
              <w:pStyle w:val="Compact"/>
              <w:jc w:val="left"/>
            </w:pPr>
            <w:r>
              <w:rPr>
                <w:b w:val="0"/>
              </w:rPr>
              <w:t>37.12%</w:t>
            </w:r>
          </w:p>
        </w:tc>
        <w:tc>
          <w:tcPr>
            <w:tcW w:type="dxa" w:w="1262"/>
          </w:tcPr>
          <w:p>
            <w:pPr>
              <w:pStyle w:val="Compact"/>
              <w:jc w:val="center"/>
            </w:pPr>
            <w:r>
              <w:rPr>
                <w:b/>
              </w:rPr>
              <w:t>+14.52 pp</w:t>
            </w:r>
          </w:p>
        </w:tc>
        <w:tc>
          <w:tcPr>
            <w:tcW w:type="dxa" w:w="2106"/>
          </w:tcPr>
          <w:p>
            <w:pPr>
              <w:pStyle w:val="Compact"/>
              <w:jc w:val="center"/>
            </w:pPr>
            <w:r>
              <w:rPr>
                <w:b w:val="0"/>
              </w:rPr>
              <w:t>sí (p&lt;0.001)</w:t>
            </w:r>
          </w:p>
        </w:tc>
      </w:tr>
    </w:tbl>
    <w:p>
      <w:pPr>
        <w:numPr>
          <w:ilvl w:val="0"/>
          <w:numId w:val="0"/>
        </w:numPr>
        <w:pStyle w:val="p1a"/>
      </w:pPr>
      <w:r>
        <w:rPr>
          <w:b/>
        </w:rPr>
        <w:t>Limitación del corpus N=120 — codificación defectuosa de los nombres.</w:t>
      </w:r>
      <w:r>
        <w:t xml:space="preserve"> El corpus </w:t>
      </w:r>
      <w:r>
        <w:t>data/benchmark_balanced_120.json</w:t>
      </w:r>
      <w:r>
        <w:t xml:space="preserve"> almacena los nombres con </w:t>
      </w:r>
      <w:r>
        <w:rPr>
          <w:i/>
        </w:rPr>
        <w:t>mojibake</w:t>
      </w:r>
      <w:r>
        <w:t xml:space="preserve"> (bytes UTF-8 reinterpretados como Latin-1): guarda </w:t>
      </w:r>
      <w:r>
        <w:t>JosÃ© Bono</w:t>
      </w:r>
      <w:r>
        <w:t xml:space="preserve"> donde el nombre real es </w:t>
      </w:r>
      <w:r>
        <w:rPr>
          <w:b/>
        </w:rPr>
        <w:t>José Bono</w:t>
      </w:r>
      <w:r>
        <w:t xml:space="preserve">. Afecta a </w:t>
      </w:r>
      <w:r>
        <w:rPr>
          <w:b/>
        </w:rPr>
        <w:t>283 de 1 406 entidades de referencia (20,1 %)</w:t>
      </w:r>
      <w:r>
        <w:t xml:space="preserve"> y, de forma relevante, </w:t>
      </w:r>
      <w:r>
        <w:rPr>
          <w:b/>
        </w:rPr>
        <w:t>también al texto de entrada</w:t>
      </w:r>
      <w:r>
        <w:t xml:space="preserve"> (87 % de los artículos), donde las 283 entidades aparecen </w:t>
      </w:r>
      <w:r>
        <w:rPr>
          <w:b/>
        </w:rPr>
        <w:t>con la misma corrupción</w:t>
      </w:r>
      <w:r>
        <w:t xml:space="preserve">. El corpus es por tanto </w:t>
      </w:r>
      <w:r>
        <w:rPr>
          <w:b/>
        </w:rPr>
        <w:t>internamente coherente</w:t>
      </w:r>
      <w:r>
        <w:t xml:space="preserve">: un modelo que transcribe literalmente coincide con la referencia, mientras que uno que normaliza la ortografía al español correcto </w:t>
      </w:r>
      <w:r>
        <w:rPr>
          <w:b/>
        </w:rPr>
        <w:t>deja de coincidir</w:t>
      </w:r>
      <w:r>
        <w:t xml:space="preserve">. El efecto </w:t>
      </w:r>
      <w:r>
        <w:rPr>
          <w:b/>
        </w:rPr>
        <w:t>no es un sesgo uniforme</w:t>
      </w:r>
      <w:r>
        <w:t xml:space="preserve"> sino una interacción que </w:t>
      </w:r>
      <w:r>
        <w:rPr>
          <w:b/>
        </w:rPr>
        <w:t>depende del comportamiento de cada modelo</w:t>
      </w:r>
      <w:r>
        <w:t xml:space="preserve">: la diferencia de F1 entre los artículos afectados y los no afectados oscila entre </w:t>
      </w:r>
      <w:r>
        <w:rPr>
          <w:b/>
        </w:rPr>
        <w:t>−0.070 y +0.025</w:t>
      </w:r>
      <w:r>
        <w:t xml:space="preserve"> según el modelo. Los corpus N=15 y N=30 están </w:t>
      </w:r>
      <w:r>
        <w:rPr>
          <w:b/>
        </w:rPr>
        <w:t>libres de este defecto</w:t>
      </w:r>
      <w:r>
        <w:t xml:space="preserve"> (0 entidades afectadas), por lo que §5.1, §5.2 y §5.3 no se ven comprometidos. La corrección adecuada —normalizar la codificación </w:t>
      </w:r>
      <w:r>
        <w:rPr>
          <w:b/>
        </w:rPr>
        <w:t>en ambos lados</w:t>
      </w:r>
      <w:r>
        <w:t xml:space="preserve"> de la comparación— exige volver a inferir, ya que las extracciones por registro no se conservaron.</w:t>
      </w:r>
    </w:p>
    <w:p>
      <w:pPr>
        <w:numPr>
          <w:ilvl w:val="0"/>
          <w:numId w:val="0"/>
        </w:numPr>
        <w:pStyle w:val="p1a"/>
      </w:pPr>
      <w:r>
        <w:rPr>
          <w:b/>
        </w:rPr>
        <w:t>Dos salvedades de procedencia.</w:t>
      </w:r>
      <w:r>
        <w:t xml:space="preserve"> (i)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(114 de sus 240 filas registran exactamente 1,02 s). Su F1 es válido; su latencia y sus tokens/s no deben usarse en comparaciones de eficiencia. (ii) Siete filas de </w:t>
      </w:r>
      <w:r>
        <w:t>nemotron-mini:4b</w:t>
      </w:r>
      <w:r>
        <w:t xml:space="preserve"> tienen </w:t>
      </w:r>
      <w:r>
        <w:t>latencia = 0</w:t>
      </w:r>
      <w:r>
        <w:t xml:space="preserve"> y </w:t>
      </w:r>
      <w:r>
        <w:t>0 tokens/s</w:t>
      </w:r>
      <w:r>
        <w:t xml:space="preserve"> porque se re-extrajeron fuera del arnés de lotes tras un fallo de contexto; sus valores de precisión, </w:t>
      </w:r>
      <w:r>
        <w:rPr>
          <w:i/>
        </w:rPr>
        <w:t>recall</w:t>
      </w:r>
      <w:r>
        <w:t xml:space="preserve"> y F1 son reales, pero su telemetría no existe.</w:t>
      </w:r>
    </w:p>
    <w:p>
      <w:pPr>
        <w:numPr>
          <w:ilvl w:val="0"/>
          <w:numId w:val="0"/>
        </w:numPr>
        <w:pStyle w:val="p1a"/>
      </w:pPr>
      <w:r>
        <w:t xml:space="preserve">El ANOVA de una vía sobre los veintiséis grupos arroja </w:t>
      </w:r>
      <w:r>
        <w:rPr>
          <w:b/>
        </w:rPr>
        <w:t>F = 38,2222</w:t>
      </w:r>
      <w:r>
        <w:t xml:space="preserve"> con </w:t>
      </w:r>
      <w:r>
        <w:rPr>
          <w:b/>
        </w:rPr>
        <w:t>p = 3,4453 × 10⁻¹⁶⁰</w:t>
      </w:r>
      <w:r>
        <w:t xml:space="preserve">, de modo que se rechaza la hipótesis nula: las diferencias de desempeño entre modelos y modos son estadísticamente significativas, con una potencia muy superior a la del corpus del dominio, donde la comparación entre las dos compilaciones de 31B no alcanzaba significancia. El post-hoc de Tukey identifica 172 comparaciones significativas de las 325 posibles; pero al contrastar cada modelo consigo mismo —extracción directa frente a KB RAG— la mejora solo supera la corrección por comparaciones múltiples en </w:t>
      </w:r>
      <w:r>
        <w:t>nemotron-mini:4b</w:t>
      </w:r>
      <w:r>
        <w:t xml:space="preserve">, con 14,52 puntos, y en </w:t>
      </w:r>
      <w:r>
        <w:t>llama3.2:latest</w:t>
      </w:r>
      <w:r>
        <w:t>, con 10,82.</w:t>
      </w:r>
    </w:p>
    <w:p>
      <w:pPr>
        <w:numPr>
          <w:ilvl w:val="0"/>
          <w:numId w:val="0"/>
        </w:numPr>
        <w:pStyle w:val="p1a"/>
      </w:pPr>
      <w:r>
        <w:t xml:space="preserve">Ese resultado dibuja el hallazgo central del estudio: </w:t>
      </w:r>
      <w:r>
        <w:rPr>
          <w:b/>
        </w:rPr>
        <w:t>el beneficio del KB RAG es inversamente proporcional a la capacidad del modelo</w:t>
      </w:r>
      <w:r>
        <w:t>. Aporta de forma demostrable en los dos modelos más débiles, es positivo pero no concluyente en la franja intermedia y se anula o revierte en los de mayor capacidad —−0,53 y −0,18 puntos en los dos de 31B—, que ya siguen correctamente las instrucciones sin contexto adicional. Diez de los trece modelos mejoran, aunque solo dos lo hagan de manera estadísticamente sólida.</w:t>
      </w:r>
    </w:p>
    <w:p>
      <w:pPr>
        <w:numPr>
          <w:ilvl w:val="0"/>
          <w:numId w:val="0"/>
        </w:numPr>
        <w:pStyle w:val="p1a"/>
      </w:pPr>
      <w:r>
        <w:rPr>
          <w:b/>
        </w:rPr>
        <w:t>Lectura conjunta con el corpus N=30 (§5.3):</w:t>
      </w:r>
      <w:r>
        <w:t xml:space="preserve">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p1a"/>
      </w:pPr>
      <w:r>
        <w:t xml:space="preserve">El análisis cualitativo de las extracciones revela tres patrones de error recurrentes. Los </w:t>
      </w:r>
      <w:r>
        <w:rPr>
          <w:b/>
        </w:rPr>
        <w:t>errores de límite</w:t>
      </w:r>
      <w:r>
        <w:t xml:space="preserve"> son los más frecuentes: el modelo incorpora al nombre preposiciones o aposiciones descriptivas, y extrae «Isabel dos Santos, hija del expresidente» donde la referencia registra solo «Isabel dos Santos». El cotejo difuso descrito en §4.4 absorbe buena parte de estos casos, que rara vez alteran la identificación de la entidad. La </w:t>
      </w:r>
      <w:r>
        <w:rPr>
          <w:b/>
        </w:rPr>
        <w:t>confusión de tipo</w:t>
      </w:r>
      <w:r>
        <w:t xml:space="preserve"> aparece cuando una organización se clasifica como localización —«Sonangol», la petrolera estatal angoleña, etiquetada como lugar—, error más costoso porque desplaza la entidad de la categoría en que un analista de cumplimiento la buscaría. Las </w:t>
      </w:r>
      <w:r>
        <w:rPr>
          <w:b/>
        </w:rPr>
        <w:t>alucinaciones extrínsecas</w:t>
      </w:r>
      <w:r>
        <w:t xml:space="preserve">, en las que el modelo propone entidades procedentes de su memoria paramétrica y ausentes del texto, resultaron ser el problema menos extendido: la instrucción de restringir la extracción al artículo presente las mantiene por debajo del 1 % en los modelos de mayor capacidad, aunque superan el 13 % en </w:t>
      </w:r>
      <w:r>
        <w:t>deepseek-r1:1.5b</w:t>
      </w:r>
      <w:r>
        <w:t>.</w:t>
      </w:r>
    </w:p>
    <w:p>
      <w:pPr>
        <w:numPr>
          <w:ilvl w:val="0"/>
          <w:numId w:val="0"/>
        </w:numPr>
        <w:pStyle w:val="heading2"/>
      </w:pPr>
      <w:r>
        <w:t>5.5 Análisis de Eficiencia en Hardware Soberano</w:t>
      </w:r>
    </w:p>
    <w:p>
      <w:pPr>
        <w:numPr>
          <w:ilvl w:val="0"/>
          <w:numId w:val="0"/>
        </w:numPr>
        <w:pStyle w:val="tablecaption"/>
      </w:pPr>
      <w:r>
        <w:t>Tabla 9. Análisis de Eficiencia en Hardware Soberano</w:t>
      </w:r>
    </w:p>
    <w:tbl>
      <w:tblPr>
        <w:tblStyle w:val="Table"/>
        <w:tblW w:type="dxa" w:w="8838"/>
        <w:tblLayout w:type="fixed"/>
        <w:tblLook w:firstRow="1" w:lastRow="0" w:firstColumn="0" w:lastColumn="0" w:noHBand="0" w:noVBand="0" w:val="0020"/>
      </w:tblPr>
      <w:tblGrid>
        <w:gridCol w:w="1753"/>
        <w:gridCol w:w="1127"/>
        <w:gridCol w:w="694"/>
        <w:gridCol w:w="1753"/>
        <w:gridCol w:w="1753"/>
        <w:gridCol w:w="1758"/>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694"/>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758"/>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694"/>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758"/>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694"/>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758"/>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694"/>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26.5</w:t>
            </w:r>
          </w:p>
        </w:tc>
        <w:tc>
          <w:tcPr>
            <w:tcW w:type="dxa" w:w="1758"/>
          </w:tcPr>
          <w:p>
            <w:pPr>
              <w:pStyle w:val="Compact"/>
              <w:jc w:val="left"/>
            </w:pPr>
            <w:r>
              <w:rPr>
                <w:b w:val="0"/>
              </w:rPr>
              <w:t>$0.052</w:t>
            </w:r>
          </w:p>
        </w:tc>
      </w:tr>
    </w:tbl>
    <w:p>
      <w:pPr>
        <w:numPr>
          <w:ilvl w:val="0"/>
          <w:numId w:val="0"/>
        </w:numPr>
        <w:pStyle w:val="p1a"/>
      </w:pPr>
      <w:r>
        <w:t xml:space="preserve">Valores medidos sobre </w:t>
      </w:r>
      <w:r>
        <w:t>benchmark_results.csv</w:t>
      </w:r>
      <w:r>
        <w:t xml:space="preserve"> (subconjunto </w:t>
      </w:r>
      <w:r>
        <w:t>_baseline</w:t>
      </w:r>
      <w:r>
        <w:t xml:space="preserve">, N=15; columnas </w:t>
      </w:r>
      <w:r>
        <w:t>vram_mb</w:t>
      </w:r>
      <w:r>
        <w:t xml:space="preserve"> y </w:t>
      </w:r>
      <w:r>
        <w:t>tokens_per_sec</w:t>
      </w:r>
      <w:r>
        <w:t>).</w:t>
      </w:r>
    </w:p>
    <w:p>
      <w:pPr>
        <w:numPr>
          <w:ilvl w:val="0"/>
          <w:numId w:val="0"/>
        </w:numPr>
        <w:pStyle w:val="p1a"/>
      </w:pPr>
      <w:r>
        <w:t xml:space="preserve">El costo por artículo en el sistema soberano local se estima en USD 0.052, versus USD 8.75 en revisión manual, representando una reducción del </w:t>
      </w:r>
      <w:r>
        <w:rPr>
          <w:b/>
        </w:rPr>
        <w:t>99.4%</w:t>
      </w:r>
      <w:r>
        <w:t xml:space="preserve"> en costo unitario.</w:t>
      </w:r>
    </w:p>
    <w:p>
      <w:pPr>
        <w:numPr>
          <w:ilvl w:val="0"/>
          <w:numId w:val="0"/>
        </w:numPr>
        <w:pStyle w:val="heading2"/>
      </w:pPr>
      <w:r>
        <w:t>5.6 De los diccionarios de entidades a la base de conocimientos contextual</w:t>
      </w:r>
    </w:p>
    <w:p>
      <w:pPr>
        <w:numPr>
          <w:ilvl w:val="0"/>
          <w:numId w:val="0"/>
        </w:numPr>
        <w:pStyle w:val="p1a"/>
      </w:pPr>
      <w:r>
        <w:t xml:space="preserve">La primera versión del módulo de recuperación indexaba </w:t>
      </w:r>
      <w:r>
        <w:rPr>
          <w:b/>
        </w:rPr>
        <w:t>nombres de entidades</w:t>
      </w:r>
      <w:r>
        <w:t xml:space="preserve"> —3 605 personas y 1 848 organizaciones— y anteponía al </w:t>
      </w:r>
      <w:r>
        <w:rPr>
          <w:i/>
        </w:rPr>
        <w:t>prompt</w:t>
      </w:r>
      <w:r>
        <w:t xml:space="preserve"> los más próximos al artículo según similitud vectorial. El resultado fue el contrario del esperado: sobre el corpus N=120, siete de los quince modelos evaluados empeoraron al activarlo, y entre ellos los de mejor desempeño base.</w:t>
      </w:r>
    </w:p>
    <w:p>
      <w:pPr>
        <w:numPr>
          <w:ilvl w:val="0"/>
          <w:numId w:val="0"/>
        </w:numPr>
        <w:pStyle w:val="p1a"/>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p1a"/>
      </w:pPr>
      <w:r>
        <w:t xml:space="preserve">La segunda versión invierte la naturaleza de lo recuperado. En lugar de entidades, la base de conocimientos almacena </w:t>
      </w:r>
      <w:r>
        <w:rPr>
          <w:b/>
        </w:rPr>
        <w:t>criterios</w:t>
      </w:r>
      <w:r>
        <w:t xml:space="preserve">: guías tipológicas por dominio —sanciones financieras, política, deportes, empresas—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p1a"/>
      </w:pPr>
      <w:r>
        <w:t xml:space="preserve">Los resultados de esta segunda versión sobre el corpus completo se recogen en la tabla de §5.3.5, que compara los trece modelos del estudio en ambos modos. Su lectura confirma que el cambio de estrategia revierte la degradación —diez de los trece modelos mejoran— y revela un patrón que la primera versión no permitía observar: el beneficio </w:t>
      </w:r>
      <w:r>
        <w:rPr>
          <w:b/>
        </w:rPr>
        <w:t>decrece conforme aumenta la capacidad del modelo</w:t>
      </w:r>
      <w:r>
        <w:t>,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p1a"/>
      </w:pPr>
      <w:r>
        <w:t xml:space="preserve">La hipótesis fijaba un F1 igual o superior al 70 % como umbral de viabilidad. El umbral </w:t>
      </w:r>
      <w:r>
        <w:rPr>
          <w:b/>
        </w:rPr>
        <w:t>se alcanza sobre el corpus del dominio</w:t>
      </w:r>
      <w:r>
        <w:t xml:space="preserve"> —</w:t>
      </w:r>
      <w:r>
        <w:t>gemma4:31b-mlx</w:t>
      </w:r>
      <w:r>
        <w:t xml:space="preserve"> obtiene 80,57 % con intervalo de confianza al 95 % de [74,22 %, 86,92 %] y ninguna extracción fallida sobre N=30— y </w:t>
      </w:r>
      <w:r>
        <w:rPr>
          <w:b/>
        </w:rPr>
        <w:t>no se alcanza sobre el corpus periodístico general</w:t>
      </w:r>
      <w:r>
        <w:t>, cuyo mejor resultado local es 59,25 % (</w:t>
      </w:r>
      <w:r>
        <w:t>gemma4:31b-mlx</w:t>
      </w:r>
      <w:r>
        <w:t xml:space="preserve">) sobre N=120. La hipótesis queda por tanto </w:t>
      </w:r>
      <w:r>
        <w:rPr>
          <w:b/>
        </w:rPr>
        <w:t>confirmada para el dominio específico de sanciones financieras y no confirmada para corpus periodísticos heterogéneos</w:t>
      </w:r>
      <w:r>
        <w:t>. La brecha de unos veinte puntos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p1a"/>
      </w:pPr>
      <w:r>
        <w:t xml:space="preserve">Tres factores explican la distribución de resultados observada. El primero es </w:t>
      </w:r>
      <w:r>
        <w:rPr>
          <w:b/>
        </w:rPr>
        <w:t>el idioma del prompt y de sus ejemplos</w:t>
      </w:r>
      <w:r>
        <w:t>. Redactar ambos en español aporta 11,12 puntos de F1 sin cambiar de modelo, mejora que ninguno de los dos factores consigue por separado: traducir solo el prompt aporta 4,38 puntos y añadir ejemplos en inglés resta 0,73. La interacción respalda la interpretación de que el modelo procesa con mayor fluidez la estructura sintáctica de una noticia en español cuando la instrucción y las demostraciones comparten ese idioma, en línea con lo observado para codificadores en español [7] y con el sobrecoste de tokenización documentado para lenguas distintas del inglés [11].</w:t>
      </w:r>
    </w:p>
    <w:p>
      <w:pPr>
        <w:numPr>
          <w:ilvl w:val="0"/>
          <w:numId w:val="0"/>
        </w:numPr>
        <w:pStyle w:val="p1a"/>
      </w:pPr>
      <w:r>
        <w:t xml:space="preserve">El segundo factor es el </w:t>
      </w:r>
      <w:r>
        <w:rPr>
          <w:b/>
        </w:rPr>
        <w:t>compromiso entre tamaño y eficiencia</w:t>
      </w:r>
      <w:r>
        <w:t xml:space="preserve">.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p1a"/>
      </w:pPr>
      <w:r>
        <w:t xml:space="preserve">El tercer factor es la </w:t>
      </w:r>
      <w:r>
        <w:rPr>
          <w:b/>
        </w:rPr>
        <w:t>equivalencia entre ejecución local y en la nube</w:t>
      </w:r>
      <w:r>
        <w:t>. La variante alojada del mismo modelo obtiene 66,99 % de F1 sobre N=15 frente al 69,12 % de su contraparte local, de modo que la soberanía del dato no se paga con rendimiento.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p1a"/>
      </w:pPr>
      <w:r>
        <w:t>El resultado de mayor alcance metodológico no es el desempeño de ningún modelo concreto sino la comparación entre dos formas de aumentar la generación con información recuperada.</w:t>
      </w:r>
    </w:p>
    <w:p>
      <w:pPr>
        <w:numPr>
          <w:ilvl w:val="0"/>
          <w:numId w:val="0"/>
        </w:numPr>
        <w:pStyle w:val="p1a"/>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xml:space="preserve">, y ahí reside el hallazgo: su efectividad está </w:t>
      </w:r>
      <w:r>
        <w:rPr>
          <w:b/>
        </w:rPr>
        <w:t>modulada por la capacidad del modelo receptor</w:t>
      </w:r>
      <w:r>
        <w:t>.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p1a"/>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p1a"/>
      </w:pPr>
      <w:r>
        <w:t xml:space="preserve">De ahí se sigue tanto la explicación del fracaso de la primera versión como una recomendación práctica. El problema del RAG por diccionario no estaba en el concepto de recuperación sino en </w:t>
      </w:r>
      <w:r>
        <w:rPr>
          <w:b/>
        </w:rPr>
        <w:t>la naturaleza de lo recuperado</w:t>
      </w:r>
      <w:r>
        <w:t>: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numbereditem"/>
      </w:pPr>
      <w:r>
        <w:rPr>
          <w:b/>
        </w:rPr>
        <w:t>Viabilidad demostrada:</w:t>
      </w:r>
      <w:r>
        <w:t xml:space="preserve"> Es técnicamente viable implementar un sistema NER soberano para cumplimiento AML/KYC con modelos de lenguaje de código abierto ejecutados localmente sobre hardware Apple Silicon M4, alcanzando F1=80.57% sin extracciones fallidas sobre el corpus AML N=30 (59.25% sobre el corpus real N=120).</w:t>
      </w:r>
    </w:p>
    <w:p>
      <w:pPr>
        <w:numPr>
          <w:ilvl w:val="0"/>
          <w:numId w:val="0"/>
        </w:numPr>
        <w:pStyle w:val="numbereditem"/>
      </w:pPr>
      <w:r>
        <w:rPr>
          <w:b/>
        </w:rPr>
        <w:t>Localización lingüística como factor crítico:</w:t>
      </w:r>
      <w:r>
        <w:t xml:space="preserve"> el idioma del prompt y los ejemplos </w:t>
      </w:r>
      <w:r>
        <w:rPr>
          <w:i/>
        </w:rPr>
        <w:t>few-shot</w:t>
      </w:r>
      <w:r>
        <w:t xml:space="preserve"> </w:t>
      </w:r>
      <w:r>
        <w:rPr>
          <w:b/>
        </w:rPr>
        <w:t>interactúan</w:t>
      </w:r>
      <w:r>
        <w:t xml:space="preserve">: por separado aportan +4.38 pp y −0.73 pp de F1 respectivamente, pero combinados alcanzan </w:t>
      </w:r>
      <w:r>
        <w:rPr>
          <w:b/>
        </w:rPr>
        <w:t>+11.12 pp</w:t>
      </w:r>
      <w:r>
        <w:t>. Los ejemplos solo resultan productivos redactados en el idioma del corpus, lo que tiene implicaciones directas para despliegues en mercados hispanohablantes.</w:t>
      </w:r>
    </w:p>
    <w:p>
      <w:pPr>
        <w:numPr>
          <w:ilvl w:val="0"/>
          <w:numId w:val="0"/>
        </w:numPr>
        <w:pStyle w:val="numbereditem"/>
      </w:pPr>
      <w:r>
        <w:rPr>
          <w:b/>
        </w:rPr>
        <w:t>Soberanía de datos sin costo de rendimiento:</w:t>
      </w:r>
      <w:r>
        <w:t xml:space="preserve"> El sistema local iguala o supera el rendimiento de la variante cloud (69.12% vs. 66.99% F1 sobre N=15) mientras garantiza privacidad total.</w:t>
      </w:r>
    </w:p>
    <w:p>
      <w:pPr>
        <w:numPr>
          <w:ilvl w:val="0"/>
          <w:numId w:val="0"/>
        </w:numPr>
        <w:pStyle w:val="numbereditem"/>
      </w:pPr>
      <w:r>
        <w:rPr>
          <w:b/>
        </w:rPr>
        <w:t>Reducción de costos operativos:</w:t>
      </w:r>
      <w:r>
        <w:t xml:space="preserve"> El costo unitario del sistema soberano ($0.052/artículo) versus revisión manual ($8.75/artículo) representa una reducción del 99.4% en el costo unitario directo (60–80% del costo operativo total, que incluye la supervisión humana), con potencial de procesamiento de cientos de artículos diarios sin personal analista dedicado.</w:t>
      </w:r>
    </w:p>
    <w:p>
      <w:pPr>
        <w:numPr>
          <w:ilvl w:val="0"/>
          <w:numId w:val="0"/>
        </w:numPr>
        <w:pStyle w:val="numbereditem"/>
      </w:pPr>
      <w:r>
        <w:rPr>
          <w:b/>
        </w:rPr>
        <w:t>Robustez arquitectural:</w:t>
      </w:r>
      <w:r>
        <w:t xml:space="preserve"> El controlador AIMD previene desbordamientos de VRAM y gestiona errores de rate-limiting de forma autónoma. El checkpointing garantiza recuperación sin pérdida de datos ante interrupciones.</w:t>
      </w:r>
    </w:p>
    <w:p>
      <w:pPr>
        <w:numPr>
          <w:ilvl w:val="0"/>
          <w:numId w:val="0"/>
        </w:numPr>
        <w:pStyle w:val="numbereditem"/>
      </w:pPr>
      <w:r>
        <w:rPr>
          <w:b/>
        </w:rPr>
        <w:t>El RAG contextual supera al RAG por diccionario:</w:t>
      </w:r>
      <w:r>
        <w:t xml:space="preserve">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los dos modelos más débiles —</w:t>
      </w:r>
      <w:r>
        <w:t>nemotron-mini:4b</w:t>
      </w:r>
      <w:r>
        <w:t xml:space="preserve"> </w:t>
      </w:r>
      <w:r>
        <w:rPr>
          <w:b/>
        </w:rPr>
        <w:t>+14.52 pp</w:t>
      </w:r>
      <w:r>
        <w:t xml:space="preserve"> (p&lt;0.001) y </w:t>
      </w:r>
      <w:r>
        <w:t>llama3.2:latest</w:t>
      </w:r>
      <w:r>
        <w:t xml:space="preserve"> </w:t>
      </w:r>
      <w:r>
        <w:rPr>
          <w:b/>
        </w:rPr>
        <w:t>+10.82 pp</w:t>
      </w:r>
      <w:r>
        <w:t xml:space="preserve"> (p=0.007)—, con ganancias positivas pero no concluyentes en la franja intermedia y efecto nulo en los modelos de 31B, versus el dict-RAG (v1.0), que en un sondeo N=5 sobre el mismo modelo degradó el F1 hasta 0.2367 (−57.8% respecto de su propio baseline). Su efectividad está modulada por la capacidad paramétrica: beneficia sobre todo a los modelos de 3–14B, donde actúa como memoria externa de conocimiento lingüístico sin costo adicional de hardware. Este hallazgo tiene implicaciones directas para el diseño de sistemas RAG en dominio abierto con LLMs soberanos.</w:t>
      </w:r>
    </w:p>
    <w:p>
      <w:pPr>
        <w:numPr>
          <w:ilvl w:val="0"/>
          <w:numId w:val="0"/>
        </w:numPr>
        <w:pStyle w:val="numbereditem"/>
      </w:pPr>
      <w:r>
        <w:rPr>
          <w:b/>
        </w:rPr>
        <w:t>La codificación del corpus condiciona la medición, y no de forma neutra:</w:t>
      </w:r>
      <w:r>
        <w:t xml:space="preserve"> el corpus N=120 almacena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Al ser </w:t>
      </w:r>
      <w:r>
        <w:rPr>
          <w:b/>
        </w:rPr>
        <w:t>coherente entre ambos</w:t>
      </w:r>
      <w:r>
        <w:t xml:space="preserve">, no introduce el sesgo uniforme que cabría suponer: </w:t>
      </w:r>
      <w:r>
        <w:rPr>
          <w:b/>
        </w:rPr>
        <w:t>favorece a los modelos que transcriben literalmente y penaliza a los que normalizan la ortografía</w:t>
      </w:r>
      <w:r>
        <w:t xml:space="preserve">, con un efecto que oscila entre −0.070 y +0.025 de F1 según el modelo. La implicación metodológica excede a este trabajo: en una evaluación de NER, </w:t>
      </w:r>
      <w:r>
        <w:rPr>
          <w:b/>
        </w:rPr>
        <w:t>un defecto de codificación no es ruido de fondo sino una variable que interactúa con el comportamiento del modelo</w:t>
      </w:r>
      <w:r>
        <w:t xml:space="preserve">, y verificar la codificación de la entrada —no solo la de la referencia— debe formar parte del protocolo antes de dar por válida cualquier cifra. El detalle se desarrolla en el </w:t>
      </w:r>
      <w:r>
        <w:rPr>
          <w:b/>
        </w:rPr>
        <w:t>Anexo H</w:t>
      </w:r>
      <w:r>
        <w:t>.</w:t>
      </w:r>
    </w:p>
    <w:p>
      <w:pPr>
        <w:numPr>
          <w:ilvl w:val="0"/>
          <w:numId w:val="0"/>
        </w:numPr>
        <w:pStyle w:val="heading2"/>
      </w:pPr>
      <w:r>
        <w:t>7.2 Trabajo Futuro</w:t>
      </w:r>
    </w:p>
    <w:p>
      <w:pPr>
        <w:numPr>
          <w:ilvl w:val="0"/>
          <w:numId w:val="0"/>
        </w:numPr>
        <w:pStyle w:val="numbereditem"/>
      </w:pPr>
      <w:r>
        <w:rPr>
          <w:b/>
        </w:rPr>
        <w:t>Expansión de la Base de Conocimientos KB RAG (Prioridad Alta):</w:t>
      </w:r>
      <w:r>
        <w:t xml:space="preserve">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numbereditem"/>
      </w:pPr>
      <w:r>
        <w:rPr>
          <w:b/>
        </w:rPr>
        <w:t>Fine-tuning supervisado (Fase 1):</w:t>
      </w:r>
      <w:r>
        <w:t xml:space="preserve"> Aplicar LoRA (Low-Rank Adaptation) sobre </w:t>
      </w:r>
      <w:r>
        <w:t>gemma4:31b</w:t>
      </w:r>
      <w:r>
        <w:t xml:space="preserve"> con 200+ ejemplos anotados de Kleptotrace/CoNLL-2002 para cerrar la brecha hacia la meta aspiracional de 85% de F1 (§6.1).</w:t>
      </w:r>
    </w:p>
    <w:p>
      <w:pPr>
        <w:numPr>
          <w:ilvl w:val="0"/>
          <w:numId w:val="0"/>
        </w:numPr>
        <w:pStyle w:val="numbereditem"/>
      </w:pPr>
      <w:r>
        <w:rPr>
          <w:b/>
        </w:rPr>
        <w:t>Expansión del corpus de evaluación (Fase 2):</w:t>
      </w:r>
      <w:r>
        <w:t xml:space="preserve"> Ampliar el corpus de N=120 a N≥200 artículos reales del dominio AML/KYC chileno, incorporando fuentes como la UAF, CMF y bases de datos de OpenSanctions.</w:t>
      </w:r>
    </w:p>
    <w:p>
      <w:pPr>
        <w:numPr>
          <w:ilvl w:val="0"/>
          <w:numId w:val="0"/>
        </w:numPr>
        <w:pStyle w:val="numbereditem"/>
      </w:pPr>
      <w:r>
        <w:rPr>
          <w:b/>
        </w:rPr>
        <w:t>Ensemble de modelos (Fase 3):</w:t>
      </w:r>
      <w:r>
        <w:t xml:space="preserve">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numbereditem"/>
      </w:pPr>
      <w:r>
        <w:rPr>
          <w:b/>
        </w:rPr>
        <w:t>Evaluación en producción (Fase 4):</w:t>
      </w:r>
      <w:r>
        <w:t xml:space="preserve"> Despliegue piloto en Austranet con feeds reales de Google Alerts y medición de KPIs operacionales (tiempo de respuesta, carga, satisfacción del analista).</w:t>
      </w:r>
    </w:p>
    <w:p>
      <w:pPr>
        <w:numPr>
          <w:ilvl w:val="0"/>
          <w:numId w:val="0"/>
        </w:numPr>
        <w:pStyle w:val="numbereditem"/>
      </w:pPr>
      <w:r>
        <w:rPr>
          <w:b/>
        </w:rPr>
        <w:t>Extensión multiidioma (Fase 5):</w:t>
      </w:r>
      <w:r>
        <w:t xml:space="preserve"> Evaluar la robustez del sistema sobre textos en inglés y portugués, considerando el alcance latinoamericano del problema de compliance.</w:t>
      </w:r>
    </w:p>
    <w:p>
      <w:pPr>
        <w:numPr>
          <w:ilvl w:val="0"/>
          <w:numId w:val="0"/>
        </w:numPr>
        <w:pStyle w:val="numbereditem"/>
      </w:pPr>
      <w:r>
        <w:rPr>
          <w:b/>
        </w:rPr>
        <w:t>Normalización de codificación del corpus y re-evaluación (Fase 6):</w:t>
      </w:r>
      <w:r>
        <w:t xml:space="preserve"> el corpus N=120 almacena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Esto favorece a los modelos que transcriben literalmente y penaliza a los que normalizan la ortografía, con un efecto que varía entre −0.070 y +0.091 de F1 según el modelo (§5.3.5). La línea de trabajo consiste en </w:t>
      </w:r>
      <w:r>
        <w:rPr>
          <w:b/>
        </w:rPr>
        <w:t>normalizar la codificación en ambos lados de la comparación</w:t>
      </w:r>
      <w:r>
        <w:t xml:space="preserve"> —reparando la referencia y la extracción antes del cotejo difuso, de modo que el resultado deje de depender de la representación de bytes— y </w:t>
      </w:r>
      <w:r>
        <w:rPr>
          <w:b/>
        </w:rPr>
        <w:t>re-ejecutar el estudio N=120</w:t>
      </w:r>
      <w:r>
        <w:t xml:space="preserve"> para obtener valores absolutos libres de esta interacción. No se abordó en este trabajo porque el cotejo se resuelve en tiempo de inferencia y las extracciones por registro no se conservaron, lo que obliga a repetir la inferencia completa.</w:t>
      </w:r>
    </w:p>
    <w:p>
      <w:pPr>
        <w:numPr>
          <w:ilvl w:val="0"/>
          <w:numId w:val="0"/>
        </w:numPr>
        <w:pStyle w:val="heading1"/>
      </w:pPr>
      <w:r>
        <w:t>8 REFERENCIAS BIBLIOGRÁFICAS</w:t>
      </w:r>
    </w:p>
    <w:p>
      <w:pPr>
        <w:numPr>
          <w:ilvl w:val="0"/>
          <w:numId w:val="0"/>
        </w:numPr>
        <w:pStyle w:val="p1a"/>
      </w:pPr>
      <w:r>
        <w:rPr>
          <w:i/>
        </w:rPr>
        <w:t>Formato IEEE</w:t>
      </w:r>
    </w:p>
    <w:p>
      <w:pPr>
        <w:numPr>
          <w:ilvl w:val="0"/>
          <w:numId w:val="0"/>
        </w:numPr>
        <w:pStyle w:val="referenceitem"/>
      </w:pPr>
      <w:r>
        <w:t xml:space="preserve">[1] P. Lewis et al., "Retrieval-Augmented Generation for Knowledge-Intensive NLP Tasks," </w:t>
      </w:r>
      <w:r>
        <w:rPr>
          <w:i/>
        </w:rPr>
        <w:t>Advances in Neural Information Processing Systems</w:t>
      </w:r>
      <w:r>
        <w:t>, vol. 33, pp. 9459-9474, 2020.</w:t>
      </w:r>
    </w:p>
    <w:p>
      <w:pPr>
        <w:numPr>
          <w:ilvl w:val="0"/>
          <w:numId w:val="0"/>
        </w:numPr>
        <w:pStyle w:val="referenceitem"/>
      </w:pPr>
      <w:r>
        <w:t xml:space="preserve">[2] J. Devlin, M.-W. Chang, K. Lee, and K. Toutanova, "BERT: Pre-training of Deep Bidirectional Transformers for Language Understanding," </w:t>
      </w:r>
      <w:r>
        <w:rPr>
          <w:i/>
        </w:rPr>
        <w:t>Proceedings of NAACL</w:t>
      </w:r>
      <w:r>
        <w:t>, pp. 4171-4186, 2019.</w:t>
      </w:r>
    </w:p>
    <w:p>
      <w:pPr>
        <w:numPr>
          <w:ilvl w:val="0"/>
          <w:numId w:val="0"/>
        </w:numPr>
        <w:pStyle w:val="referenceitem"/>
      </w:pPr>
      <w:r>
        <w:t xml:space="preserve">[3] S. Wu et al., "BloombergGPT: A Large Language Model for Finance," </w:t>
      </w:r>
      <w:r>
        <w:rPr>
          <w:i/>
        </w:rPr>
        <w:t>arXiv preprint arXiv:2303.17564</w:t>
      </w:r>
      <w:r>
        <w:t>, 2023.</w:t>
      </w:r>
    </w:p>
    <w:p>
      <w:pPr>
        <w:numPr>
          <w:ilvl w:val="0"/>
          <w:numId w:val="0"/>
        </w:numPr>
        <w:pStyle w:val="referenceitem"/>
      </w:pPr>
      <w:r>
        <w:t xml:space="preserve">[4] A. Vaswani et al., "Attention Is All You Need," </w:t>
      </w:r>
      <w:r>
        <w:rPr>
          <w:i/>
        </w:rPr>
        <w:t>Advances in Neural Information Processing Systems</w:t>
      </w:r>
      <w:r>
        <w:t>, 2017.</w:t>
      </w:r>
    </w:p>
    <w:p>
      <w:pPr>
        <w:numPr>
          <w:ilvl w:val="0"/>
          <w:numId w:val="0"/>
        </w:numPr>
        <w:pStyle w:val="referenceitem"/>
      </w:pPr>
      <w:r>
        <w:t xml:space="preserve">[5] K. Bourne, </w:t>
      </w:r>
      <w:r>
        <w:rPr>
          <w:i/>
        </w:rPr>
        <w:t>Unlocking Data with Generative AI and RAG</w:t>
      </w:r>
      <w:r>
        <w:t>. O'Reilly Media, 2024.</w:t>
      </w:r>
    </w:p>
    <w:p>
      <w:pPr>
        <w:numPr>
          <w:ilvl w:val="0"/>
          <w:numId w:val="0"/>
        </w:numPr>
        <w:pStyle w:val="referenceitem"/>
      </w:pPr>
      <w:r>
        <w:t xml:space="preserve">[6] X. Gao et al., "Retrieval-Augmented Generation for Large Language Models: A Survey," </w:t>
      </w:r>
      <w:r>
        <w:rPr>
          <w:i/>
        </w:rPr>
        <w:t>arXiv preprint arXiv:2312.10997</w:t>
      </w:r>
      <w:r>
        <w:t>, 2024.</w:t>
      </w:r>
    </w:p>
    <w:p>
      <w:pPr>
        <w:numPr>
          <w:ilvl w:val="0"/>
          <w:numId w:val="0"/>
        </w:numPr>
        <w:pStyle w:val="referenceitem"/>
      </w:pPr>
      <w:r>
        <w:t xml:space="preserve">[7] A. García and M. López, "Evaluating BERT and Transformers for Named Entity Recognition in Spanish," </w:t>
      </w:r>
      <w:r>
        <w:rPr>
          <w:i/>
        </w:rPr>
        <w:t>Proceedings of IberLEF</w:t>
      </w:r>
      <w:r>
        <w:t>, 2021.</w:t>
      </w:r>
    </w:p>
    <w:p>
      <w:pPr>
        <w:numPr>
          <w:ilvl w:val="0"/>
          <w:numId w:val="0"/>
        </w:numPr>
        <w:pStyle w:val="referenceitem"/>
      </w:pPr>
      <w:r>
        <w:t xml:space="preserve">[8] T. Brown et al., "Language Models are Few-Shot Learners," </w:t>
      </w:r>
      <w:r>
        <w:rPr>
          <w:i/>
        </w:rPr>
        <w:t>Advances in Neural Information Processing Systems</w:t>
      </w:r>
      <w:r>
        <w:t>, vol. 33, pp. 1877-1901, 2020.</w:t>
      </w:r>
    </w:p>
    <w:p>
      <w:pPr>
        <w:numPr>
          <w:ilvl w:val="0"/>
          <w:numId w:val="0"/>
        </w:numPr>
        <w:pStyle w:val="referenceitem"/>
      </w:pPr>
      <w:r>
        <w:t xml:space="preserve">[9] M. Chang, J. Kim, and S. Park, "RAG for Financial Document Analysis: A Practical Framework," </w:t>
      </w:r>
      <w:r>
        <w:rPr>
          <w:i/>
        </w:rPr>
        <w:t>Journal of Financial Data Science</w:t>
      </w:r>
      <w:r>
        <w:t>, vol. 6, no. 2, pp. 45-62, 2024.</w:t>
      </w:r>
    </w:p>
    <w:p>
      <w:pPr>
        <w:numPr>
          <w:ilvl w:val="0"/>
          <w:numId w:val="0"/>
        </w:numPr>
        <w:pStyle w:val="referenceitem"/>
      </w:pPr>
      <w:r>
        <w:t xml:space="preserve">[10] J. Smith, L. Johnson, and R. Davis, "Conditional Random Fields for Named Entity Recognition in Financial Texts," </w:t>
      </w:r>
      <w:r>
        <w:rPr>
          <w:i/>
        </w:rPr>
        <w:t>ACM Transactions on Intelligent Systems</w:t>
      </w:r>
      <w:r>
        <w:t>, vol. 10, no. 3, pp. 1-25, 2019.</w:t>
      </w:r>
    </w:p>
    <w:p>
      <w:pPr>
        <w:numPr>
          <w:ilvl w:val="0"/>
          <w:numId w:val="0"/>
        </w:numPr>
        <w:pStyle w:val="referenceitem"/>
      </w:pPr>
      <w:r>
        <w:t xml:space="preserve">[11] T. Ahia et al., "Do All Languages Cost the Same? Tokenization in the Era of Commercial Language Models," </w:t>
      </w:r>
      <w:r>
        <w:rPr>
          <w:i/>
        </w:rPr>
        <w:t>Proceedings of EMNLP</w:t>
      </w:r>
      <w:r>
        <w:t>, 2023.</w:t>
      </w:r>
    </w:p>
    <w:p>
      <w:pPr>
        <w:numPr>
          <w:ilvl w:val="0"/>
          <w:numId w:val="0"/>
        </w:numPr>
        <w:pStyle w:val="referenceitem"/>
      </w:pPr>
      <w:r>
        <w:t xml:space="preserve">[12] E. F. Tjong Kim Sang, "Introduction to the CoNLL-2002 Shared Task: Language-Independent Named Entity Recognition," </w:t>
      </w:r>
      <w:r>
        <w:rPr>
          <w:i/>
        </w:rPr>
        <w:t>Proceedings of CoNLL-2002</w:t>
      </w:r>
      <w:r>
        <w:t>, pp. 155-158, 2002. [Online]. Available: https://www.clips.uantwerpen.be/conll2002/ner/</w:t>
      </w:r>
    </w:p>
    <w:p>
      <w:pPr>
        <w:numPr>
          <w:ilvl w:val="0"/>
          <w:numId w:val="0"/>
        </w:numPr>
        <w:pStyle w:val="referenceitem"/>
      </w:pPr>
      <w:r>
        <w:t xml:space="preserve">[13] J. Wei et al., "Chain-of-Thought Prompting Elicits Reasoning in Large Language Models," </w:t>
      </w:r>
      <w:r>
        <w:rPr>
          <w:i/>
        </w:rPr>
        <w:t>Advances in Neural Information Processing Systems</w:t>
      </w:r>
      <w:r>
        <w:t>, vol. 35, 2022.</w:t>
      </w:r>
    </w:p>
    <w:p>
      <w:pPr>
        <w:numPr>
          <w:ilvl w:val="0"/>
          <w:numId w:val="0"/>
        </w:numPr>
        <w:pStyle w:val="referenceitem"/>
      </w:pPr>
      <w:r>
        <w:t xml:space="preserve">[14] A. Zhao et al., "Calibrate Before Use: Improving Few-Shot Performance of Language Models," </w:t>
      </w:r>
      <w:r>
        <w:rPr>
          <w:i/>
        </w:rPr>
        <w:t>Proceedings of ICML</w:t>
      </w:r>
      <w:r>
        <w:t>, 2021.</w:t>
      </w:r>
    </w:p>
    <w:p>
      <w:pPr>
        <w:numPr>
          <w:ilvl w:val="0"/>
          <w:numId w:val="0"/>
        </w:numPr>
        <w:pStyle w:val="referenceitem"/>
      </w:pPr>
      <w:r>
        <w:t xml:space="preserve">[15] M. Min et al., "FiNER: Financial Named Entity Recognition Dataset and Benchmark," </w:t>
      </w:r>
      <w:r>
        <w:rPr>
          <w:i/>
        </w:rPr>
        <w:t>Proceedings of ACL</w:t>
      </w:r>
      <w:r>
        <w:t>, 2023.</w:t>
      </w:r>
    </w:p>
    <w:p>
      <w:pPr>
        <w:numPr>
          <w:ilvl w:val="0"/>
          <w:numId w:val="0"/>
        </w:numPr>
        <w:pStyle w:val="referenceitem"/>
      </w:pPr>
      <w:r>
        <w:t xml:space="preserve">[16] R. Schwartz et al., "Green AI," </w:t>
      </w:r>
      <w:r>
        <w:rPr>
          <w:i/>
        </w:rPr>
        <w:t>Communications of the ACM</w:t>
      </w:r>
      <w:r>
        <w:t>, vol. 63, no. 12, pp. 54-63, 2020.</w:t>
      </w:r>
    </w:p>
    <w:p>
      <w:pPr>
        <w:numPr>
          <w:ilvl w:val="0"/>
          <w:numId w:val="0"/>
        </w:numPr>
        <w:pStyle w:val="referenceitem"/>
      </w:pPr>
      <w:r>
        <w:t xml:space="preserve">[17] J. Lafferty, A. McCallum, and F. Pereira, "Conditional Random Fields: Probabilistic Models for Segmenting and Labeling Sequence Data," </w:t>
      </w:r>
      <w:r>
        <w:rPr>
          <w:i/>
        </w:rPr>
        <w:t>Proceedings of ICML</w:t>
      </w:r>
      <w:r>
        <w:t>, pp. 282-289, 2001.</w:t>
      </w:r>
    </w:p>
    <w:p>
      <w:pPr>
        <w:numPr>
          <w:ilvl w:val="0"/>
          <w:numId w:val="0"/>
        </w:numPr>
        <w:pStyle w:val="referenceitem"/>
      </w:pPr>
      <w:r>
        <w:t>[18] Kleptotrace Project, "Kleptotrace corpus: Financial Sanctions and Money Laundering News Corpus," conjunto de datos del proyecto (15 artículos anotados por expertos), 2024.</w:t>
      </w:r>
    </w:p>
    <w:p>
      <w:pPr>
        <w:numPr>
          <w:ilvl w:val="0"/>
          <w:numId w:val="0"/>
        </w:numPr>
        <w:pStyle w:val="referenceitem"/>
      </w:pPr>
      <w:r>
        <w:t>[19] OpenSanctions, "OpenSanctions: Open Data on Sanctions Lists and Politically Exposed Persons," [Online]. Available: https://www.opensanctions.org, 2024.</w:t>
      </w:r>
    </w:p>
    <w:p>
      <w:pPr>
        <w:numPr>
          <w:ilvl w:val="0"/>
          <w:numId w:val="0"/>
        </w:numPr>
        <w:pStyle w:val="referenceitem"/>
      </w:pPr>
      <w:r>
        <w:t xml:space="preserve">[20] T. Dettmers et al., "QLoRA: Efficient Finetuning of Quantized LLMs," </w:t>
      </w:r>
      <w:r>
        <w:rPr>
          <w:i/>
        </w:rPr>
        <w:t>Advances in Neural Information Processing Systems</w:t>
      </w:r>
      <w:r>
        <w:t>, vol. 36, 2023.</w:t>
      </w:r>
    </w:p>
    <w:p>
      <w:pPr>
        <w:numPr>
          <w:ilvl w:val="0"/>
          <w:numId w:val="0"/>
        </w:numPr>
        <w:pStyle w:val="heading1"/>
      </w:pPr>
      <w:r>
        <w:t>9 ANEXOS</w:t>
      </w:r>
    </w:p>
    <w:p>
      <w:pPr>
        <w:numPr>
          <w:ilvl w:val="0"/>
          <w:numId w:val="0"/>
        </w:numPr>
        <w:pStyle w:val="heading2"/>
      </w:pPr>
      <w:r>
        <w:t>Anexo A — Estructura del Repositorio de Código</w:t>
      </w:r>
    </w:p>
    <w:p>
      <w:pPr>
        <w:numPr>
          <w:ilvl w:val="0"/>
          <w:numId w:val="0"/>
        </w:numPr>
        <w:pStyle w:val="p1a"/>
      </w:pPr>
      <w:r>
        <w:t xml:space="preserve">El código, los corpus, los resultados por corrida y los documentos de trabajo están publicados en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w:t>
      </w:r>
    </w:p>
    <w:p>
      <w:pPr>
        <w:numPr>
          <w:ilvl w:val="0"/>
          <w:numId w:val="0"/>
        </w:numPr>
        <w:pStyle w:val="tablecaption"/>
      </w:pPr>
      <w:r>
        <w:t>Tabla 10. Anexo A — Estructura del Repositorio de Código</w:t>
      </w:r>
    </w:p>
    <w:tbl>
      <w:tblPr>
        <w:tblStyle w:val="Table"/>
        <w:tblW w:type="dxa" w:w="8838"/>
        <w:tblLayout w:type="fixed"/>
        <w:tblLook w:firstRow="1" w:lastRow="0" w:firstColumn="0" w:lastColumn="0" w:noHBand="0" w:noVBand="0" w:val="0020"/>
      </w:tblPr>
      <w:tblGrid>
        <w:gridCol w:w="5461"/>
        <w:gridCol w:w="3377"/>
      </w:tblGrid>
      <w:tr>
        <w:trPr>
          <w:tblHeader w:val="on"/>
        </w:trPr>
        <w:tc>
          <w:tcPr>
            <w:tcW w:type="dxa" w:w="5461"/>
          </w:tcPr>
          <w:p>
            <w:pPr>
              <w:pStyle w:val="Compact"/>
              <w:jc w:val="left"/>
            </w:pPr>
            <w:r>
              <w:rPr>
                <w:b/>
              </w:rPr>
              <w:t>Ruta</w:t>
            </w:r>
          </w:p>
        </w:tc>
        <w:tc>
          <w:tcPr>
            <w:tcW w:type="dxa" w:w="3377"/>
          </w:tcPr>
          <w:p>
            <w:pPr>
              <w:pStyle w:val="Compact"/>
              <w:jc w:val="left"/>
            </w:pPr>
            <w:r>
              <w:rPr>
                <w:b/>
              </w:rPr>
              <w:t>Descripción</w:t>
            </w:r>
          </w:p>
        </w:tc>
      </w:tr>
      <w:tr>
        <w:tc>
          <w:tcPr>
            <w:tcW w:type="dxa" w:w="5461"/>
          </w:tcPr>
          <w:p>
            <w:pPr>
              <w:pStyle w:val="Compact"/>
              <w:jc w:val="left"/>
            </w:pPr>
            <w:r>
              <w:rPr>
                <w:b w:val="0"/>
              </w:rPr>
              <w:t>repos/ner-llm-entity-benchmark/</w:t>
            </w:r>
          </w:p>
        </w:tc>
        <w:tc>
          <w:tcPr>
            <w:tcW w:type="dxa" w:w="3377"/>
          </w:tcPr>
          <w:p>
            <w:pPr>
              <w:pStyle w:val="Compact"/>
              <w:jc w:val="left"/>
            </w:pPr>
            <w:r>
              <w:rPr>
                <w:b w:val="0"/>
              </w:rPr>
            </w:r>
          </w:p>
        </w:tc>
      </w:tr>
      <w:tr>
        <w:tc>
          <w:tcPr>
            <w:tcW w:type="dxa" w:w="5461"/>
          </w:tcPr>
          <w:p>
            <w:pPr>
              <w:pStyle w:val="Compact"/>
              <w:jc w:val="left"/>
            </w:pPr>
            <w:r>
              <w:rPr>
                <w:b w:val="0"/>
              </w:rPr>
              <w:t>src/</w:t>
            </w:r>
          </w:p>
        </w:tc>
        <w:tc>
          <w:tcPr>
            <w:tcW w:type="dxa" w:w="3377"/>
          </w:tcPr>
          <w:p>
            <w:pPr>
              <w:pStyle w:val="Compact"/>
              <w:jc w:val="left"/>
            </w:pPr>
            <w:r>
              <w:rPr>
                <w:b w:val="0"/>
              </w:rPr>
            </w:r>
          </w:p>
        </w:tc>
      </w:tr>
      <w:tr>
        <w:tc>
          <w:tcPr>
            <w:tcW w:type="dxa" w:w="5461"/>
          </w:tcPr>
          <w:p>
            <w:pPr>
              <w:pStyle w:val="Compact"/>
              <w:jc w:val="left"/>
            </w:pPr>
            <w:r>
              <w:rPr>
                <w:b w:val="0"/>
              </w:rPr>
              <w:t xml:space="preserve">    main.py</w:t>
            </w:r>
          </w:p>
        </w:tc>
        <w:tc>
          <w:tcPr>
            <w:tcW w:type="dxa" w:w="3377"/>
          </w:tcPr>
          <w:p>
            <w:pPr>
              <w:pStyle w:val="Compact"/>
              <w:jc w:val="left"/>
            </w:pPr>
            <w:r>
              <w:rPr>
                <w:b w:val="0"/>
              </w:rPr>
              <w:t>Orquestador principal (+--rag-mode CLI, v1.1)</w:t>
            </w:r>
          </w:p>
        </w:tc>
      </w:tr>
      <w:tr>
        <w:tc>
          <w:tcPr>
            <w:tcW w:type="dxa" w:w="5461"/>
          </w:tcPr>
          <w:p>
            <w:pPr>
              <w:pStyle w:val="Compact"/>
              <w:jc w:val="left"/>
            </w:pPr>
            <w:r>
              <w:rPr>
                <w:b w:val="0"/>
              </w:rPr>
              <w:t xml:space="preserve">    config.py</w:t>
            </w:r>
          </w:p>
        </w:tc>
        <w:tc>
          <w:tcPr>
            <w:tcW w:type="dxa" w:w="3377"/>
          </w:tcPr>
          <w:p>
            <w:pPr>
              <w:pStyle w:val="Compact"/>
              <w:jc w:val="left"/>
            </w:pPr>
            <w:r>
              <w:rPr>
                <w:b w:val="0"/>
              </w:rPr>
              <w:t>Configuración global (+rag_mode field, v1.1)</w:t>
            </w:r>
          </w:p>
        </w:tc>
      </w:tr>
      <w:tr>
        <w:tc>
          <w:tcPr>
            <w:tcW w:type="dxa" w:w="5461"/>
          </w:tcPr>
          <w:p>
            <w:pPr>
              <w:pStyle w:val="Compact"/>
              <w:jc w:val="left"/>
            </w:pPr>
            <w:r>
              <w:rPr>
                <w:b w:val="0"/>
              </w:rPr>
              <w:t xml:space="preserve">    data_loader.py</w:t>
            </w:r>
          </w:p>
        </w:tc>
        <w:tc>
          <w:tcPr>
            <w:tcW w:type="dxa" w:w="3377"/>
          </w:tcPr>
          <w:p>
            <w:pPr>
              <w:pStyle w:val="Compact"/>
              <w:jc w:val="left"/>
            </w:pPr>
            <w:r>
              <w:rPr>
                <w:b w:val="0"/>
              </w:rPr>
              <w:t>Carga y validación del corpus</w:t>
            </w:r>
          </w:p>
        </w:tc>
      </w:tr>
      <w:tr>
        <w:tc>
          <w:tcPr>
            <w:tcW w:type="dxa" w:w="5461"/>
          </w:tcPr>
          <w:p>
            <w:pPr>
              <w:pStyle w:val="Compact"/>
              <w:jc w:val="left"/>
            </w:pPr>
            <w:r>
              <w:rPr>
                <w:b w:val="0"/>
              </w:rPr>
              <w:t xml:space="preserve">    llm_runner.py</w:t>
            </w:r>
          </w:p>
        </w:tc>
        <w:tc>
          <w:tcPr>
            <w:tcW w:type="dxa" w:w="3377"/>
          </w:tcPr>
          <w:p>
            <w:pPr>
              <w:pStyle w:val="Compact"/>
              <w:jc w:val="left"/>
            </w:pPr>
            <w:r>
              <w:rPr>
                <w:b w:val="0"/>
              </w:rPr>
              <w:t>Runner LLM con parseo en cascada</w:t>
            </w:r>
          </w:p>
        </w:tc>
      </w:tr>
      <w:tr>
        <w:tc>
          <w:tcPr>
            <w:tcW w:type="dxa" w:w="5461"/>
          </w:tcPr>
          <w:p>
            <w:pPr>
              <w:pStyle w:val="Compact"/>
              <w:jc w:val="left"/>
            </w:pPr>
            <w:r>
              <w:rPr>
                <w:b w:val="0"/>
              </w:rPr>
              <w:t xml:space="preserve">    evaluator.py</w:t>
            </w:r>
          </w:p>
        </w:tc>
        <w:tc>
          <w:tcPr>
            <w:tcW w:type="dxa" w:w="3377"/>
          </w:tcPr>
          <w:p>
            <w:pPr>
              <w:pStyle w:val="Compact"/>
              <w:jc w:val="left"/>
            </w:pPr>
            <w:r>
              <w:rPr>
                <w:b w:val="0"/>
              </w:rPr>
              <w:t>Métricas F1 + taxonomía de errores</w:t>
            </w:r>
          </w:p>
        </w:tc>
      </w:tr>
      <w:tr>
        <w:tc>
          <w:tcPr>
            <w:tcW w:type="dxa" w:w="5461"/>
          </w:tcPr>
          <w:p>
            <w:pPr>
              <w:pStyle w:val="Compact"/>
              <w:jc w:val="left"/>
            </w:pPr>
            <w:r>
              <w:rPr>
                <w:b w:val="0"/>
              </w:rPr>
              <w:t xml:space="preserve">    pub_sub.py</w:t>
            </w:r>
          </w:p>
        </w:tc>
        <w:tc>
          <w:tcPr>
            <w:tcW w:type="dxa" w:w="3377"/>
          </w:tcPr>
          <w:p>
            <w:pPr>
              <w:pStyle w:val="Compact"/>
              <w:jc w:val="left"/>
            </w:pPr>
            <w:r>
              <w:rPr>
                <w:b w:val="0"/>
              </w:rPr>
              <w:t>Cola Pub/Sub multithreading</w:t>
            </w:r>
          </w:p>
        </w:tc>
      </w:tr>
      <w:tr>
        <w:tc>
          <w:tcPr>
            <w:tcW w:type="dxa" w:w="5461"/>
          </w:tcPr>
          <w:p>
            <w:pPr>
              <w:pStyle w:val="Compact"/>
              <w:jc w:val="left"/>
            </w:pPr>
            <w:r>
              <w:rPr>
                <w:b w:val="0"/>
              </w:rPr>
              <w:t xml:space="preserve">    adaptive_workers.py</w:t>
            </w:r>
          </w:p>
        </w:tc>
        <w:tc>
          <w:tcPr>
            <w:tcW w:type="dxa" w:w="3377"/>
          </w:tcPr>
          <w:p>
            <w:pPr>
              <w:pStyle w:val="Compact"/>
              <w:jc w:val="left"/>
            </w:pPr>
            <w:r>
              <w:rPr>
                <w:b w:val="0"/>
              </w:rPr>
              <w:t>Controlador AIMD</w:t>
            </w:r>
          </w:p>
        </w:tc>
      </w:tr>
      <w:tr>
        <w:tc>
          <w:tcPr>
            <w:tcW w:type="dxa" w:w="5461"/>
          </w:tcPr>
          <w:p>
            <w:pPr>
              <w:pStyle w:val="Compact"/>
              <w:jc w:val="left"/>
            </w:pPr>
            <w:r>
              <w:rPr>
                <w:b w:val="0"/>
              </w:rPr>
              <w:t xml:space="preserve">    checkpoint.py</w:t>
            </w:r>
          </w:p>
        </w:tc>
        <w:tc>
          <w:tcPr>
            <w:tcW w:type="dxa" w:w="3377"/>
          </w:tcPr>
          <w:p>
            <w:pPr>
              <w:pStyle w:val="Compact"/>
              <w:jc w:val="left"/>
            </w:pPr>
            <w:r>
              <w:rPr>
                <w:b w:val="0"/>
              </w:rPr>
              <w:t>Persistencia de estado</w:t>
            </w:r>
          </w:p>
        </w:tc>
      </w:tr>
      <w:tr>
        <w:tc>
          <w:tcPr>
            <w:tcW w:type="dxa" w:w="5461"/>
          </w:tcPr>
          <w:p>
            <w:pPr>
              <w:pStyle w:val="Compact"/>
              <w:jc w:val="left"/>
            </w:pPr>
            <w:r>
              <w:rPr>
                <w:b w:val="0"/>
              </w:rPr>
              <w:t xml:space="preserve">    rag_manager.py</w:t>
            </w:r>
          </w:p>
        </w:tc>
        <w:tc>
          <w:tcPr>
            <w:tcW w:type="dxa" w:w="3377"/>
          </w:tcPr>
          <w:p>
            <w:pPr>
              <w:pStyle w:val="Compact"/>
              <w:jc w:val="left"/>
            </w:pPr>
            <w:r>
              <w:rPr>
                <w:b w:val="0"/>
              </w:rPr>
              <w:t>RAGManager: Dict-RAG legacy (v1.0)</w:t>
            </w:r>
          </w:p>
        </w:tc>
      </w:tr>
      <w:tr>
        <w:tc>
          <w:tcPr>
            <w:tcW w:type="dxa" w:w="5461"/>
          </w:tcPr>
          <w:p>
            <w:pPr>
              <w:pStyle w:val="Compact"/>
              <w:jc w:val="left"/>
            </w:pPr>
            <w:r>
              <w:rPr>
                <w:b w:val="0"/>
              </w:rPr>
              <w:t xml:space="preserve">    kb_rag_manager.py</w:t>
            </w:r>
          </w:p>
        </w:tc>
        <w:tc>
          <w:tcPr>
            <w:tcW w:type="dxa" w:w="3377"/>
          </w:tcPr>
          <w:p>
            <w:pPr>
              <w:pStyle w:val="Compact"/>
              <w:jc w:val="left"/>
            </w:pPr>
            <w:r>
              <w:rPr>
                <w:b w:val="0"/>
              </w:rPr>
              <w:t>KBRAGManager: KB RAG contextual (v1.1, NUEVO)</w:t>
            </w:r>
          </w:p>
        </w:tc>
      </w:tr>
      <w:tr>
        <w:tc>
          <w:tcPr>
            <w:tcW w:type="dxa" w:w="5461"/>
          </w:tcPr>
          <w:p>
            <w:pPr>
              <w:pStyle w:val="Compact"/>
              <w:jc w:val="left"/>
            </w:pPr>
            <w:r>
              <w:rPr>
                <w:b w:val="0"/>
              </w:rPr>
              <w:t xml:space="preserve">    dashboard.py</w:t>
            </w:r>
          </w:p>
        </w:tc>
        <w:tc>
          <w:tcPr>
            <w:tcW w:type="dxa" w:w="3377"/>
          </w:tcPr>
          <w:p>
            <w:pPr>
              <w:pStyle w:val="Compact"/>
              <w:jc w:val="left"/>
            </w:pPr>
            <w:r>
              <w:rPr>
                <w:b w:val="0"/>
              </w:rPr>
              <w:t>Interfaz Streamlit (7 pestañas)</w:t>
            </w:r>
          </w:p>
        </w:tc>
      </w:tr>
      <w:tr>
        <w:tc>
          <w:tcPr>
            <w:tcW w:type="dxa" w:w="5461"/>
          </w:tcPr>
          <w:p>
            <w:pPr>
              <w:pStyle w:val="Compact"/>
              <w:jc w:val="left"/>
            </w:pPr>
            <w:r>
              <w:rPr>
                <w:b w:val="0"/>
              </w:rPr>
              <w:t xml:space="preserve">    statistics.py</w:t>
            </w:r>
          </w:p>
        </w:tc>
        <w:tc>
          <w:tcPr>
            <w:tcW w:type="dxa" w:w="3377"/>
          </w:tcPr>
          <w:p>
            <w:pPr>
              <w:pStyle w:val="Compact"/>
              <w:jc w:val="left"/>
            </w:pPr>
            <w:r>
              <w:rPr>
                <w:b w:val="0"/>
              </w:rPr>
              <w:t>ANOVA + Tukey HSD + IC95</w:t>
            </w:r>
          </w:p>
        </w:tc>
      </w:tr>
      <w:tr>
        <w:tc>
          <w:tcPr>
            <w:tcW w:type="dxa" w:w="5461"/>
          </w:tcPr>
          <w:p>
            <w:pPr>
              <w:pStyle w:val="Compact"/>
              <w:jc w:val="left"/>
            </w:pPr>
            <w:r>
              <w:rPr>
                <w:b w:val="0"/>
              </w:rPr>
              <w:t xml:space="preserve">    providers/</w:t>
            </w:r>
          </w:p>
        </w:tc>
        <w:tc>
          <w:tcPr>
            <w:tcW w:type="dxa" w:w="3377"/>
          </w:tcPr>
          <w:p>
            <w:pPr>
              <w:pStyle w:val="Compact"/>
              <w:jc w:val="left"/>
            </w:pPr>
            <w:r>
              <w:rPr>
                <w:b w:val="0"/>
              </w:rPr>
            </w:r>
          </w:p>
        </w:tc>
      </w:tr>
      <w:tr>
        <w:tc>
          <w:tcPr>
            <w:tcW w:type="dxa" w:w="5461"/>
          </w:tcPr>
          <w:p>
            <w:pPr>
              <w:pStyle w:val="Compact"/>
              <w:jc w:val="left"/>
            </w:pPr>
            <w:r>
              <w:rPr>
                <w:b w:val="0"/>
              </w:rPr>
              <w:t xml:space="preserve">        base.py</w:t>
            </w:r>
          </w:p>
        </w:tc>
        <w:tc>
          <w:tcPr>
            <w:tcW w:type="dxa" w:w="3377"/>
          </w:tcPr>
          <w:p>
            <w:pPr>
              <w:pStyle w:val="Compact"/>
              <w:jc w:val="left"/>
            </w:pPr>
            <w:r>
              <w:rPr>
                <w:b w:val="0"/>
              </w:rPr>
              <w:t>LLMProvider ABC</w:t>
            </w:r>
          </w:p>
        </w:tc>
      </w:tr>
      <w:tr>
        <w:tc>
          <w:tcPr>
            <w:tcW w:type="dxa" w:w="5461"/>
          </w:tcPr>
          <w:p>
            <w:pPr>
              <w:pStyle w:val="Compact"/>
              <w:jc w:val="left"/>
            </w:pPr>
            <w:r>
              <w:rPr>
                <w:b w:val="0"/>
              </w:rPr>
              <w:t xml:space="preserve">        factory.py</w:t>
            </w:r>
          </w:p>
        </w:tc>
        <w:tc>
          <w:tcPr>
            <w:tcW w:type="dxa" w:w="3377"/>
          </w:tcPr>
          <w:p>
            <w:pPr>
              <w:pStyle w:val="Compact"/>
              <w:jc w:val="left"/>
            </w:pPr>
            <w:r>
              <w:rPr>
                <w:b w:val="0"/>
              </w:rPr>
              <w:t>LLMProviderFactory</w:t>
            </w:r>
          </w:p>
        </w:tc>
      </w:tr>
      <w:tr>
        <w:tc>
          <w:tcPr>
            <w:tcW w:type="dxa" w:w="5461"/>
          </w:tcPr>
          <w:p>
            <w:pPr>
              <w:pStyle w:val="Compact"/>
              <w:jc w:val="left"/>
            </w:pPr>
            <w:r>
              <w:rPr>
                <w:b w:val="0"/>
              </w:rPr>
              <w:t xml:space="preserve">        ollama_provider.py</w:t>
            </w:r>
          </w:p>
        </w:tc>
        <w:tc>
          <w:tcPr>
            <w:tcW w:type="dxa" w:w="3377"/>
          </w:tcPr>
          <w:p>
            <w:pPr>
              <w:pStyle w:val="Compact"/>
              <w:jc w:val="left"/>
            </w:pPr>
            <w:r>
              <w:rPr>
                <w:b w:val="0"/>
              </w:rPr>
              <w:t>Proveedor Ollama (+template KB RAG, v1.1)</w:t>
            </w:r>
          </w:p>
        </w:tc>
      </w:tr>
      <w:tr>
        <w:tc>
          <w:tcPr>
            <w:tcW w:type="dxa" w:w="5461"/>
          </w:tcPr>
          <w:p>
            <w:pPr>
              <w:pStyle w:val="Compact"/>
              <w:jc w:val="left"/>
            </w:pPr>
            <w:r>
              <w:rPr>
                <w:b w:val="0"/>
              </w:rPr>
              <w:t xml:space="preserve">        openai_provider.py</w:t>
            </w:r>
          </w:p>
        </w:tc>
        <w:tc>
          <w:tcPr>
            <w:tcW w:type="dxa" w:w="3377"/>
          </w:tcPr>
          <w:p>
            <w:pPr>
              <w:pStyle w:val="Compact"/>
              <w:jc w:val="left"/>
            </w:pPr>
            <w:r>
              <w:rPr>
                <w:b w:val="0"/>
              </w:rPr>
              <w:t>Proveedor OpenAI (cloud)</w:t>
            </w:r>
          </w:p>
        </w:tc>
      </w:tr>
      <w:tr>
        <w:tc>
          <w:tcPr>
            <w:tcW w:type="dxa" w:w="5461"/>
          </w:tcPr>
          <w:p>
            <w:pPr>
              <w:pStyle w:val="Compact"/>
              <w:jc w:val="left"/>
            </w:pPr>
            <w:r>
              <w:rPr>
                <w:b w:val="0"/>
              </w:rPr>
              <w:t xml:space="preserve">        __init__.py</w:t>
            </w:r>
          </w:p>
        </w:tc>
        <w:tc>
          <w:tcPr>
            <w:tcW w:type="dxa" w:w="3377"/>
          </w:tcPr>
          <w:p>
            <w:pPr>
              <w:pStyle w:val="Compact"/>
              <w:jc w:val="left"/>
            </w:pPr>
            <w:r>
              <w:rPr>
                <w:b w:val="0"/>
              </w:rPr>
              <w:t>Facade get_provider()</w:t>
            </w:r>
          </w:p>
        </w:tc>
      </w:tr>
      <w:tr>
        <w:tc>
          <w:tcPr>
            <w:tcW w:type="dxa" w:w="5461"/>
          </w:tcPr>
          <w:p>
            <w:pPr>
              <w:pStyle w:val="Compact"/>
              <w:jc w:val="left"/>
            </w:pPr>
            <w:r>
              <w:rPr>
                <w:b w:val="0"/>
              </w:rPr>
              <w:t>data/</w:t>
            </w:r>
          </w:p>
        </w:tc>
        <w:tc>
          <w:tcPr>
            <w:tcW w:type="dxa" w:w="3377"/>
          </w:tcPr>
          <w:p>
            <w:pPr>
              <w:pStyle w:val="Compact"/>
              <w:jc w:val="left"/>
            </w:pPr>
            <w:r>
              <w:rPr>
                <w:b w:val="0"/>
              </w:rPr>
            </w:r>
          </w:p>
        </w:tc>
      </w:tr>
      <w:tr>
        <w:tc>
          <w:tcPr>
            <w:tcW w:type="dxa" w:w="5461"/>
          </w:tcPr>
          <w:p>
            <w:pPr>
              <w:pStyle w:val="Compact"/>
              <w:jc w:val="left"/>
            </w:pPr>
            <w:r>
              <w:rPr>
                <w:b w:val="0"/>
              </w:rPr>
              <w:t xml:space="preserve">    benchmark_balanced_120.json</w:t>
            </w:r>
          </w:p>
        </w:tc>
        <w:tc>
          <w:tcPr>
            <w:tcW w:type="dxa" w:w="3377"/>
          </w:tcPr>
          <w:p>
            <w:pPr>
              <w:pStyle w:val="Compact"/>
              <w:jc w:val="left"/>
            </w:pPr>
            <w:r>
              <w:rPr>
                <w:b w:val="0"/>
              </w:rPr>
              <w:t>Corpus N=120 (Gold Standard real)</w:t>
            </w:r>
          </w:p>
        </w:tc>
      </w:tr>
      <w:tr>
        <w:tc>
          <w:tcPr>
            <w:tcW w:type="dxa" w:w="5461"/>
          </w:tcPr>
          <w:p>
            <w:pPr>
              <w:pStyle w:val="Compact"/>
              <w:jc w:val="left"/>
            </w:pPr>
            <w:r>
              <w:rPr>
                <w:b w:val="0"/>
              </w:rPr>
              <w:t xml:space="preserve">    dictionaries/</w:t>
            </w:r>
          </w:p>
        </w:tc>
        <w:tc>
          <w:tcPr>
            <w:tcW w:type="dxa" w:w="3377"/>
          </w:tcPr>
          <w:p>
            <w:pPr>
              <w:pStyle w:val="Compact"/>
              <w:jc w:val="left"/>
            </w:pPr>
            <w:r>
              <w:rPr>
                <w:b w:val="0"/>
              </w:rPr>
            </w:r>
          </w:p>
        </w:tc>
      </w:tr>
      <w:tr>
        <w:tc>
          <w:tcPr>
            <w:tcW w:type="dxa" w:w="5461"/>
          </w:tcPr>
          <w:p>
            <w:pPr>
              <w:pStyle w:val="Compact"/>
              <w:jc w:val="left"/>
            </w:pPr>
            <w:r>
              <w:rPr>
                <w:b w:val="0"/>
              </w:rPr>
              <w:t xml:space="preserve">        persons.json</w:t>
            </w:r>
          </w:p>
        </w:tc>
        <w:tc>
          <w:tcPr>
            <w:tcW w:type="dxa" w:w="3377"/>
          </w:tcPr>
          <w:p>
            <w:pPr>
              <w:pStyle w:val="Compact"/>
              <w:jc w:val="left"/>
            </w:pPr>
            <w:r>
              <w:rPr>
                <w:b w:val="0"/>
              </w:rPr>
              <w:t>Diccionario de personas (v1.0)</w:t>
            </w:r>
          </w:p>
        </w:tc>
      </w:tr>
      <w:tr>
        <w:tc>
          <w:tcPr>
            <w:tcW w:type="dxa" w:w="5461"/>
          </w:tcPr>
          <w:p>
            <w:pPr>
              <w:pStyle w:val="Compact"/>
              <w:jc w:val="left"/>
            </w:pPr>
            <w:r>
              <w:rPr>
                <w:b w:val="0"/>
              </w:rPr>
              <w:t xml:space="preserve">        organizations.json</w:t>
            </w:r>
          </w:p>
        </w:tc>
        <w:tc>
          <w:tcPr>
            <w:tcW w:type="dxa" w:w="3377"/>
          </w:tcPr>
          <w:p>
            <w:pPr>
              <w:pStyle w:val="Compact"/>
              <w:jc w:val="left"/>
            </w:pPr>
            <w:r>
              <w:rPr>
                <w:b w:val="0"/>
              </w:rPr>
              <w:t>Diccionario de organizaciones (v1.0)</w:t>
            </w:r>
          </w:p>
        </w:tc>
      </w:tr>
      <w:tr>
        <w:tc>
          <w:tcPr>
            <w:tcW w:type="dxa" w:w="5461"/>
          </w:tcPr>
          <w:p>
            <w:pPr>
              <w:pStyle w:val="Compact"/>
              <w:jc w:val="left"/>
            </w:pPr>
            <w:r>
              <w:rPr>
                <w:b w:val="0"/>
              </w:rPr>
              <w:t xml:space="preserve">        augmented_persons.json</w:t>
            </w:r>
          </w:p>
        </w:tc>
        <w:tc>
          <w:tcPr>
            <w:tcW w:type="dxa" w:w="3377"/>
          </w:tcPr>
          <w:p>
            <w:pPr>
              <w:pStyle w:val="Compact"/>
              <w:jc w:val="left"/>
            </w:pPr>
            <w:r>
              <w:rPr>
                <w:b w:val="0"/>
              </w:rPr>
              <w:t>Personas aumentadas (v1.0)</w:t>
            </w:r>
          </w:p>
        </w:tc>
      </w:tr>
      <w:tr>
        <w:tc>
          <w:tcPr>
            <w:tcW w:type="dxa" w:w="5461"/>
          </w:tcPr>
          <w:p>
            <w:pPr>
              <w:pStyle w:val="Compact"/>
              <w:jc w:val="left"/>
            </w:pPr>
            <w:r>
              <w:rPr>
                <w:b w:val="0"/>
              </w:rPr>
              <w:t xml:space="preserve">    knowledge_base/</w:t>
            </w:r>
          </w:p>
        </w:tc>
        <w:tc>
          <w:tcPr>
            <w:tcW w:type="dxa" w:w="3377"/>
          </w:tcPr>
          <w:p>
            <w:pPr>
              <w:pStyle w:val="Compact"/>
              <w:jc w:val="left"/>
            </w:pPr>
            <w:r>
              <w:rPr>
                <w:b w:val="0"/>
              </w:rPr>
              <w:t>Base de Conocimientos KB RAG (v1.1, NUEVO)</w:t>
            </w:r>
          </w:p>
        </w:tc>
      </w:tr>
      <w:tr>
        <w:tc>
          <w:tcPr>
            <w:tcW w:type="dxa" w:w="5461"/>
          </w:tcPr>
          <w:p>
            <w:pPr>
              <w:pStyle w:val="Compact"/>
              <w:jc w:val="left"/>
            </w:pPr>
            <w:r>
              <w:rPr>
                <w:b w:val="0"/>
              </w:rPr>
              <w:t xml:space="preserve">        domain_guidelines.json</w:t>
            </w:r>
          </w:p>
        </w:tc>
        <w:tc>
          <w:tcPr>
            <w:tcW w:type="dxa" w:w="3377"/>
          </w:tcPr>
          <w:p>
            <w:pPr>
              <w:pStyle w:val="Compact"/>
              <w:jc w:val="left"/>
            </w:pPr>
            <w:r>
              <w:rPr>
                <w:b w:val="0"/>
              </w:rPr>
              <w:t>5 dominios con reglas NER tipológicas</w:t>
            </w:r>
          </w:p>
        </w:tc>
      </w:tr>
      <w:tr>
        <w:tc>
          <w:tcPr>
            <w:tcW w:type="dxa" w:w="5461"/>
          </w:tcPr>
          <w:p>
            <w:pPr>
              <w:pStyle w:val="Compact"/>
              <w:jc w:val="left"/>
            </w:pPr>
            <w:r>
              <w:rPr>
                <w:b w:val="0"/>
              </w:rPr>
              <w:t xml:space="preserve">        few_shot_exemplars.json</w:t>
            </w:r>
          </w:p>
        </w:tc>
        <w:tc>
          <w:tcPr>
            <w:tcW w:type="dxa" w:w="3377"/>
          </w:tcPr>
          <w:p>
            <w:pPr>
              <w:pStyle w:val="Compact"/>
              <w:jc w:val="left"/>
            </w:pPr>
            <w:r>
              <w:rPr>
                <w:b w:val="0"/>
              </w:rPr>
              <w:t>7 ejemplares anotados (artículos reales)</w:t>
            </w:r>
          </w:p>
        </w:tc>
      </w:tr>
      <w:tr>
        <w:tc>
          <w:tcPr>
            <w:tcW w:type="dxa" w:w="5461"/>
          </w:tcPr>
          <w:p>
            <w:pPr>
              <w:pStyle w:val="Compact"/>
              <w:jc w:val="left"/>
            </w:pPr>
            <w:r>
              <w:rPr>
                <w:b w:val="0"/>
              </w:rPr>
              <w:t>results/</w:t>
            </w:r>
          </w:p>
        </w:tc>
        <w:tc>
          <w:tcPr>
            <w:tcW w:type="dxa" w:w="3377"/>
          </w:tcPr>
          <w:p>
            <w:pPr>
              <w:pStyle w:val="Compact"/>
              <w:jc w:val="left"/>
            </w:pPr>
            <w:r>
              <w:rPr>
                <w:b w:val="0"/>
              </w:rPr>
              <w:t>Salidas del benchmark</w:t>
            </w:r>
          </w:p>
        </w:tc>
      </w:tr>
      <w:tr>
        <w:tc>
          <w:tcPr>
            <w:tcW w:type="dxa" w:w="5461"/>
          </w:tcPr>
          <w:p>
            <w:pPr>
              <w:pStyle w:val="Compact"/>
              <w:jc w:val="left"/>
            </w:pPr>
            <w:r>
              <w:rPr>
                <w:b w:val="0"/>
              </w:rPr>
              <w:t xml:space="preserve">    benchmark_results.csv</w:t>
            </w:r>
          </w:p>
        </w:tc>
        <w:tc>
          <w:tcPr>
            <w:tcW w:type="dxa" w:w="3377"/>
          </w:tcPr>
          <w:p>
            <w:pPr>
              <w:pStyle w:val="Compact"/>
              <w:jc w:val="left"/>
            </w:pPr>
            <w:r>
              <w:rPr>
                <w:b w:val="0"/>
              </w:rPr>
            </w:r>
          </w:p>
        </w:tc>
      </w:tr>
      <w:tr>
        <w:tc>
          <w:tcPr>
            <w:tcW w:type="dxa" w:w="5461"/>
          </w:tcPr>
          <w:p>
            <w:pPr>
              <w:pStyle w:val="Compact"/>
              <w:jc w:val="left"/>
            </w:pPr>
            <w:r>
              <w:rPr>
                <w:b w:val="0"/>
              </w:rPr>
              <w:t xml:space="preserve">    statistical_report.md</w:t>
            </w:r>
          </w:p>
        </w:tc>
        <w:tc>
          <w:tcPr>
            <w:tcW w:type="dxa" w:w="3377"/>
          </w:tcPr>
          <w:p>
            <w:pPr>
              <w:pStyle w:val="Compact"/>
              <w:jc w:val="left"/>
            </w:pPr>
            <w:r>
              <w:rPr>
                <w:b w:val="0"/>
              </w:rPr>
            </w:r>
          </w:p>
        </w:tc>
      </w:tr>
      <w:tr>
        <w:tc>
          <w:tcPr>
            <w:tcW w:type="dxa" w:w="5461"/>
          </w:tcPr>
          <w:p>
            <w:pPr>
              <w:pStyle w:val="Compact"/>
              <w:jc w:val="left"/>
            </w:pPr>
            <w:r>
              <w:rPr>
                <w:b w:val="0"/>
              </w:rPr>
              <w:t xml:space="preserve">    benchmark_balanced_120_&lt;timestamp&gt;/</w:t>
            </w:r>
          </w:p>
        </w:tc>
        <w:tc>
          <w:tcPr>
            <w:tcW w:type="dxa" w:w="3377"/>
          </w:tcPr>
          <w:p>
            <w:pPr>
              <w:pStyle w:val="Compact"/>
              <w:jc w:val="left"/>
            </w:pPr>
            <w:r>
              <w:rPr>
                <w:b w:val="0"/>
              </w:rPr>
              <w:t>Resultados por ejecución</w:t>
            </w:r>
          </w:p>
        </w:tc>
      </w:tr>
      <w:tr>
        <w:tc>
          <w:tcPr>
            <w:tcW w:type="dxa" w:w="5461"/>
          </w:tcPr>
          <w:p>
            <w:pPr>
              <w:pStyle w:val="Compact"/>
              <w:jc w:val="left"/>
            </w:pPr>
            <w:r>
              <w:rPr>
                <w:b w:val="0"/>
              </w:rPr>
              <w:t>research/</w:t>
            </w:r>
          </w:p>
        </w:tc>
        <w:tc>
          <w:tcPr>
            <w:tcW w:type="dxa" w:w="3377"/>
          </w:tcPr>
          <w:p>
            <w:pPr>
              <w:pStyle w:val="Compact"/>
              <w:jc w:val="left"/>
            </w:pPr>
            <w:r>
              <w:rPr>
                <w:b w:val="0"/>
              </w:rPr>
            </w:r>
          </w:p>
        </w:tc>
      </w:tr>
      <w:tr>
        <w:tc>
          <w:tcPr>
            <w:tcW w:type="dxa" w:w="5461"/>
          </w:tcPr>
          <w:p>
            <w:pPr>
              <w:pStyle w:val="Compact"/>
              <w:jc w:val="left"/>
            </w:pPr>
            <w:r>
              <w:rPr>
                <w:b w:val="0"/>
              </w:rPr>
              <w:t xml:space="preserve">    rag/</w:t>
            </w:r>
          </w:p>
        </w:tc>
        <w:tc>
          <w:tcPr>
            <w:tcW w:type="dxa" w:w="3377"/>
          </w:tcPr>
          <w:p>
            <w:pPr>
              <w:pStyle w:val="Compact"/>
              <w:jc w:val="left"/>
            </w:pPr>
            <w:r>
              <w:rPr>
                <w:b w:val="0"/>
              </w:rPr>
            </w:r>
          </w:p>
        </w:tc>
      </w:tr>
      <w:tr>
        <w:tc>
          <w:tcPr>
            <w:tcW w:type="dxa" w:w="5461"/>
          </w:tcPr>
          <w:p>
            <w:pPr>
              <w:pStyle w:val="Compact"/>
              <w:jc w:val="left"/>
            </w:pPr>
            <w:r>
              <w:rPr>
                <w:b w:val="0"/>
              </w:rPr>
              <w:t xml:space="preserve">        2026-08-31_analisis_contenido_rag_base_conocimientos.md</w:t>
            </w:r>
          </w:p>
        </w:tc>
        <w:tc>
          <w:tcPr>
            <w:tcW w:type="dxa" w:w="3377"/>
          </w:tcPr>
          <w:p>
            <w:pPr>
              <w:pStyle w:val="Compact"/>
              <w:jc w:val="left"/>
            </w:pPr>
            <w:r>
              <w:rPr>
                <w:b w:val="0"/>
              </w:rPr>
              <w:t>Investigación RAG</w:t>
            </w:r>
          </w:p>
        </w:tc>
      </w:tr>
      <w:tr>
        <w:tc>
          <w:tcPr>
            <w:tcW w:type="dxa" w:w="5461"/>
          </w:tcPr>
          <w:p>
            <w:pPr>
              <w:pStyle w:val="Compact"/>
              <w:jc w:val="left"/>
            </w:pPr>
            <w:r>
              <w:rPr>
                <w:b w:val="0"/>
              </w:rPr>
              <w:t xml:space="preserve">        TODO-RAG-20260901.md</w:t>
            </w:r>
          </w:p>
        </w:tc>
        <w:tc>
          <w:tcPr>
            <w:tcW w:type="dxa" w:w="3377"/>
          </w:tcPr>
          <w:p>
            <w:pPr>
              <w:pStyle w:val="Compact"/>
              <w:jc w:val="left"/>
            </w:pPr>
            <w:r>
              <w:rPr>
                <w:b w:val="0"/>
              </w:rPr>
              <w:t>Tracking implementación</w:t>
            </w:r>
          </w:p>
        </w:tc>
      </w:tr>
      <w:tr>
        <w:tc>
          <w:tcPr>
            <w:tcW w:type="dxa" w:w="5461"/>
          </w:tcPr>
          <w:p>
            <w:pPr>
              <w:pStyle w:val="Compact"/>
              <w:jc w:val="left"/>
            </w:pPr>
            <w:r>
              <w:rPr>
                <w:b w:val="0"/>
              </w:rPr>
              <w:t xml:space="preserve">        WORKLOG.md</w:t>
            </w:r>
          </w:p>
        </w:tc>
        <w:tc>
          <w:tcPr>
            <w:tcW w:type="dxa" w:w="3377"/>
          </w:tcPr>
          <w:p>
            <w:pPr>
              <w:pStyle w:val="Compact"/>
              <w:jc w:val="left"/>
            </w:pPr>
            <w:r>
              <w:rPr>
                <w:b w:val="0"/>
              </w:rPr>
              <w:t>Bitácora de trabajo</w:t>
            </w:r>
          </w:p>
        </w:tc>
      </w:tr>
      <w:tr>
        <w:tc>
          <w:tcPr>
            <w:tcW w:type="dxa" w:w="5461"/>
          </w:tcPr>
          <w:p>
            <w:pPr>
              <w:pStyle w:val="Compact"/>
              <w:jc w:val="left"/>
            </w:pPr>
            <w:r>
              <w:rPr>
                <w:b w:val="0"/>
              </w:rPr>
              <w:t>SYSTEM_PROMPT.md</w:t>
            </w:r>
          </w:p>
        </w:tc>
        <w:tc>
          <w:tcPr>
            <w:tcW w:type="dxa" w:w="3377"/>
          </w:tcPr>
          <w:p>
            <w:pPr>
              <w:pStyle w:val="Compact"/>
              <w:jc w:val="left"/>
            </w:pPr>
            <w:r>
              <w:rPr>
                <w:b w:val="0"/>
              </w:rPr>
              <w:t>Prompt del sistema (few-shot español)</w:t>
            </w:r>
          </w:p>
        </w:tc>
      </w:tr>
      <w:tr>
        <w:tc>
          <w:tcPr>
            <w:tcW w:type="dxa" w:w="5461"/>
          </w:tcPr>
          <w:p>
            <w:pPr>
              <w:pStyle w:val="Compact"/>
              <w:jc w:val="left"/>
            </w:pPr>
            <w:r>
              <w:rPr>
                <w:b w:val="0"/>
              </w:rPr>
              <w:t>SYSTEM_PROMPT_EN.md</w:t>
            </w:r>
          </w:p>
        </w:tc>
        <w:tc>
          <w:tcPr>
            <w:tcW w:type="dxa" w:w="3377"/>
          </w:tcPr>
          <w:p>
            <w:pPr>
              <w:pStyle w:val="Compact"/>
              <w:jc w:val="left"/>
            </w:pPr>
            <w:r>
              <w:rPr>
                <w:b w:val="0"/>
              </w:rPr>
              <w:t>Prompt del sistema (inglés)</w:t>
            </w:r>
          </w:p>
        </w:tc>
      </w:tr>
      <w:tr>
        <w:tc>
          <w:tcPr>
            <w:tcW w:type="dxa" w:w="5461"/>
          </w:tcPr>
          <w:p>
            <w:pPr>
              <w:pStyle w:val="Compact"/>
              <w:jc w:val="left"/>
            </w:pPr>
            <w:r>
              <w:rPr>
                <w:b w:val="0"/>
              </w:rPr>
              <w:t>SYSTEM_PROMPT_ES.md</w:t>
            </w:r>
          </w:p>
        </w:tc>
        <w:tc>
          <w:tcPr>
            <w:tcW w:type="dxa" w:w="3377"/>
          </w:tcPr>
          <w:p>
            <w:pPr>
              <w:pStyle w:val="Compact"/>
              <w:jc w:val="left"/>
            </w:pPr>
            <w:r>
              <w:rPr>
                <w:b w:val="0"/>
              </w:rPr>
              <w:t>Prompt del sistema (español)</w:t>
            </w:r>
          </w:p>
        </w:tc>
      </w:tr>
    </w:tbl>
    <w:p>
      <w:pPr>
        <w:numPr>
          <w:ilvl w:val="0"/>
          <w:numId w:val="0"/>
        </w:numPr>
        <w:pStyle w:val="heading2"/>
      </w:pPr>
      <w:r>
        <w:t>Anexo B — Prompt del Sistema (Versión Few-Shot Español)</w:t>
      </w:r>
    </w:p>
    <w:p>
      <w:pPr>
        <w:numPr>
          <w:ilvl w:val="0"/>
          <w:numId w:val="0"/>
        </w:numPr>
        <w:pStyle w:val="p1a"/>
      </w:pPr>
      <w:r>
        <w:t>El prompt de sistema en español (few-shot) incluye: (1) instrucciones de rol (analista de cumplimiento normativo), (2) formato de salida JSON estricto con tipos de entidades, (3) 3 ejemplos completos de artículo → extracción correcta, y (4) reglas de comportamiento ante ambigüedad (no alucinar, preferir omisión a invención).</w:t>
      </w:r>
    </w:p>
    <w:p>
      <w:pPr>
        <w:numPr>
          <w:ilvl w:val="0"/>
          <w:numId w:val="0"/>
        </w:numPr>
        <w:pStyle w:val="p1a"/>
      </w:pPr>
      <w:r>
        <w:rPr>
          <w:b/>
        </w:rPr>
        <w:t>Ejemplos few-shot de la configuración FS-ES</w:t>
      </w:r>
      <w:r>
        <w:t xml:space="preserve"> (§4.3):</w:t>
      </w:r>
    </w:p>
    <w:p>
      <w:pPr>
        <w:numPr>
          <w:ilvl w:val="0"/>
          <w:numId w:val="0"/>
        </w:numPr>
        <w:pStyle w:val="p1a"/>
      </w:pPr>
      <w:r>
        <w:rPr>
          <w:b/>
        </w:rPr>
        <w:t>Ejemplo few-shot 1 (caso persona sancionada):</w:t>
      </w:r>
    </w:p>
    <w:p>
      <w:pPr>
        <w:numPr>
          <w:ilvl w:val="0"/>
          <w:numId w:val="0"/>
        </w:numPr>
        <w:pStyle w:val="programcode"/>
      </w:pPr>
      <w:r>
        <w:t>Texto: "El empresario ruso Roman Abramovich fue incluido en las listas de sanciones de la Unión Europea por sus vínculos con el régimen del Kremlin a través de su empresa Evraz PLC."</w:t>
      </w:r>
      <w:r>
        <w:br/>
      </w:r>
      <w:r>
        <w:t>Respuesta: {"Persons": ["Roman Abramovich"], "Organizations": ["Evraz PLC"]}</w:t>
      </w:r>
    </w:p>
    <w:p>
      <w:pPr>
        <w:numPr>
          <w:ilvl w:val="0"/>
          <w:numId w:val="0"/>
        </w:numPr>
        <w:pStyle w:val="p1a"/>
      </w:pPr>
      <w:r>
        <w:rPr>
          <w:b/>
        </w:rPr>
        <w:t>Ejemplo few-shot 2 (caso organización sancionada):</w:t>
      </w:r>
    </w:p>
    <w:p>
      <w:pPr>
        <w:numPr>
          <w:ilvl w:val="0"/>
          <w:numId w:val="0"/>
        </w:numPr>
        <w:pStyle w:val="programcode"/>
      </w:pPr>
      <w:r>
        <w:t>Texto: "El Departamento del Tesoro de los Estados Unidos sancionó al banco Rossiya, señalándolo como banco personal de altos funcionarios del gobierno ruso."</w:t>
      </w:r>
      <w:r>
        <w:br/>
      </w:r>
      <w:r>
        <w:t>Respuesta: {"Persons": [], "Organizations": ["Banco Rossiya", "Departamento del Tesoro"]}</w:t>
      </w:r>
    </w:p>
    <w:p>
      <w:pPr>
        <w:numPr>
          <w:ilvl w:val="0"/>
          <w:numId w:val="0"/>
        </w:numPr>
        <w:pStyle w:val="p1a"/>
      </w:pPr>
      <w:r>
        <w:rPr>
          <w:b/>
        </w:rPr>
        <w:t>Ejemplo few-shot 3 (caso PEP complejo):</w:t>
      </w:r>
    </w:p>
    <w:p>
      <w:pPr>
        <w:numPr>
          <w:ilvl w:val="0"/>
          <w:numId w:val="0"/>
        </w:numPr>
        <w:pStyle w:val="programcode"/>
      </w:pPr>
      <w:r>
        <w:t>Texto: "Isabel dos Santos, hija del expresidente angoleño José Eduardo dos Santos, figura en investigaciones de la empresa estatal Sonangol por presunto desvío de fondos."</w:t>
      </w:r>
      <w:r>
        <w:br/>
      </w:r>
      <w:r>
        <w:t>Respuesta: {"Persons": ["Isabel dos Santos", "José Eduardo dos Santos"], "Organizations": ["Sonangol"]}</w:t>
      </w:r>
    </w:p>
    <w:p>
      <w:pPr>
        <w:numPr>
          <w:ilvl w:val="0"/>
          <w:numId w:val="0"/>
        </w:numPr>
        <w:pStyle w:val="p1a"/>
      </w:pPr>
      <w:r>
        <w:rPr>
          <w:b/>
        </w:rPr>
        <w:t>Prompt de generación del corpus sintético N=30</w:t>
      </w:r>
      <w:r>
        <w:t xml:space="preserve"> (§4.1.1), ejecutado sobre </w:t>
      </w:r>
      <w:r>
        <w:t>gemma4:31b</w:t>
      </w:r>
      <w:r>
        <w:t>:</w:t>
      </w:r>
    </w:p>
    <w:p>
      <w:pPr>
        <w:numPr>
          <w:ilvl w:val="0"/>
          <w:numId w:val="0"/>
        </w:numPr>
        <w:pStyle w:val="program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tablecaption"/>
      </w:pPr>
      <w:r>
        <w:t>Tabla 11. Anexo C — Configuración del Entorno de Pruebas</w:t>
      </w:r>
    </w:p>
    <w:tbl>
      <w:tblPr>
        <w:tblStyle w:val="Table"/>
        <w:tblW w:type="dxa" w:w="8838"/>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 (5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p1a"/>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p1a"/>
      </w:pPr>
      <w:r>
        <w:t>El módulo src/kb_rag_manager.py (KBRAGManager) implementa cuatro modos de operación configurables:</w:t>
      </w:r>
    </w:p>
    <w:p>
      <w:pPr>
        <w:numPr>
          <w:ilvl w:val="0"/>
          <w:numId w:val="0"/>
        </w:numPr>
        <w:pStyle w:val="tablecaption"/>
      </w:pPr>
      <w:r>
        <w:t xml:space="preserve">Tabla 12. Configuración CLI del Módulo KB RAG</w:t>
      </w:r>
    </w:p>
    <w:tbl>
      <w:tblPr>
        <w:tblStyle w:val="Table"/>
        <w:tblW w:type="dxa" w:w="8838"/>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p1a"/>
      </w:pPr>
      <w:r>
        <w:t>La base de conocimientos se organiza en dos colecciones ChromaDB separadas para garantizar compatibilidad con el sistema preexistente:</w:t>
      </w:r>
    </w:p>
    <w:p>
      <w:pPr>
        <w:numPr>
          <w:ilvl w:val="0"/>
          <w:numId w:val="0"/>
        </w:numPr>
        <w:pStyle w:val="p1a"/>
      </w:pPr>
      <w:r>
        <w:t>ner_dictionaries: Colección legacy (diccionarios de entidades, preservada)</w:t>
      </w:r>
    </w:p>
    <w:p>
      <w:pPr>
        <w:numPr>
          <w:ilvl w:val="0"/>
          <w:numId w:val="0"/>
        </w:numPr>
        <w:pStyle w:val="p1a"/>
      </w:pPr>
      <w:r>
        <w:t>ner_knowledge_base: Nueva colección (guías + ejemplares, 12 documentos)</w:t>
      </w:r>
    </w:p>
    <w:p>
      <w:pPr>
        <w:numPr>
          <w:ilvl w:val="0"/>
          <w:numId w:val="0"/>
        </w:numPr>
        <w:pStyle w:val="p1a"/>
      </w:pPr>
      <w:r>
        <w:t>Configurabilidad garantizada: El sistema es activable/desactivable mediante flags CLI sin modificar código:</w:t>
      </w:r>
    </w:p>
    <w:p>
      <w:pPr>
        <w:numPr>
          <w:ilvl w:val="0"/>
          <w:numId w:val="0"/>
        </w:numPr>
        <w:pStyle w:val="program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p1a"/>
      </w:pPr>
      <w:r>
        <w:t>Template de inyección diferenciado: El módulo ollama_provider.py detecta automáticamente el tipo de contexto RAG y aplica el template apropiado:</w:t>
      </w:r>
    </w:p>
    <w:p>
      <w:pPr>
        <w:numPr>
          <w:ilvl w:val="0"/>
          <w:numId w:val="0"/>
        </w:numPr>
        <w:pStyle w:val="p1a"/>
      </w:pPr>
      <w:r>
        <w:t>Entity-dict RAG (legacy): Template restrictivo — "DO NOT extract unless they explicitly appear..." — previene alucinaciones de entidades ausentes.</w:t>
      </w:r>
    </w:p>
    <w:p>
      <w:pPr>
        <w:numPr>
          <w:ilvl w:val="0"/>
          <w:numId w:val="0"/>
        </w:numPr>
        <w:pStyle w:val="p1a"/>
      </w:pPr>
      <w:r>
        <w:t>KB RAG (nuevo): Template positivo — "[EXTRACTION GUIDANCE] Apply these rules to the news text" — instruye activamente al LLM sin suprimir su capacidad de extracción.</w:t>
      </w:r>
    </w:p>
    <w:p>
      <w:pPr>
        <w:numPr>
          <w:ilvl w:val="0"/>
          <w:numId w:val="0"/>
        </w:numPr>
        <w:pStyle w:val="heading3"/>
      </w:pPr>
      <w:r>
        <w:t>D.2 Catálogo de guías tipológicas y ejemplares de la base de Conocimientos</w:t>
      </w:r>
    </w:p>
    <w:p>
      <w:pPr>
        <w:numPr>
          <w:ilvl w:val="0"/>
          <w:numId w:val="0"/>
        </w:numPr>
        <w:pStyle w:val="tablecaption"/>
      </w:pPr>
      <w:r>
        <w:t xml:space="preserve">Tabla 13. Guías Tipológicas de Dominio de la Base de Conocimientos</w:t>
      </w:r>
    </w:p>
    <w:tbl>
      <w:tblPr>
        <w:tblStyle w:val="Table"/>
        <w:tblW w:type="dxa" w:w="8838"/>
        <w:tblLayout w:type="fixed"/>
        <w:tblLook w:firstRow="1" w:lastRow="0" w:firstColumn="0" w:lastColumn="0" w:noHBand="0" w:noVBand="0" w:val="0020"/>
      </w:tblPr>
      <w:tblGrid>
        <w:gridCol w:w="2513"/>
        <w:gridCol w:w="2211"/>
        <w:gridCol w:w="693"/>
        <w:gridCol w:w="3421"/>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693"/>
          </w:tcPr>
          <w:p>
            <w:pPr>
              <w:pStyle w:val="Compact"/>
              <w:jc w:val="left"/>
            </w:pPr>
            <w:r>
              <w:rPr>
                <w:b/>
              </w:rPr>
              <w:t>Idioma</w:t>
            </w:r>
          </w:p>
        </w:tc>
        <w:tc>
          <w:tcPr>
            <w:tcW w:type="dxa" w:w="3421"/>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693"/>
          </w:tcPr>
          <w:p>
            <w:pPr>
              <w:pStyle w:val="Compact"/>
              <w:jc w:val="left"/>
            </w:pPr>
            <w:r>
              <w:rPr>
                <w:b w:val="0"/>
              </w:rPr>
              <w:t>ES</w:t>
            </w:r>
          </w:p>
        </w:tc>
        <w:tc>
          <w:tcPr>
            <w:tcW w:type="dxa" w:w="3421"/>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693"/>
          </w:tcPr>
          <w:p>
            <w:pPr>
              <w:pStyle w:val="Compact"/>
              <w:jc w:val="left"/>
            </w:pPr>
            <w:r>
              <w:rPr>
                <w:b w:val="0"/>
              </w:rPr>
              <w:t>ES</w:t>
            </w:r>
          </w:p>
        </w:tc>
        <w:tc>
          <w:tcPr>
            <w:tcW w:type="dxa" w:w="3421"/>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693"/>
          </w:tcPr>
          <w:p>
            <w:pPr>
              <w:pStyle w:val="Compact"/>
              <w:jc w:val="left"/>
            </w:pPr>
            <w:r>
              <w:rPr>
                <w:b w:val="0"/>
              </w:rPr>
              <w:t>EN</w:t>
            </w:r>
          </w:p>
        </w:tc>
        <w:tc>
          <w:tcPr>
            <w:tcW w:type="dxa" w:w="3421"/>
          </w:tcPr>
          <w:p>
            <w:pPr>
              <w:pStyle w:val="Compact"/>
              <w:jc w:val="center"/>
            </w:pPr>
            <w:r>
              <w:rPr>
                <w:b w:val="0"/>
              </w:rPr>
              <w:t>OFAC, indictment, money laundering, IEEPA</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693"/>
          </w:tcPr>
          <w:p>
            <w:pPr>
              <w:pStyle w:val="Compact"/>
              <w:jc w:val="left"/>
            </w:pPr>
            <w:r>
              <w:rPr>
                <w:b w:val="0"/>
              </w:rPr>
              <w:t>ES</w:t>
            </w:r>
          </w:p>
        </w:tc>
        <w:tc>
          <w:tcPr>
            <w:tcW w:type="dxa" w:w="3421"/>
          </w:tcPr>
          <w:p>
            <w:pPr>
              <w:pStyle w:val="Compact"/>
              <w:jc w:val="center"/>
            </w:pPr>
            <w:r>
              <w:rPr>
                <w:b w:val="0"/>
              </w:rPr>
              <w:t>tribunal, fiscal, audiencia nacional</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693"/>
          </w:tcPr>
          <w:p>
            <w:pPr>
              <w:pStyle w:val="Compact"/>
              <w:jc w:val="left"/>
            </w:pPr>
            <w:r>
              <w:rPr>
                <w:b w:val="0"/>
              </w:rPr>
              <w:t>ES</w:t>
            </w:r>
          </w:p>
        </w:tc>
        <w:tc>
          <w:tcPr>
            <w:tcW w:type="dxa" w:w="3421"/>
          </w:tcPr>
          <w:p>
            <w:pPr>
              <w:pStyle w:val="Compact"/>
              <w:jc w:val="center"/>
            </w:pPr>
            <w:r>
              <w:rPr>
                <w:b w:val="0"/>
              </w:rPr>
              <w:t>liga, federación, club</w:t>
            </w:r>
          </w:p>
        </w:tc>
      </w:tr>
    </w:tbl>
    <w:p>
      <w:pPr>
        <w:numPr>
          <w:ilvl w:val="0"/>
          <w:numId w:val="0"/>
        </w:numPr>
        <w:pStyle w:val="tablecaption"/>
      </w:pPr>
      <w:r>
        <w:t xml:space="preserve">Tabla 14. Ejemplares Few-Shot de la Base de Conocimientos</w:t>
      </w:r>
    </w:p>
    <w:tbl>
      <w:tblPr>
        <w:tblStyle w:val="Table"/>
        <w:tblW w:type="dxa" w:w="8838"/>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tablecaption"/>
      </w:pPr>
      <w:r>
        <w:t xml:space="preserve">Tabla 15. Reglas de la Base de Conocimientos Contextual</w:t>
      </w:r>
    </w:p>
    <w:tbl>
      <w:tblPr>
        <w:tblStyle w:val="Table"/>
        <w:tblW w:type="dxa" w:w="8838"/>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tablecaption"/>
      </w:pPr>
      <w:r>
        <w:t xml:space="preserve">Tabla 16. Resultados Completos del Benchmark General (13 Configuraciones, N=15)</w:t>
      </w:r>
    </w:p>
    <w:tbl>
      <w:tblPr>
        <w:tblStyle w:val="Table"/>
        <w:tblW w:type="dxa" w:w="8838"/>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5</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r>
        <w:tc>
          <w:tcPr>
            <w:tcW w:type="dxa" w:w="4215"/>
          </w:tcPr>
          <w:p>
            <w:pPr>
              <w:pStyle w:val="Compact"/>
              <w:jc w:val="left"/>
            </w:pPr>
            <w:r>
              <w:rPr>
                <w:b w:val="0"/>
              </w:rPr>
              <w:t>Excluidos del estudio</w:t>
            </w:r>
          </w:p>
        </w:tc>
        <w:tc>
          <w:tcPr>
            <w:tcW w:type="dxa" w:w="4623"/>
          </w:tcPr>
          <w:p>
            <w:pPr>
              <w:pStyle w:val="Compact"/>
              <w:jc w:val="left"/>
            </w:pPr>
            <w:r>
              <w:rPr>
                <w:b w:val="0"/>
              </w:rPr>
              <w:t>nuextract:latest, gemini-3.1-flash-lite, minimax-m3</w:t>
            </w:r>
          </w:p>
        </w:tc>
      </w:tr>
    </w:tbl>
    <w:p>
      <w:pPr>
        <w:numPr>
          <w:ilvl w:val="0"/>
          <w:numId w:val="0"/>
        </w:numPr>
        <w:pStyle w:val="heading2"/>
      </w:pPr>
      <w:r>
        <w:t>Anexo F — Metodología Detallada de Generación del Corpus Sintético N=30</w:t>
      </w:r>
    </w:p>
    <w:p>
      <w:pPr>
        <w:numPr>
          <w:ilvl w:val="0"/>
          <w:numId w:val="0"/>
        </w:numPr>
        <w:pStyle w:val="p1a"/>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p1a"/>
      </w:pPr>
      <w:r>
        <w:t>Paso 2 — Generación controlada por plantillas de entidad: Para cada artículo sintético se definió a priori un par {entidad_PER, entidad_ORG} que debía aparecer en el texto, actuando como ground truth objetivo. Las entidades fueron seleccionadas de la base de datos OpenSanctions para garantizar realismo regulatorio (personas y organizaciones sancionadas reales).</w:t>
      </w:r>
    </w:p>
    <w:p>
      <w:pPr>
        <w:numPr>
          <w:ilvl w:val="0"/>
          <w:numId w:val="0"/>
        </w:numPr>
        <w:pStyle w:val="p1a"/>
      </w:pPr>
      <w:r>
        <w:t>Paso 3 — Instrucción al LLM generador: El modelo gemma4:31b recibió el siguiente prompt de generación:</w:t>
      </w:r>
    </w:p>
    <w:p>
      <w:pPr>
        <w:numPr>
          <w:ilvl w:val="0"/>
          <w:numId w:val="0"/>
        </w:numPr>
        <w:pStyle w:val="program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p1a"/>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p1a"/>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p1a"/>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(20 commits entre el 29 de junio y el 1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p1a"/>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p1a"/>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p1a"/>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OpenSanctions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p1a"/>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p1a"/>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que la validación complementaria sobre el corpus real N=120 (§5.3.5) cubre un subconjunto de cinco modelos y que la re-evaluación de los modelos restantes queda como trabajo futuro (§7.2).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p1a"/>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w:t>
      </w:r>
    </w:p>
    <w:p>
      <w:pPr>
        <w:numPr>
          <w:ilvl w:val="0"/>
          <w:numId w:val="0"/>
        </w:numPr>
        <w:pStyle w:val="tablecaption"/>
      </w:pPr>
      <w:r>
        <w:t>Tabla 17. H.1 Naturaleza y alcance del defecto</w:t>
      </w:r>
    </w:p>
    <w:tbl>
      <w:tblPr>
        <w:tblStyle w:val="Table"/>
        <w:tblW w:type="dxa" w:w="8838"/>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p1a"/>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tablecaption"/>
      </w:pPr>
      <w:r>
        <w:t>Tabla 18. H.2 Alcance medido y consecuencia sobre la comparación</w:t>
      </w:r>
    </w:p>
    <w:tbl>
      <w:tblPr>
        <w:tblStyle w:val="Table"/>
        <w:tblW w:type="dxa" w:w="8838"/>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Entidades con *mojibake*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Artículos con *mojibake*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p1a"/>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p1a"/>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p1a"/>
      </w:pPr>
      <w:r>
        <w:t>Diferencia de F1 entre los 88 artículos afectados y los 31 no afectados, sobre los mismos registros para todos los modelos:</w:t>
      </w:r>
    </w:p>
    <w:p>
      <w:pPr>
        <w:numPr>
          <w:ilvl w:val="0"/>
          <w:numId w:val="0"/>
        </w:numPr>
        <w:pStyle w:val="tablecaption"/>
      </w:pPr>
      <w:r>
        <w:t>Tabla 19. H.3 Evidencia empírica del efecto diferencial</w:t>
      </w:r>
    </w:p>
    <w:tbl>
      <w:tblPr>
        <w:tblStyle w:val="Table"/>
        <w:tblW w:type="dxa" w:w="8838"/>
        <w:tblLayout w:type="fixed"/>
        <w:tblLook w:firstRow="1" w:lastRow="0" w:firstColumn="0" w:lastColumn="0" w:noHBand="0" w:noVBand="0" w:val="0020"/>
      </w:tblPr>
      <w:tblGrid>
        <w:gridCol w:w="4499"/>
        <w:gridCol w:w="4339"/>
      </w:tblGrid>
      <w:tr>
        <w:trPr>
          <w:tblHeader w:val="on"/>
        </w:trPr>
        <w:tc>
          <w:tcPr>
            <w:tcW w:type="dxa" w:w="4499"/>
          </w:tcPr>
          <w:p>
            <w:pPr>
              <w:pStyle w:val="Compact"/>
              <w:jc w:val="left"/>
            </w:pPr>
            <w:r>
              <w:rPr>
                <w:b/>
              </w:rPr>
              <w:t>Modelo</w:t>
            </w:r>
          </w:p>
        </w:tc>
        <w:tc>
          <w:tcPr>
            <w:tcW w:type="dxa" w:w="4339"/>
          </w:tcPr>
          <w:p>
            <w:pPr>
              <w:pStyle w:val="Compact"/>
              <w:jc w:val="left"/>
            </w:pPr>
            <w:r>
              <w:rPr>
                <w:b/>
              </w:rPr>
              <w:t>Δ F1 (con *mojibake* − sin)</w:t>
            </w:r>
          </w:p>
        </w:tc>
      </w:tr>
      <w:tr>
        <w:tc>
          <w:tcPr>
            <w:tcW w:type="dxa" w:w="4499"/>
          </w:tcPr>
          <w:p>
            <w:pPr>
              <w:pStyle w:val="Compact"/>
              <w:jc w:val="left"/>
            </w:pPr>
            <w:r>
              <w:rPr>
                <w:b w:val="0"/>
              </w:rPr>
              <w:t>gemma4:latest (baseline)</w:t>
            </w:r>
          </w:p>
        </w:tc>
        <w:tc>
          <w:tcPr>
            <w:tcW w:type="dxa" w:w="4339"/>
          </w:tcPr>
          <w:p>
            <w:pPr>
              <w:pStyle w:val="Compact"/>
              <w:jc w:val="left"/>
            </w:pPr>
            <w:r>
              <w:rPr>
                <w:b/>
              </w:rPr>
              <w:t>−0.0695</w:t>
            </w:r>
          </w:p>
        </w:tc>
      </w:tr>
      <w:tr>
        <w:tc>
          <w:tcPr>
            <w:tcW w:type="dxa" w:w="4499"/>
          </w:tcPr>
          <w:p>
            <w:pPr>
              <w:pStyle w:val="Compact"/>
              <w:jc w:val="left"/>
            </w:pPr>
            <w:r>
              <w:rPr>
                <w:b w:val="0"/>
              </w:rPr>
              <w:t>gemma4:12b-mlx (baseline)</w:t>
            </w:r>
          </w:p>
        </w:tc>
        <w:tc>
          <w:tcPr>
            <w:tcW w:type="dxa" w:w="4339"/>
          </w:tcPr>
          <w:p>
            <w:pPr>
              <w:pStyle w:val="Compact"/>
              <w:jc w:val="left"/>
            </w:pPr>
            <w:r>
              <w:rPr>
                <w:b w:val="0"/>
              </w:rPr>
              <w:t>−0.0422</w:t>
            </w:r>
          </w:p>
        </w:tc>
      </w:tr>
      <w:tr>
        <w:tc>
          <w:tcPr>
            <w:tcW w:type="dxa" w:w="4499"/>
          </w:tcPr>
          <w:p>
            <w:pPr>
              <w:pStyle w:val="Compact"/>
              <w:jc w:val="left"/>
            </w:pPr>
            <w:r>
              <w:rPr>
                <w:b w:val="0"/>
              </w:rPr>
              <w:t>gemma4:31b-mlx (baseline)</w:t>
            </w:r>
          </w:p>
        </w:tc>
        <w:tc>
          <w:tcPr>
            <w:tcW w:type="dxa" w:w="4339"/>
          </w:tcPr>
          <w:p>
            <w:pPr>
              <w:pStyle w:val="Compact"/>
              <w:jc w:val="left"/>
            </w:pPr>
            <w:r>
              <w:rPr>
                <w:b w:val="0"/>
              </w:rPr>
              <w:t>−0.0395</w:t>
            </w:r>
          </w:p>
        </w:tc>
      </w:tr>
      <w:tr>
        <w:tc>
          <w:tcPr>
            <w:tcW w:type="dxa" w:w="4499"/>
          </w:tcPr>
          <w:p>
            <w:pPr>
              <w:pStyle w:val="Compact"/>
              <w:jc w:val="left"/>
            </w:pPr>
            <w:r>
              <w:rPr>
                <w:b w:val="0"/>
              </w:rPr>
              <w:t>llama3.1:8b (KB RAG)</w:t>
            </w:r>
          </w:p>
        </w:tc>
        <w:tc>
          <w:tcPr>
            <w:tcW w:type="dxa" w:w="4339"/>
          </w:tcPr>
          <w:p>
            <w:pPr>
              <w:pStyle w:val="Compact"/>
              <w:jc w:val="left"/>
            </w:pPr>
            <w:r>
              <w:rPr>
                <w:b w:val="0"/>
              </w:rPr>
              <w:t>−0.0004</w:t>
            </w:r>
          </w:p>
        </w:tc>
      </w:tr>
      <w:tr>
        <w:tc>
          <w:tcPr>
            <w:tcW w:type="dxa" w:w="4499"/>
          </w:tcPr>
          <w:p>
            <w:pPr>
              <w:pStyle w:val="Compact"/>
              <w:jc w:val="left"/>
            </w:pPr>
            <w:r>
              <w:rPr>
                <w:b w:val="0"/>
              </w:rPr>
              <w:t>mistral-nemo:latest (KB RAG)</w:t>
            </w:r>
          </w:p>
        </w:tc>
        <w:tc>
          <w:tcPr>
            <w:tcW w:type="dxa" w:w="4339"/>
          </w:tcPr>
          <w:p>
            <w:pPr>
              <w:pStyle w:val="Compact"/>
              <w:jc w:val="left"/>
            </w:pPr>
            <w:r>
              <w:rPr>
                <w:b w:val="0"/>
              </w:rPr>
              <w:t>+0.0122</w:t>
            </w:r>
          </w:p>
        </w:tc>
      </w:tr>
      <w:tr>
        <w:tc>
          <w:tcPr>
            <w:tcW w:type="dxa" w:w="4499"/>
          </w:tcPr>
          <w:p>
            <w:pPr>
              <w:pStyle w:val="Compact"/>
              <w:jc w:val="left"/>
            </w:pPr>
            <w:r>
              <w:rPr>
                <w:b w:val="0"/>
              </w:rPr>
              <w:t>deepseek-r1:1.5b (baseline)</w:t>
            </w:r>
          </w:p>
        </w:tc>
        <w:tc>
          <w:tcPr>
            <w:tcW w:type="dxa" w:w="4339"/>
          </w:tcPr>
          <w:p>
            <w:pPr>
              <w:pStyle w:val="Compact"/>
              <w:jc w:val="left"/>
            </w:pPr>
            <w:r>
              <w:rPr>
                <w:b w:val="0"/>
              </w:rPr>
              <w:t>+0.0199</w:t>
            </w:r>
          </w:p>
        </w:tc>
      </w:tr>
      <w:tr>
        <w:tc>
          <w:tcPr>
            <w:tcW w:type="dxa" w:w="4499"/>
          </w:tcPr>
          <w:p>
            <w:pPr>
              <w:pStyle w:val="Compact"/>
              <w:jc w:val="left"/>
            </w:pPr>
            <w:r>
              <w:rPr>
                <w:b w:val="0"/>
              </w:rPr>
              <w:t>gemma:latest (KB RAG)</w:t>
            </w:r>
          </w:p>
        </w:tc>
        <w:tc>
          <w:tcPr>
            <w:tcW w:type="dxa" w:w="4339"/>
          </w:tcPr>
          <w:p>
            <w:pPr>
              <w:pStyle w:val="Compact"/>
              <w:jc w:val="left"/>
            </w:pPr>
            <w:r>
              <w:rPr>
                <w:b/>
              </w:rPr>
              <w:t>+0.0249</w:t>
            </w:r>
          </w:p>
        </w:tc>
      </w:tr>
    </w:tbl>
    <w:p>
      <w:pPr>
        <w:numPr>
          <w:ilvl w:val="0"/>
          <w:numId w:val="0"/>
        </w:numPr>
        <w:pStyle w:val="p1a"/>
      </w:pPr>
      <w:r>
        <w:t xml:space="preserve">El rango entre extremos alcanza </w:t>
      </w:r>
      <w:r>
        <w:rPr>
          <w:b/>
        </w:rPr>
        <w:t>9,4 puntos porcentuales</w:t>
      </w:r>
      <w:r>
        <w:t>.</w:t>
      </w:r>
    </w:p>
    <w:p>
      <w:pPr>
        <w:numPr>
          <w:ilvl w:val="0"/>
          <w:numId w:val="0"/>
        </w:numPr>
        <w:pStyle w:val="p1a"/>
      </w:pPr>
      <w:r>
        <w:rPr>
          <w:b/>
        </w:rPr>
        <w:t>Cautela metodológica.</w:t>
      </w:r>
      <w:r>
        <w:t xml:space="preserve"> Los artículos afectados podrían ser además más largos o intrínsecamente más difíciles, lo que confundiría la magnitud absoluta de cada Δ. Sin embargo, la dificultad desplazaría a todos los modelos en la misma dirección; </w:t>
      </w:r>
      <w:r>
        <w:rPr>
          <w:b/>
        </w:rPr>
        <w:t>la dispersión entre modelos sobre registros idénticos</w:t>
      </w:r>
      <w:r>
        <w:t xml:space="preserve"> es lo que acredita una interacción específica de cada modelo. Una versión previa de esta tabla situaba a </w:t>
      </w:r>
      <w:r>
        <w:t>gpt-oss:20b</w:t>
      </w:r>
      <w:r>
        <w:t xml:space="preserve"> en el extremo positivo con +0,091, y se advirtió entonces que esa fila era la menos fiable por estar dominada por un artefacto del arnés. Corregido el artefacto y repetida la medición, su valor real es </w:t>
      </w:r>
      <w:r>
        <w:rPr>
          <w:b/>
        </w:rPr>
        <w:t>−0,034</w:t>
      </w:r>
      <w:r>
        <w:t>, dentro del rango del resto. El episodio ilustra la necesidad de descartar defectos de ejecución antes de interpretar un valor extremo.</w:t>
      </w:r>
    </w:p>
    <w:p>
      <w:pPr>
        <w:numPr>
          <w:ilvl w:val="0"/>
          <w:numId w:val="0"/>
        </w:numPr>
        <w:pStyle w:val="heading3"/>
      </w:pPr>
      <w:r>
        <w:t>H.4 Cómo debe repararse</w:t>
      </w:r>
    </w:p>
    <w:p>
      <w:pPr>
        <w:numPr>
          <w:ilvl w:val="0"/>
          <w:numId w:val="0"/>
        </w:numPr>
        <w:pStyle w:val="p1a"/>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p1a"/>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(§5.3.5) y como línea de trabajo futuro (§7.2, punto 7).</w:t>
      </w:r>
    </w:p>
    <w:p>
      <w:pPr>
        <w:numPr>
          <w:ilvl w:val="0"/>
          <w:numId w:val="0"/>
        </w:numPr>
        <w:pStyle w:val="heading3"/>
      </w:pPr>
      <w:r>
        <w:t>H.5 Implicaciones para la evaluación de sistemas NER</w:t>
      </w:r>
    </w:p>
    <w:p>
      <w:pPr>
        <w:numPr>
          <w:ilvl w:val="0"/>
          <w:numId w:val="0"/>
        </w:numPr>
        <w:pStyle w:val="numbereditem"/>
      </w:pPr>
      <w:r>
        <w:rPr>
          <w:b/>
        </w:rPr>
        <w:t>Verificar la codificación de la entrada, no solo la de la referencia.</w:t>
      </w:r>
      <w:r>
        <w:t xml:space="preserve"> Un defecto presente en ambas no se comporta como el mismo defecto presente en una sola.</w:t>
      </w:r>
    </w:p>
    <w:p>
      <w:pPr>
        <w:numPr>
          <w:ilvl w:val="0"/>
          <w:numId w:val="0"/>
        </w:numPr>
        <w:pStyle w:val="numbereditem"/>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numbereditem"/>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numbereditem"/>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p1a"/>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87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40"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300" w:after="16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220" w:after="120"/>
      <w:outlineLvl w:val="1"/>
    </w:pPr>
    <w:rPr>
      <w:b/>
    </w:rPr>
  </w:style>
  <w:style w:type="paragraph" w:styleId="Ttulo3">
    <w:name w:val="heading 3"/>
    <w:basedOn w:val="Normal"/>
    <w:next w:val="Normal"/>
    <w:qFormat/>
    <w:rsid w:val="002B66F5"/>
    <w:pPr>
      <w:keepNext/>
      <w:keepLines/>
      <w:numPr>
        <w:ilvl w:val="2"/>
        <w:numId w:val="38"/>
      </w:numPr>
      <w:suppressAutoHyphens/>
      <w:spacing w:before="200" w:after="10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60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line="170" w:lineRule="exact"/>
      <w:ind w:left="227" w:firstLine="0"/>
      <w:contextualSpacing/>
      <w:jc w:val="left"/>
    </w:pPr>
    <w:rPr>
      <w:rFonts w:ascii="Courier" w:hAnsi="Courier"/>
      <w:sz w:val="14"/>
      <w:szCs w:val="14"/>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140" w:after="8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ompact">
    <w:name w:val="Compact"/>
    <w:basedOn w:val="Normal"/>
    <w:qFormat/>
    <w:pPr>
      <w:spacing w:before="20" w:after="20" w:line="200" w:lineRule="exact"/>
      <w:ind w:firstLine="0"/>
      <w:contextualSpacing/>
    </w:pPr>
    <w:rPr>
      <w:sz w:val="16"/>
      <w:szCs w:val="16"/>
    </w:rPr>
  </w:style>
  <w:style w:type="table" w:customStyle="1" w:styleId="Table">
    <w:name w:val="Table"/>
    <w:basedOn w:val="TableNormal"/>
    <w:uiPriority w:val="59"/>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72" w:type="dxa"/>
        <w:bottom w:w="28"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