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numPr>
          <w:ilvl w:val="0"/>
          <w:numId w:val="0"/>
        </w:numPr>
        <w:pStyle w:val="Ttulo10"/>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ddress"/>
      </w:pPr>
      <w:r>
        <w:t>Austranet — Departamento de Informática, Universidad Técnica Federico Santa María, Valparaíso, Chile</w:t>
      </w:r>
    </w:p>
    <w:p>
      <w:pPr>
        <w:numPr>
          <w:ilvl w:val="0"/>
          <w:numId w:val="0"/>
        </w:numPr>
        <w:pStyle w:val="e-mail"/>
      </w:pPr>
      <w:r>
        <w:t>eahumada@gmail.com</w:t>
      </w:r>
    </w:p>
    <w:p>
      <w:pPr>
        <w:numPr>
          <w:ilvl w:val="0"/>
          <w:numId w:val="0"/>
        </w:numPr>
        <w:pStyle w:val="heading1"/>
      </w:pPr>
      <w:r>
        <w:t>RESUMEN</w:t>
      </w:r>
    </w:p>
    <w:p>
      <w:pPr>
        <w:numPr>
          <w:ilvl w:val="0"/>
          <w:numId w:val="0"/>
        </w:numPr>
        <w:pStyle w:val="abstract"/>
      </w:pPr>
      <w:r>
        <w:t xml:space="preserve">Las instituciones sujetas a regulaciones AML/KYC deben vigilar grandes volúmenes de noticias no estructuradas buscando entidades de riesgo. Hacerlo manualmente no escala y delegarlo en APIs en la nube expone información sensible a terceros. Este trabajo diseña, implementa y evalúa un sistema soberano de reconocimiento de entidades nombradas (NER) con modelos de lenguaje grande de código abierto ejecutados en local mediante Ollama sobre Apple Silicon, sobre una arquitectura pub/sub multihilo con concurrencia adaptativa (AIMD) y capa Factory/Facade. La validación comparó trece modelos sobre 120 artículos reales en español y 30 del dominio; contrastó la extracción directa con la generación aumentada por recuperación (RAG) contextual y midió las diferencias con ANOVA y Tukey HSD. El beneficio del RAG resulta inversamente proporcional a la capacidad del modelo: solo es significativo en los dos más débiles (+14,5 y +10,8 puntos de F1) y es nulo o adverso en los mayores. Redactar el prompt en español e incorporar ejemplos </w:t>
      </w:r>
      <w:r>
        <w:rPr>
          <w:i/>
        </w:rPr>
        <w:t xml:space="preserve">few-shot</w:t>
      </w:r>
      <w:r>
        <w:t xml:space="preserve"> aporta +11,1 puntos sobre el baseline en inglés, mejora que ninguno de ambos factores logra por separado. El mejor modelo alcanza 80,57 % de F1 sin extracciones fallidas en el corpus del dominio, reduce el costo unitario de revisión y preserva la confidencialidad.</w:t>
      </w:r>
    </w:p>
    <w:p>
      <w:pPr>
        <w:numPr>
          <w:ilvl w:val="0"/>
          <w:numId w:val="0"/>
        </w:numPr>
        <w:pStyle w:val="keywords"/>
      </w:pPr>
      <w:r>
        <w:rPr>
          <w:b/>
        </w:rPr>
        <w:t xml:space="preserve">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 xml:space="preserve">Financial institutions subject to AML/KYC regulations must monitor large volumes of unstructured news for risk entities. Doing so manually does not scale, and delegating it to cloud APIs exposes sensitive information to third parties. This work designs, implements and evaluates a sovereign Named Entity Recognition (NER) system using open-source Large Language Models executed locally through Ollama on Apple Silicon hardware, on a multithreaded pub/sub architecture with adaptive concurrency control (AIMD) and a Factory/Facade layer. Validation compared thirteen models on 120 real Spanish-language articles and 30 domain ones; contrasted direct extraction with contextual retrieval-augmented generation (RAG) and measured the differences with ANOVA and Tukey HSD. The benefit of RAG is inversely proportional to model capacity: it is significant only in the two weakest models (+14.5 and +10.8 F1 points) and is null or adverse in the larger ones. Writing the prompt in Spanish and adding </w:t>
      </w:r>
      <w:r>
        <w:rPr>
          <w:i/>
        </w:rPr>
        <w:t xml:space="preserve">few-shot</w:t>
      </w:r>
      <w:r>
        <w:t xml:space="preserve"> examples yields +11.1 points over the English baseline, an improvement neither factor achieves alone. The best model reaches 80.57 % F1 with no failed extractions on the domain corpus, lowers the unit cost of review and preserves confidentiality.</w:t>
      </w:r>
    </w:p>
    <w:p>
      <w:pPr>
        <w:numPr>
          <w:ilvl w:val="0"/>
          <w:numId w:val="0"/>
        </w:numPr>
        <w:pStyle w:val="keywords"/>
      </w:pPr>
      <w:r>
        <w:rPr>
          <w:b/>
        </w:rPr>
        <w:t xml:space="preserve">Keywords:</w:t>
      </w:r>
      <w:r>
        <w:t xml:space="preserve"> Named Entity Recognition (NER), Large Language Models (LLM), Regulatory Compliance (AML/KYC), Data Sovereignty, Retrieval-Augmented Generation (RAG).</w:t>
      </w:r>
    </w:p>
    <w:p>
      <w:pPr>
        <w:numPr>
          <w:ilvl w:val="0"/>
          <w:numId w:val="0"/>
        </w:numPr>
        <w:pStyle w:val="heading1"/>
      </w:pPr>
      <w:r>
        <w:t>ÍNDICE DE CONTENIDOS</w:t>
      </w:r>
    </w:p>
    <w:p>
      <w:pPr>
        <w:numPr>
          <w:ilvl w:val="0"/>
          <w:numId w:val="0"/>
        </w:numPr>
        <w:pStyle w:val="numbereditem"/>
      </w:pPr>
      <w:r>
        <w:t>Introducción</w:t>
      </w:r>
    </w:p>
    <w:p>
      <w:pPr>
        <w:numPr>
          <w:ilvl w:val="0"/>
          <w:numId w:val="0"/>
        </w:numPr>
        <w:pStyle w:val="numbereditem"/>
      </w:pPr>
      <w:r>
        <w:t>Marco Teórico y Estado del Arte</w:t>
      </w:r>
    </w:p>
    <w:p>
      <w:pPr>
        <w:numPr>
          <w:ilvl w:val="0"/>
          <w:numId w:val="0"/>
        </w:numPr>
        <w:pStyle w:val="numbereditem"/>
      </w:pPr>
      <w:r>
        <w:t>Descripción del Sistema Propuesto</w:t>
      </w:r>
    </w:p>
    <w:p>
      <w:pPr>
        <w:numPr>
          <w:ilvl w:val="0"/>
          <w:numId w:val="0"/>
        </w:numPr>
        <w:pStyle w:val="numbereditem"/>
      </w:pPr>
      <w:r>
        <w:t>Diseño Experimental</w:t>
      </w:r>
    </w:p>
    <w:p>
      <w:pPr>
        <w:numPr>
          <w:ilvl w:val="0"/>
          <w:numId w:val="0"/>
        </w:numPr>
        <w:pStyle w:val="numbereditem"/>
      </w:pPr>
      <w:r>
        <w:t>Resultados Experimentales</w:t>
      </w:r>
    </w:p>
    <w:p>
      <w:pPr>
        <w:numPr>
          <w:ilvl w:val="0"/>
          <w:numId w:val="0"/>
        </w:numPr>
        <w:pStyle w:val="numbereditem"/>
      </w:pPr>
      <w:r>
        <w:t>Discusión</w:t>
      </w:r>
    </w:p>
    <w:p>
      <w:pPr>
        <w:numPr>
          <w:ilvl w:val="0"/>
          <w:numId w:val="0"/>
        </w:numPr>
        <w:pStyle w:val="numbereditem"/>
      </w:pPr>
      <w:r>
        <w:t>Conclusiones y Trabajo Futuro</w:t>
      </w:r>
    </w:p>
    <w:p>
      <w:pPr>
        <w:numPr>
          <w:ilvl w:val="0"/>
          <w:numId w:val="0"/>
        </w:numPr>
        <w:pStyle w:val="numbereditem"/>
      </w:pPr>
      <w:r>
        <w:t>Referencias Bibliográficas</w:t>
      </w:r>
    </w:p>
    <w:p>
      <w:pPr>
        <w:numPr>
          <w:ilvl w:val="0"/>
          <w:numId w:val="0"/>
        </w:numPr>
        <w:pStyle w:val="numbereditem"/>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p1a"/>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p1a"/>
      </w:pPr>
      <w:r>
        <w:t>El proceso actual en instituciones como Austranet implica la revisión manual de cientos de artículos periodísticos diarios por analistas especializados, un proceso con un costo promedio estimado de USD 8.75 por artículo analizado. A nivel global, según Verified Market Research el mercado de RegTech se valoró en USD 15,68 mil millones en 2020 y se proyecta que alcance USD 87,17 mil millones hacia 2028, con una CAGR del 23,92 % durante 2021-2028, evidenciando la urgencia de soluciones automatizadas y escalables (Verified Market Research, 2022).</w:t>
      </w:r>
    </w:p>
    <w:p>
      <w:pPr>
        <w:numPr>
          <w:ilvl w:val="0"/>
          <w:numId w:val="0"/>
        </w:numPr>
        <w:pStyle w:val="heading2"/>
      </w:pPr>
      <w:r>
        <w:t>1.2 Planteamiento del Problema</w:t>
      </w:r>
    </w:p>
    <w:p>
      <w:pPr>
        <w:numPr>
          <w:ilvl w:val="0"/>
          <w:numId w:val="0"/>
        </w:numPr>
        <w:pStyle w:val="p1a"/>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p1a"/>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w:t>
      </w:r>
      <w:r>
        <w:rPr>
          <w:b/>
        </w:rPr>
        <w:t>sistemas basados en reglas y expresiones regulares</w:t>
      </w:r>
      <w:r>
        <w:t xml:space="preserve"> resultan frágiles ante la variación morfológica del español, donde un mismo nombre admite múltiples formas según la posición, la partícula y la acentuación. Las </w:t>
      </w:r>
      <w:r>
        <w:rPr>
          <w:b/>
        </w:rPr>
        <w:t>APIs comerciales en la nube</w:t>
      </w:r>
      <w:r>
        <w:t xml:space="preserv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alcanzan el mejor desempeño publicado, pero requieren miles de ejemplos etiquetados en el dominio objetivo, inexistentes en español para cumplimiento financiero.</w:t>
      </w:r>
    </w:p>
    <w:p>
      <w:pPr>
        <w:numPr>
          <w:ilvl w:val="0"/>
          <w:numId w:val="0"/>
        </w:numPr>
        <w:pStyle w:val="p1a"/>
      </w:pPr>
      <w:r>
        <w:t xml:space="preserve">La brecha que este trabajo aborda se sitúa precisamente en esa intersección vacía: obtener un desempeño aprovechable </w:t>
      </w:r>
      <w:r>
        <w:rPr>
          <w:b/>
        </w:rPr>
        <w:t>sin datos etiquetados del dominio y sin ceder los datos a un tercero</w:t>
      </w:r>
      <w:r>
        <w:t>.</w:t>
      </w:r>
    </w:p>
    <w:p>
      <w:pPr>
        <w:numPr>
          <w:ilvl w:val="0"/>
          <w:numId w:val="0"/>
        </w:numPr>
        <w:pStyle w:val="heading2"/>
      </w:pPr>
      <w:r>
        <w:t>1.3 Hipótesis de Trabajo</w:t>
      </w:r>
    </w:p>
    <w:p>
      <w:pPr>
        <w:numPr>
          <w:ilvl w:val="0"/>
          <w:numId w:val="0"/>
        </w:numPr>
        <w:pStyle w:val="p1a"/>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p1a"/>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p1a"/>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p1a"/>
      </w:pPr>
      <w:r>
        <w:rPr>
          <w:b/>
        </w:rPr>
        <w:t>Objetivos Específicos:</w:t>
      </w:r>
    </w:p>
    <w:p>
      <w:pPr>
        <w:numPr>
          <w:ilvl w:val="0"/>
          <w:numId w:val="0"/>
        </w:numPr>
        <w:pStyle w:val="numbereditem"/>
      </w:pPr>
      <w:r>
        <w:t>Diseñar e implementar una arquitectura pub/sub multithreading con control adaptativo de concurrencia para la ejecución segura de LLMs de gran escala en hardware Apple Silicon.</w:t>
      </w:r>
    </w:p>
    <w:p>
      <w:pPr>
        <w:numPr>
          <w:ilvl w:val="0"/>
          <w:numId w:val="0"/>
        </w:numPr>
        <w:pStyle w:val="numbereditem"/>
      </w:pPr>
      <w:r>
        <w:t xml:space="preserve">Evaluar y comparar el desempeño de modelos de lenguaje de código abierto generativos (familias Gemma, Llama, DeepSeek, Qwen, Mistral, GPT-OSS, Nemotron) en la tarea de NER sobre corpus de sanciones financieras reales en español: </w:t>
      </w:r>
      <w:r>
        <w:rPr>
          <w:b/>
        </w:rPr>
        <w:t>12 modelos</w:t>
      </w:r>
      <w:r>
        <w:t xml:space="preserve"> en el benchmark exploratorio N=15 (§5.1) y </w:t>
      </w:r>
      <w:r>
        <w:rPr>
          <w:b/>
        </w:rPr>
        <w:t>13 modelos</w:t>
      </w:r>
      <w:r>
        <w:t xml:space="preserve"> en el estudio principal N=120 con KB RAG (§5.3.5).</w:t>
      </w:r>
    </w:p>
    <w:p>
      <w:pPr>
        <w:numPr>
          <w:ilvl w:val="0"/>
          <w:numId w:val="0"/>
        </w:numPr>
        <w:pStyle w:val="numbereditem"/>
      </w:pPr>
      <w:r>
        <w:t xml:space="preserve">Ejecutar una comparación sistemática de cuatro configuraciones de prompt (zero-shot/few-shot × inglés/español) —un diseño factorial 2×2, que la literatura anglosajona de aprendizaje automático denomina </w:t>
      </w:r>
      <w:r>
        <w:rPr>
          <w:i/>
        </w:rPr>
        <w:t>ablation study</w:t>
      </w:r>
      <w:r>
        <w:t>— para cuantificar el impacto de la localización lingüística y el aprendizaje en contexto.</w:t>
      </w:r>
    </w:p>
    <w:p>
      <w:pPr>
        <w:numPr>
          <w:ilvl w:val="0"/>
          <w:numId w:val="0"/>
        </w:numPr>
        <w:pStyle w:val="numbereditem"/>
      </w:pPr>
      <w:r>
        <w:t>Validar estadísticamente los resultados mediante ANOVA de una vía y pruebas post-hoc de Tukey HSD (α=0.05) sobre un corpus estadísticamente significativo (N≥30).</w:t>
      </w:r>
    </w:p>
    <w:p>
      <w:pPr>
        <w:numPr>
          <w:ilvl w:val="0"/>
          <w:numId w:val="0"/>
        </w:numPr>
        <w:pStyle w:val="numbereditem"/>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p1a"/>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p1a"/>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w:t>
      </w:r>
      <w:r>
        <w:rPr>
          <w:b/>
        </w:rPr>
        <w:t>ANOVA de una vía y pruebas post-hoc de Tukey HSD</w:t>
      </w:r>
      <w:r>
        <w:t xml:space="preserve">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p1a"/>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p1a"/>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p1a"/>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y de personas expuestas políticamente [19].</w:t>
      </w:r>
    </w:p>
    <w:p>
      <w:pPr>
        <w:numPr>
          <w:ilvl w:val="0"/>
          <w:numId w:val="0"/>
        </w:numPr>
        <w:pStyle w:val="p1a"/>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p1a"/>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p1a"/>
      </w:pPr>
      <w:r>
        <w:t>Las aproximaciones al problema pueden ordenarse por el tipo de conocimiento que requieren y por el coste de adaptarlas a un dominio nuevo.</w:t>
      </w:r>
    </w:p>
    <w:p>
      <w:pPr>
        <w:numPr>
          <w:ilvl w:val="0"/>
          <w:numId w:val="0"/>
        </w:numPr>
        <w:pStyle w:val="p1a"/>
      </w:pPr>
      <w:r>
        <w:t xml:space="preserve">Los </w:t>
      </w:r>
      <w:r>
        <w:rPr>
          <w:b/>
        </w:rPr>
        <w:t>sistemas basados en reglas y diccionarios</w:t>
      </w:r>
      <w:r>
        <w:t xml:space="preserve">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p1a"/>
      </w:pPr>
      <w:r>
        <w:t xml:space="preserve">Los </w:t>
      </w:r>
      <w:r>
        <w:rPr>
          <w:b/>
        </w:rPr>
        <w:t>Campos Aleatorios Condicionales (CRF)</w:t>
      </w:r>
      <w:r>
        <w:t xml:space="preserve"> [17], [10]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p1a"/>
      </w:pPr>
      <w:r>
        <w:t xml:space="preserve">Las </w:t>
      </w:r>
      <w:r>
        <w:rPr>
          <w:b/>
        </w:rPr>
        <w:t>arquitecturas neuronales BiLSTM-CRF</w:t>
      </w:r>
      <w:r>
        <w:t xml:space="preserve"> sustituyen los rasgos manuales por representaciones aprendidas, eliminando gran parte del trabajo de ingeniería a cambio de un requisito de datos aún mayor.</w:t>
      </w:r>
    </w:p>
    <w:p>
      <w:pPr>
        <w:numPr>
          <w:ilvl w:val="0"/>
          <w:numId w:val="0"/>
        </w:numPr>
        <w:pStyle w:val="p1a"/>
      </w:pPr>
      <w:r>
        <w:t xml:space="preserve">Los </w:t>
      </w:r>
      <w:r>
        <w:rPr>
          <w:b/>
        </w:rPr>
        <w:t>codificadores Transformer pre-entrenados</w:t>
      </w:r>
      <w:r>
        <w:t xml:space="preserve"> —BERT [2] y sus variantes multilingües como XLM-R— constituyen el estado del arte académico. Partiendo de un modelo pre-entrenado, un ajuste fino sobre el dominio alcanza entre 88 % y 91 % de F1 en español [7],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p1a"/>
      </w:pPr>
      <w:r>
        <w:t xml:space="preserve">Los </w:t>
      </w:r>
      <w:r>
        <w:rPr>
          <w:b/>
        </w:rPr>
        <w:t>modelos de lenguaje grande generativos</w:t>
      </w:r>
      <w:r>
        <w:t xml:space="preserve">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w:t>
      </w:r>
    </w:p>
    <w:p>
      <w:pPr>
        <w:numPr>
          <w:ilvl w:val="0"/>
          <w:numId w:val="0"/>
        </w:numPr>
        <w:pStyle w:val="tablecaption"/>
      </w:pPr>
      <w:r>
        <w:t>Tabla 1. El problema y las familias de técnicas disponibles</w:t>
      </w:r>
    </w:p>
    <w:tbl>
      <w:tblPr>
        <w:tblStyle w:val="Table"/>
        <w:tblW w:type="dxa" w:w="8838"/>
        <w:tblLayout w:type="fixed"/>
        <w:tblLook w:firstRow="1" w:lastRow="0" w:firstColumn="0" w:lastColumn="0" w:noHBand="0" w:noVBand="0" w:val="0020"/>
      </w:tblPr>
      <w:tblGrid>
        <w:gridCol w:w="1940"/>
        <w:gridCol w:w="2011"/>
        <w:gridCol w:w="2443"/>
        <w:gridCol w:w="2444"/>
      </w:tblGrid>
      <w:tr>
        <w:trPr>
          <w:tblHeader w:val="on"/>
        </w:trPr>
        <w:tc>
          <w:tcPr>
            <w:tcW w:type="dxa" w:w="1940"/>
          </w:tcPr>
          <w:p>
            <w:pPr>
              <w:pStyle w:val="Compact"/>
              <w:jc w:val="left"/>
            </w:pPr>
            <w:r>
              <w:rPr>
                <w:b/>
              </w:rPr>
              <w:t>Familia</w:t>
            </w:r>
          </w:p>
        </w:tc>
        <w:tc>
          <w:tcPr>
            <w:tcW w:type="dxa" w:w="2011"/>
          </w:tcPr>
          <w:p>
            <w:pPr>
              <w:pStyle w:val="Compact"/>
              <w:jc w:val="left"/>
            </w:pPr>
            <w:r>
              <w:rPr>
                <w:b/>
              </w:rPr>
              <w:t>Datos etiquetados requeridos</w:t>
            </w:r>
          </w:p>
        </w:tc>
        <w:tc>
          <w:tcPr>
            <w:tcW w:type="dxa" w:w="2443"/>
          </w:tcPr>
          <w:p>
            <w:pPr>
              <w:pStyle w:val="Compact"/>
              <w:jc w:val="left"/>
            </w:pPr>
            <w:r>
              <w:rPr>
                <w:b/>
              </w:rPr>
              <w:t>Adaptación a dominio nuevo</w:t>
            </w:r>
          </w:p>
        </w:tc>
        <w:tc>
          <w:tcPr>
            <w:tcW w:type="dxa" w:w="2444"/>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Inmediata mediante *prompt*</w:t>
            </w:r>
          </w:p>
        </w:tc>
        <w:tc>
          <w:tcPr>
            <w:tcW w:type="dxa" w:w="2444"/>
          </w:tcPr>
          <w:p>
            <w:pPr>
              <w:pStyle w:val="Compact"/>
              <w:jc w:val="center"/>
            </w:pPr>
            <w:r>
              <w:rPr>
                <w:b w:val="0"/>
              </w:rPr>
              <w:t>Alucinación y salida no estructurada</w:t>
            </w:r>
          </w:p>
        </w:tc>
      </w:tr>
    </w:tbl>
    <w:p>
      <w:pPr>
        <w:numPr>
          <w:ilvl w:val="0"/>
          <w:numId w:val="0"/>
        </w:numPr>
        <w:pStyle w:val="p1a"/>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p1a"/>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p1a"/>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p1a"/>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p1a"/>
      </w:pPr>
      <w:r>
        <w:t>La Generación Aumentada por Recuperación (RAG) [1] fundamenta la generación en información recuperada en tiempo de consulta, en lugar de confiarla exclusivamente a los pesos del modelo. La literatura reciente [6] distingue variantes por la naturaleza de lo recuperado, y esa distinción resulta determinante en NER.</w:t>
      </w:r>
    </w:p>
    <w:p>
      <w:pPr>
        <w:numPr>
          <w:ilvl w:val="0"/>
          <w:numId w:val="0"/>
        </w:numPr>
        <w:pStyle w:val="p1a"/>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y no ayuda ante nombres ausentes del catálogo.</w:t>
      </w:r>
    </w:p>
    <w:p>
      <w:pPr>
        <w:numPr>
          <w:ilvl w:val="0"/>
          <w:numId w:val="0"/>
        </w:numPr>
        <w:pStyle w:val="p1a"/>
      </w:pPr>
      <w:r>
        <w:t xml:space="preserve">Una segunda variante es el </w:t>
      </w:r>
      <w:r>
        <w:rPr>
          <w:b/>
        </w:rPr>
        <w:t>RAG contextual o de conocimiento</w:t>
      </w:r>
      <w:r>
        <w:t xml:space="preserve">,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p1a"/>
      </w:pPr>
      <w:r>
        <w:t xml:space="preserve">Una tercera configuración, adoptada por trabajos aplicados al ámbito financiero [9], [5], emplea el propio documento como </w:t>
      </w:r>
      <w:r>
        <w:rPr>
          <w:b/>
        </w:rPr>
        <w:t>contexto único</w:t>
      </w:r>
      <w:r>
        <w:t>, restringiendo la extracción al texto presente y mitigando la alucinación extrínseca.</w:t>
      </w:r>
    </w:p>
    <w:p>
      <w:pPr>
        <w:numPr>
          <w:ilvl w:val="0"/>
          <w:numId w:val="0"/>
        </w:numPr>
        <w:pStyle w:val="p1a"/>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p1a"/>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p1a"/>
      </w:pPr>
      <w:r>
        <w:t xml:space="preserve">Entre los entornos de ejecución disponibles, </w:t>
      </w:r>
      <w:r>
        <w:rPr>
          <w:b/>
        </w:rPr>
        <w:t>llama.cpp</w:t>
      </w:r>
      <w:r>
        <w:t xml:space="preserve"> ofrece el motor de inferencia cuantizada de referencia pero exige gestión manual de modelos; </w:t>
      </w:r>
      <w:r>
        <w:rPr>
          <w:b/>
        </w:rPr>
        <w:t>vLLM</w:t>
      </w:r>
      <w:r>
        <w:t xml:space="preserve">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aprovecha específicamente la memoria unificada de Apple Silicon; y </w:t>
      </w:r>
      <w:r>
        <w:rPr>
          <w:b/>
        </w:rPr>
        <w:t>Ollama</w:t>
      </w:r>
      <w:r>
        <w:t xml:space="preserve">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Estado del arte y criterios de selección</w:t>
      </w:r>
    </w:p>
    <w:p>
      <w:pPr>
        <w:numPr>
          <w:ilvl w:val="0"/>
          <w:numId w:val="0"/>
        </w:numPr>
        <w:pStyle w:val="p1a"/>
      </w:pPr>
      <w:r>
        <w:t>La Tabla 2 posiciona este trabajo respecto de investigaciones recientes en NER para dominios financieros y regulatorios.</w:t>
      </w:r>
    </w:p>
    <w:p>
      <w:pPr>
        <w:numPr>
          <w:ilvl w:val="0"/>
          <w:numId w:val="0"/>
        </w:numPr>
        <w:pStyle w:val="tablecaption"/>
      </w:pPr>
      <w:r>
        <w:t>Tabla 2. Estado del arte y criterios de selección</w:t>
      </w:r>
    </w:p>
    <w:tbl>
      <w:tblPr>
        <w:tblStyle w:val="Table"/>
        <w:tblW w:type="dxa" w:w="8838"/>
        <w:tblLayout w:type="fixed"/>
        <w:tblLook w:firstRow="1" w:lastRow="0" w:firstColumn="0" w:lastColumn="0" w:noHBand="0" w:noVBand="0" w:val="0020"/>
      </w:tblPr>
      <w:tblGrid>
        <w:gridCol w:w="2092"/>
        <w:gridCol w:w="2964"/>
        <w:gridCol w:w="1394"/>
        <w:gridCol w:w="670"/>
        <w:gridCol w:w="1046"/>
        <w:gridCol w:w="672"/>
      </w:tblGrid>
      <w:tr>
        <w:trPr>
          <w:tblHeader w:val="on"/>
        </w:trPr>
        <w:tc>
          <w:tcPr>
            <w:tcW w:type="dxa" w:w="2092"/>
          </w:tcPr>
          <w:p>
            <w:pPr>
              <w:pStyle w:val="Compact"/>
              <w:jc w:val="left"/>
            </w:pPr>
            <w:r>
              <w:rPr>
                <w:b/>
              </w:rPr>
              <w:t>Trabajo</w:t>
            </w:r>
          </w:p>
        </w:tc>
        <w:tc>
          <w:tcPr>
            <w:tcW w:type="dxa" w:w="2964"/>
          </w:tcPr>
          <w:p>
            <w:pPr>
              <w:pStyle w:val="Compact"/>
              <w:jc w:val="left"/>
            </w:pPr>
            <w:r>
              <w:rPr>
                <w:b/>
              </w:rPr>
              <w:t>Dataset</w:t>
            </w:r>
          </w:p>
        </w:tc>
        <w:tc>
          <w:tcPr>
            <w:tcW w:type="dxa" w:w="1394"/>
          </w:tcPr>
          <w:p>
            <w:pPr>
              <w:pStyle w:val="Compact"/>
              <w:jc w:val="left"/>
            </w:pPr>
            <w:r>
              <w:rPr>
                <w:b/>
              </w:rPr>
              <w:t>Modelo</w:t>
            </w:r>
          </w:p>
        </w:tc>
        <w:tc>
          <w:tcPr>
            <w:tcW w:type="dxa" w:w="670"/>
          </w:tcPr>
          <w:p>
            <w:pPr>
              <w:pStyle w:val="Compact"/>
              <w:jc w:val="center"/>
            </w:pPr>
            <w:r>
              <w:rPr>
                <w:b/>
              </w:rPr>
              <w:t>F1</w:t>
            </w:r>
          </w:p>
        </w:tc>
        <w:tc>
          <w:tcPr>
            <w:tcW w:type="dxa" w:w="1046"/>
          </w:tcPr>
          <w:p>
            <w:pPr>
              <w:pStyle w:val="Compact"/>
              <w:jc w:val="center"/>
            </w:pPr>
            <w:r>
              <w:rPr>
                <w:b/>
              </w:rPr>
              <w:t>Privacidad</w:t>
            </w:r>
          </w:p>
        </w:tc>
        <w:tc>
          <w:tcPr>
            <w:tcW w:type="dxa" w:w="672"/>
          </w:tcPr>
          <w:p>
            <w:pPr>
              <w:pStyle w:val="Compact"/>
              <w:jc w:val="left"/>
            </w:pPr>
            <w:r>
              <w:rPr>
                <w:b/>
              </w:rPr>
              <w:t>Idioma</w:t>
            </w:r>
          </w:p>
        </w:tc>
      </w:tr>
      <w:tr>
        <w:tc>
          <w:tcPr>
            <w:tcW w:type="dxa" w:w="2092"/>
          </w:tcPr>
          <w:p>
            <w:pPr>
              <w:pStyle w:val="Compact"/>
              <w:jc w:val="left"/>
            </w:pPr>
            <w:r>
              <w:rPr>
                <w:b w:val="0"/>
              </w:rPr>
              <w:t>BloombergGPT [3]</w:t>
            </w:r>
          </w:p>
        </w:tc>
        <w:tc>
          <w:tcPr>
            <w:tcW w:type="dxa" w:w="2964"/>
          </w:tcPr>
          <w:p>
            <w:pPr>
              <w:pStyle w:val="Compact"/>
              <w:jc w:val="left"/>
            </w:pPr>
            <w:r>
              <w:rPr>
                <w:b w:val="0"/>
              </w:rPr>
              <w:t>Bloomberg corpus</w:t>
            </w:r>
          </w:p>
        </w:tc>
        <w:tc>
          <w:tcPr>
            <w:tcW w:type="dxa" w:w="1394"/>
          </w:tcPr>
          <w:p>
            <w:pPr>
              <w:pStyle w:val="Compact"/>
              <w:jc w:val="left"/>
            </w:pPr>
            <w:r>
              <w:rPr>
                <w:b w:val="0"/>
              </w:rPr>
              <w:t>GPT-J + dominio</w:t>
            </w:r>
          </w:p>
        </w:tc>
        <w:tc>
          <w:tcPr>
            <w:tcW w:type="dxa" w:w="670"/>
          </w:tcPr>
          <w:p>
            <w:pPr>
              <w:pStyle w:val="Compact"/>
              <w:jc w:val="center"/>
            </w:pPr>
            <w:r>
              <w:rPr>
                <w:b w:val="0"/>
              </w:rPr>
              <w:t>85%+</w:t>
            </w:r>
          </w:p>
        </w:tc>
        <w:tc>
          <w:tcPr>
            <w:tcW w:type="dxa" w:w="1046"/>
          </w:tcPr>
          <w:p>
            <w:pPr>
              <w:pStyle w:val="Compact"/>
              <w:jc w:val="center"/>
            </w:pPr>
            <w:r>
              <w:rPr>
                <w:b w:val="0"/>
              </w:rPr>
              <w:t>❌ Cloud</w:t>
            </w:r>
          </w:p>
        </w:tc>
        <w:tc>
          <w:tcPr>
            <w:tcW w:type="dxa" w:w="672"/>
          </w:tcPr>
          <w:p>
            <w:pPr>
              <w:pStyle w:val="Compact"/>
              <w:jc w:val="left"/>
            </w:pPr>
            <w:r>
              <w:rPr>
                <w:b w:val="0"/>
              </w:rPr>
              <w:t>Inglés</w:t>
            </w:r>
          </w:p>
        </w:tc>
      </w:tr>
      <w:tr>
        <w:tc>
          <w:tcPr>
            <w:tcW w:type="dxa" w:w="2092"/>
          </w:tcPr>
          <w:p>
            <w:pPr>
              <w:pStyle w:val="Compact"/>
              <w:jc w:val="left"/>
            </w:pPr>
            <w:r>
              <w:rPr>
                <w:b w:val="0"/>
              </w:rPr>
              <w:t>FiNER-139 Benchmark [15]</w:t>
            </w:r>
          </w:p>
        </w:tc>
        <w:tc>
          <w:tcPr>
            <w:tcW w:type="dxa" w:w="2964"/>
          </w:tcPr>
          <w:p>
            <w:pPr>
              <w:pStyle w:val="Compact"/>
              <w:jc w:val="left"/>
            </w:pPr>
            <w:r>
              <w:rPr>
                <w:b w:val="0"/>
              </w:rPr>
              <w:t>SEC 10-K/10-Q</w:t>
            </w:r>
          </w:p>
        </w:tc>
        <w:tc>
          <w:tcPr>
            <w:tcW w:type="dxa" w:w="1394"/>
          </w:tcPr>
          <w:p>
            <w:pPr>
              <w:pStyle w:val="Compact"/>
              <w:jc w:val="left"/>
            </w:pPr>
            <w:r>
              <w:rPr>
                <w:b w:val="0"/>
              </w:rPr>
              <w:t>BERT fine-tuned</w:t>
            </w:r>
          </w:p>
        </w:tc>
        <w:tc>
          <w:tcPr>
            <w:tcW w:type="dxa" w:w="670"/>
          </w:tcPr>
          <w:p>
            <w:pPr>
              <w:pStyle w:val="Compact"/>
              <w:jc w:val="center"/>
            </w:pPr>
            <w:r>
              <w:rPr>
                <w:b w:val="0"/>
              </w:rPr>
              <w:t>91%</w:t>
            </w:r>
          </w:p>
        </w:tc>
        <w:tc>
          <w:tcPr>
            <w:tcW w:type="dxa" w:w="1046"/>
          </w:tcPr>
          <w:p>
            <w:pPr>
              <w:pStyle w:val="Compact"/>
              <w:jc w:val="center"/>
            </w:pPr>
            <w:r>
              <w:rPr>
                <w:b w:val="0"/>
              </w:rPr>
              <w:t>❌ Cloud</w:t>
            </w:r>
          </w:p>
        </w:tc>
        <w:tc>
          <w:tcPr>
            <w:tcW w:type="dxa" w:w="672"/>
          </w:tcPr>
          <w:p>
            <w:pPr>
              <w:pStyle w:val="Compact"/>
              <w:jc w:val="left"/>
            </w:pPr>
            <w:r>
              <w:rPr>
                <w:b w:val="0"/>
              </w:rPr>
              <w:t>Inglés</w:t>
            </w:r>
          </w:p>
        </w:tc>
      </w:tr>
      <w:tr>
        <w:tc>
          <w:tcPr>
            <w:tcW w:type="dxa" w:w="2092"/>
          </w:tcPr>
          <w:p>
            <w:pPr>
              <w:pStyle w:val="Compact"/>
              <w:jc w:val="left"/>
            </w:pPr>
            <w:r>
              <w:rPr>
                <w:b w:val="0"/>
              </w:rPr>
              <w:t>García &amp; López [7]</w:t>
            </w:r>
          </w:p>
        </w:tc>
        <w:tc>
          <w:tcPr>
            <w:tcW w:type="dxa" w:w="2964"/>
          </w:tcPr>
          <w:p>
            <w:pPr>
              <w:pStyle w:val="Compact"/>
              <w:jc w:val="left"/>
            </w:pPr>
            <w:r>
              <w:rPr>
                <w:b w:val="0"/>
              </w:rPr>
              <w:t>CoNLL-ES</w:t>
            </w:r>
          </w:p>
        </w:tc>
        <w:tc>
          <w:tcPr>
            <w:tcW w:type="dxa" w:w="1394"/>
          </w:tcPr>
          <w:p>
            <w:pPr>
              <w:pStyle w:val="Compact"/>
              <w:jc w:val="left"/>
            </w:pPr>
            <w:r>
              <w:rPr>
                <w:b w:val="0"/>
              </w:rPr>
              <w:t>XLM-R</w:t>
            </w:r>
          </w:p>
        </w:tc>
        <w:tc>
          <w:tcPr>
            <w:tcW w:type="dxa" w:w="670"/>
          </w:tcPr>
          <w:p>
            <w:pPr>
              <w:pStyle w:val="Compact"/>
              <w:jc w:val="center"/>
            </w:pPr>
            <w:r>
              <w:rPr>
                <w:b w:val="0"/>
              </w:rPr>
              <w:t>88%</w:t>
            </w:r>
          </w:p>
        </w:tc>
        <w:tc>
          <w:tcPr>
            <w:tcW w:type="dxa" w:w="1046"/>
          </w:tcPr>
          <w:p>
            <w:pPr>
              <w:pStyle w:val="Compact"/>
              <w:jc w:val="center"/>
            </w:pPr>
            <w:r>
              <w:rPr>
                <w:b w:val="0"/>
              </w:rPr>
              <w:t>✅ Local</w:t>
            </w:r>
          </w:p>
        </w:tc>
        <w:tc>
          <w:tcPr>
            <w:tcW w:type="dxa" w:w="672"/>
          </w:tcPr>
          <w:p>
            <w:pPr>
              <w:pStyle w:val="Compact"/>
              <w:jc w:val="left"/>
            </w:pPr>
            <w:r>
              <w:rPr>
                <w:b w:val="0"/>
              </w:rPr>
              <w:t>Español</w:t>
            </w:r>
          </w:p>
        </w:tc>
      </w:tr>
      <w:tr>
        <w:tc>
          <w:tcPr>
            <w:tcW w:type="dxa" w:w="2092"/>
          </w:tcPr>
          <w:p>
            <w:pPr>
              <w:pStyle w:val="Compact"/>
              <w:jc w:val="left"/>
            </w:pPr>
            <w:r>
              <w:rPr>
                <w:b w:val="0"/>
              </w:rPr>
              <w:t>Chang et al. [9]</w:t>
            </w:r>
          </w:p>
        </w:tc>
        <w:tc>
          <w:tcPr>
            <w:tcW w:type="dxa" w:w="2964"/>
          </w:tcPr>
          <w:p>
            <w:pPr>
              <w:pStyle w:val="Compact"/>
              <w:jc w:val="left"/>
            </w:pPr>
            <w:r>
              <w:rPr>
                <w:b w:val="0"/>
              </w:rPr>
              <w:t>Docs bancarios</w:t>
            </w:r>
          </w:p>
        </w:tc>
        <w:tc>
          <w:tcPr>
            <w:tcW w:type="dxa" w:w="1394"/>
          </w:tcPr>
          <w:p>
            <w:pPr>
              <w:pStyle w:val="Compact"/>
              <w:jc w:val="left"/>
            </w:pPr>
            <w:r>
              <w:rPr>
                <w:b w:val="0"/>
              </w:rPr>
              <w:t>GPT-4 + RAG</w:t>
            </w:r>
          </w:p>
        </w:tc>
        <w:tc>
          <w:tcPr>
            <w:tcW w:type="dxa" w:w="670"/>
          </w:tcPr>
          <w:p>
            <w:pPr>
              <w:pStyle w:val="Compact"/>
              <w:jc w:val="center"/>
            </w:pPr>
            <w:r>
              <w:rPr>
                <w:b w:val="0"/>
              </w:rPr>
              <w:t>83%</w:t>
            </w:r>
          </w:p>
        </w:tc>
        <w:tc>
          <w:tcPr>
            <w:tcW w:type="dxa" w:w="1046"/>
          </w:tcPr>
          <w:p>
            <w:pPr>
              <w:pStyle w:val="Compact"/>
              <w:jc w:val="center"/>
            </w:pPr>
            <w:r>
              <w:rPr>
                <w:b w:val="0"/>
              </w:rPr>
              <w:t>❌ Cloud</w:t>
            </w:r>
          </w:p>
        </w:tc>
        <w:tc>
          <w:tcPr>
            <w:tcW w:type="dxa" w:w="672"/>
          </w:tcPr>
          <w:p>
            <w:pPr>
              <w:pStyle w:val="Compact"/>
              <w:jc w:val="left"/>
            </w:pPr>
            <w:r>
              <w:rPr>
                <w:b w:val="0"/>
              </w:rPr>
              <w:t>Inglés</w:t>
            </w:r>
          </w:p>
        </w:tc>
      </w:tr>
      <w:tr>
        <w:tc>
          <w:tcPr>
            <w:tcW w:type="dxa" w:w="2092"/>
          </w:tcPr>
          <w:p>
            <w:pPr>
              <w:pStyle w:val="Compact"/>
              <w:jc w:val="left"/>
            </w:pPr>
            <w:r>
              <w:rPr>
                <w:b/>
              </w:rPr>
              <w:t>Este trabajo</w:t>
            </w:r>
          </w:p>
        </w:tc>
        <w:tc>
          <w:tcPr>
            <w:tcW w:type="dxa" w:w="2964"/>
          </w:tcPr>
          <w:p>
            <w:pPr>
              <w:pStyle w:val="Compact"/>
              <w:jc w:val="left"/>
            </w:pPr>
            <w:r>
              <w:rPr>
                <w:b/>
              </w:rPr>
              <w:t>Kleptotrace/CoNLL-2002 (AML), corpus sintético N=30</w:t>
            </w:r>
          </w:p>
        </w:tc>
        <w:tc>
          <w:tcPr>
            <w:tcW w:type="dxa" w:w="1394"/>
          </w:tcPr>
          <w:p>
            <w:pPr>
              <w:pStyle w:val="Compact"/>
              <w:jc w:val="left"/>
            </w:pPr>
            <w:r>
              <w:rPr>
                <w:b/>
              </w:rPr>
              <w:t>gemma4:31b local</w:t>
            </w:r>
          </w:p>
        </w:tc>
        <w:tc>
          <w:tcPr>
            <w:tcW w:type="dxa" w:w="670"/>
          </w:tcPr>
          <w:p>
            <w:pPr>
              <w:pStyle w:val="Compact"/>
              <w:jc w:val="center"/>
            </w:pPr>
            <w:r>
              <w:rPr>
                <w:b/>
              </w:rPr>
              <w:t>79%</w:t>
            </w:r>
          </w:p>
        </w:tc>
        <w:tc>
          <w:tcPr>
            <w:tcW w:type="dxa" w:w="1046"/>
          </w:tcPr>
          <w:p>
            <w:pPr>
              <w:pStyle w:val="Compact"/>
              <w:jc w:val="center"/>
            </w:pPr>
            <w:r>
              <w:rPr>
                <w:b/>
              </w:rPr>
              <w:t>✅ 100% Local</w:t>
            </w:r>
          </w:p>
        </w:tc>
        <w:tc>
          <w:tcPr>
            <w:tcW w:type="dxa" w:w="672"/>
          </w:tcPr>
          <w:p>
            <w:pPr>
              <w:pStyle w:val="Compact"/>
              <w:jc w:val="left"/>
            </w:pPr>
            <w:r>
              <w:rPr>
                <w:b/>
              </w:rPr>
              <w:t>Español</w:t>
            </w:r>
          </w:p>
        </w:tc>
      </w:tr>
    </w:tbl>
    <w:p>
      <w:pPr>
        <w:numPr>
          <w:ilvl w:val="0"/>
          <w:numId w:val="0"/>
        </w:numPr>
        <w:pStyle w:val="p1a"/>
      </w:pPr>
      <w:r>
        <w:t>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p1a"/>
      </w:pPr>
      <w:r>
        <w:t xml:space="preserve">La revisión anterior deja fijados los criterios con los que el capítulo 3 justifica cada decisión de diseño: </w:t>
      </w:r>
      <w:r>
        <w:rPr>
          <w:b/>
        </w:rPr>
        <w:t>(C1) prescindir de datos etiquetados</w:t>
      </w:r>
      <w:r>
        <w:t xml:space="preserve">, por no existir corpus del dominio en español; </w:t>
      </w:r>
      <w:r>
        <w:rPr>
          <w:b/>
        </w:rPr>
        <w:t>(C2) preservar la soberanía del dato</w:t>
      </w:r>
      <w:r>
        <w:t xml:space="preserve">, lo que excluye toda API externa; </w:t>
      </w:r>
      <w:r>
        <w:rPr>
          <w:b/>
        </w:rPr>
        <w:t>(C3) operar sobre hardware de consumo</w:t>
      </w:r>
      <w:r>
        <w:t xml:space="preserve">, lo que obliga a cuantización y a gestión explícita de memoria; </w:t>
      </w:r>
      <w:r>
        <w:rPr>
          <w:b/>
        </w:rPr>
        <w:t>(C4) producir salida verificable</w:t>
      </w:r>
      <w:r>
        <w:t xml:space="preserve">, dado que el modelo elegido genera texto libre; y </w:t>
      </w:r>
      <w:r>
        <w:rPr>
          <w:b/>
        </w:rPr>
        <w:t>(C5) permitir comparación empírica entre variantes</w:t>
      </w:r>
      <w:r>
        <w:t xml:space="preserve">,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p1a"/>
      </w:pPr>
      <w:r>
        <w:t>Los cinco criterios con que cerró el capítulo anterior determinan, cada uno, una decisión concreta. Conviene explicitar el razonamiento antes de describir la implementación.</w:t>
      </w:r>
    </w:p>
    <w:p>
      <w:pPr>
        <w:numPr>
          <w:ilvl w:val="0"/>
          <w:numId w:val="0"/>
        </w:numPr>
        <w:pStyle w:val="p1a"/>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p1a"/>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p1a"/>
      </w:pPr>
      <w:r>
        <w:t xml:space="preserve">El tercer criterio, operar sobre hardware de consumo, obliga a cuantizar a 4 bits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p1a"/>
      </w:pPr>
      <w:r>
        <w:t>El sistema se organiza en cinco capas funcionales con responsabilidades separadas, así que cada una pueda evolucionar sin arrastrar a las demás.</w:t>
      </w:r>
    </w:p>
    <w:p>
      <w:pPr>
        <w:numPr>
          <w:ilvl w:val="0"/>
          <w:numId w:val="0"/>
        </w:numPr>
        <w:pStyle w:val="tablecaption"/>
      </w:pPr>
      <w:r>
        <w:t>Tabla 3. Arquitectura, proveedores y orquestación</w:t>
      </w:r>
    </w:p>
    <w:tbl>
      <w:tblPr>
        <w:tblStyle w:val="Table"/>
        <w:tblW w:type="dxa" w:w="8838"/>
        <w:tblLayout w:type="fixed"/>
        <w:tblLook w:firstRow="1" w:lastRow="0" w:firstColumn="0" w:lastColumn="0" w:noHBand="0" w:noVBand="0" w:val="0020"/>
      </w:tblPr>
      <w:tblGrid>
        <w:gridCol w:w="1988"/>
        <w:gridCol w:w="3093"/>
        <w:gridCol w:w="3757"/>
      </w:tblGrid>
      <w:tr>
        <w:trPr>
          <w:tblHeader w:val="on"/>
        </w:trPr>
        <w:tc>
          <w:tcPr>
            <w:tcW w:type="dxa" w:w="1988"/>
          </w:tcPr>
          <w:p>
            <w:pPr>
              <w:pStyle w:val="Compact"/>
              <w:jc w:val="left"/>
            </w:pPr>
            <w:r>
              <w:rPr>
                <w:b/>
              </w:rPr>
              <w:t>Capa</w:t>
            </w:r>
          </w:p>
        </w:tc>
        <w:tc>
          <w:tcPr>
            <w:tcW w:type="dxa" w:w="3093"/>
          </w:tcPr>
          <w:p>
            <w:pPr>
              <w:pStyle w:val="Compact"/>
              <w:jc w:val="left"/>
            </w:pPr>
            <w:r>
              <w:rPr>
                <w:b/>
              </w:rPr>
              <w:t>Módulo(s)</w:t>
            </w:r>
          </w:p>
        </w:tc>
        <w:tc>
          <w:tcPr>
            <w:tcW w:type="dxa" w:w="3757"/>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de esquema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p1a"/>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p1a"/>
      </w:pPr>
      <w:r>
        <w:t xml:space="preserve">La capa de proveedores es la que materializa el criterio C2 sin encerrar el trabajo en un único motor. Aplica los patrones </w:t>
      </w:r>
      <w:r>
        <w:rPr>
          <w:i/>
        </w:rPr>
        <w:t>Factory</w:t>
      </w:r>
      <w:r>
        <w:t xml:space="preserve"> y </w:t>
      </w:r>
      <w:r>
        <w:rPr>
          <w:i/>
        </w:rPr>
        <w:t>Facade</w:t>
      </w:r>
      <w:r>
        <w:t xml:space="preserve"> tras una interfaz común:</w:t>
      </w:r>
    </w:p>
    <w:p>
      <w:pPr>
        <w:numPr>
          <w:ilvl w:val="0"/>
          <w:numId w:val="0"/>
        </w:numPr>
        <w:pStyle w:val="program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p1a"/>
      </w:pPr>
      <w:r>
        <w:t xml:space="preserve">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p1a"/>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p1a"/>
      </w:pPr>
      <w:r>
        <w:t xml:space="preserve">El número de consumidores no es fijo, sino que lo regula un controlador </w:t>
      </w:r>
      <w:r>
        <w:rPr>
          <w:b/>
        </w:rPr>
        <w:t>AIMD</w:t>
      </w:r>
      <w:r>
        <w:t xml:space="preserve"> (</w:t>
      </w:r>
      <w:r>
        <w:rPr>
          <w:i/>
        </w:rPr>
        <w:t>Additive Increase, Multiplicative Decrease</w:t>
      </w:r>
      <w:r>
        <w:t xml:space="preserve">), política tomada del control de congestión en redes. Mientras el sistema permanece estable —sin errores de limitación de tasa ni excepciones— durante una ventana de 600 segundos, el controlador </w:t>
      </w:r>
      <w:r>
        <w:rPr>
          <w:b/>
        </w:rPr>
        <w:t>añade un consumidor cada 120 segundos</w:t>
      </w:r>
      <w:r>
        <w:t xml:space="preserve"> hasta un techo del 75 % del máximo configurado; ante el primer error de saturación </w:t>
      </w:r>
      <w:r>
        <w:rPr>
          <w:b/>
        </w:rPr>
        <w:t>reduce los consumidores a la mitad</w:t>
      </w:r>
      <w:r>
        <w:t>. Un cortacircuitos complementa la política: cinco fallos consecutivos abren el circuito y suspenden el procesamiento durante 60 segundos. La asimetría entre el aumento prudente y el recorte agresivo es deliberada, pues el coste de saturar un servicio de inferencia —reintentos, respuestas truncadas, penalización por cuota— excede con mucho al de infrautilizarlo. Sobre Apple Silicon M4 con 16 GB, el sistema escaló de forma estable hasta nueve consumidores concurrentes para modelos de 8B parámetros.</w:t>
      </w:r>
    </w:p>
    <w:p>
      <w:pPr>
        <w:numPr>
          <w:ilvl w:val="0"/>
          <w:numId w:val="0"/>
        </w:numPr>
        <w:pStyle w:val="p1a"/>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w:t>
      </w:r>
      <w:r>
        <w:rPr>
          <w:b/>
        </w:rPr>
        <w:t>pero no reduce el footprint de uno solo</w:t>
      </w:r>
      <w:r>
        <w:t>, y esa distinción resultó decisiva. macOS asigna a la GPU un techo de memoria equivalente al 75 % de la memoria unificada del equipo (</w:t>
      </w:r>
      <w:r>
        <w:t>recommendedMaxWorkingSetSize</w:t>
      </w:r>
      <w:r>
        <w:t xml:space="preserve">): unos 12 GB en una máquina de 16 GB. Los modelos de hasta ~12B cuantizados a 4 bits ocupan entre 7 y 9 GB y caben con holgura; los de 31B alcanzan un footprint operativo de ~24,7 GB —unos 18,7 GB de pesos más la caché de claves y valores y el sobrecoste de inferencia— y </w:t>
      </w:r>
      <w:r>
        <w:rPr>
          <w:b/>
        </w:rPr>
        <w:t>no pueden cargarse en 16 GB ni siquiera de forma serial</w:t>
      </w:r>
      <w:r>
        <w:t>. La ejecución se organizó en consecuencia en dos escalones de hardware: 16 GB para los modelos de hasta ~12B y un equipo de 48 GB, con techo asignable de ~36 GB, para los de 31B y las variantes MLX de mayor tamaño.</w:t>
      </w:r>
    </w:p>
    <w:p>
      <w:pPr>
        <w:numPr>
          <w:ilvl w:val="0"/>
          <w:numId w:val="0"/>
        </w:numPr>
        <w:pStyle w:val="heading2"/>
      </w:pPr>
      <w:r>
        <w:t>3.3 Módulo de evaluación</w:t>
      </w:r>
    </w:p>
    <w:p>
      <w:pPr>
        <w:numPr>
          <w:ilvl w:val="0"/>
          <w:numId w:val="0"/>
        </w:numPr>
        <w:pStyle w:val="p1a"/>
      </w:pPr>
      <w:r>
        <w:t xml:space="preserve">La comparación entre lo extraído y la anotación de referencia no puede ser literal, porque una diferencia de puntuación o un artículo antepuesto invalidarían una extracción correcta. El evaluador emplea por ello </w:t>
      </w:r>
      <w:r>
        <w:rPr>
          <w:b/>
        </w:rPr>
        <w:t>emparejamiento difuso</w:t>
      </w:r>
      <w:r>
        <w:t xml:space="preserve"> por similitud de tokens, aceptando como acierto toda coincidencia por encima de un umbral configurable, fijado en 85 sobre 100. La elección del umbral es un compromiso: por debajo admite falsos emparejamientos entre nombres distintos que comparten apellido; por encima rechaza variantes legítimas.</w:t>
      </w:r>
    </w:p>
    <w:p>
      <w:pPr>
        <w:numPr>
          <w:ilvl w:val="0"/>
          <w:numId w:val="0"/>
        </w:numPr>
        <w:pStyle w:val="p1a"/>
      </w:pPr>
      <w:r>
        <w:t xml:space="preserve">Sobre esa base se calculan precisión, exhaustividad y F1 por artículo, que después se promedian, y una </w:t>
      </w:r>
      <w:r>
        <w:rPr>
          <w:b/>
        </w:rPr>
        <w:t>tasa de alucinación</w:t>
      </w:r>
      <w:r>
        <w:t xml:space="preserve"> definida como la proporción de entidades propuestas sin correspondencia alguna en la referencia.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p1a"/>
      </w:pPr>
      <w:r>
        <w:t>Se utilizaron dos corpus complementarios:</w:t>
      </w:r>
    </w:p>
    <w:p>
      <w:pPr>
        <w:numPr>
          <w:ilvl w:val="0"/>
          <w:numId w:val="0"/>
        </w:numPr>
        <w:pStyle w:val="p1a"/>
      </w:pPr>
      <w:r>
        <w:rPr>
          <w:b/>
        </w:rPr>
        <w:t>Corpus 1 — Kleptotrace/CoNLL-2002 (N=15, Gold Standard):</w:t>
      </w:r>
      <w:r>
        <w:t xml:space="preserve"> 15 artículos periodísticos reales de la plataforma Kleptotrace/CoNLL-2002 sobre lavado de activos, sanciones internacionales y corrupción. Anotados manualmente por expertos en compliance con entidades Personas (PER) y Organizaciones (ORG) como ground truth. Longitud promedio: ~4.833 caracteres por artículo (mediana 5.280; rango 725–8.813).</w:t>
      </w:r>
    </w:p>
    <w:p>
      <w:pPr>
        <w:numPr>
          <w:ilvl w:val="0"/>
          <w:numId w:val="0"/>
        </w:numPr>
        <w:pStyle w:val="p1a"/>
      </w:pPr>
      <w:r>
        <w:rPr>
          <w:b/>
        </w:rPr>
        <w:t>Corpus 2 — Kleptotrace/CoNLL-2002 Augmented (N=30, Corpus de Validación Estadística):</w:t>
      </w:r>
      <w:r>
        <w:t xml:space="preserve"> 30 artículos breves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heading3"/>
      </w:pPr>
      <w:r>
        <w:t>4.1.1 Generación y validez del corpus sintético N=30</w:t>
      </w:r>
    </w:p>
    <w:p>
      <w:pPr>
        <w:numPr>
          <w:ilvl w:val="0"/>
          <w:numId w:val="0"/>
        </w:numPr>
        <w:pStyle w:val="p1a"/>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p1a"/>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p1a"/>
      </w:pPr>
      <w:r>
        <w:t>El uso de textos sintéticos para contrastar hipótesis es defendible aquí por cuatro razones. La primera es de potencia estadística: el teorema del límite central asegura que, a partir de treinta observaciones independientes, la media muestral se aproxima a una distribución normal,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3"/>
      </w:pPr>
      <w:r>
        <w:t>4.1.3 Extensión a Corpus Real N=120 (Dataset Conmutable)</w:t>
      </w:r>
    </w:p>
    <w:p>
      <w:pPr>
        <w:numPr>
          <w:ilvl w:val="0"/>
          <w:numId w:val="0"/>
        </w:numPr>
        <w:pStyle w:val="p1a"/>
      </w:pPr>
      <w:r>
        <w:t xml:space="preserve">Tras la validación sobre el corpus sintético N=30 (§4.1.1–4.1.2), y como parte del cierre del proyecto (1 de septiembre de 2026, commit </w:t>
      </w:r>
      <w:r>
        <w:t>5ff38f5</w:t>
      </w:r>
      <w:r>
        <w:t xml:space="preserve">, </w:t>
      </w:r>
      <w:r>
        <w:rPr>
          <w:i/>
        </w:rPr>
        <w:t>"integrate balanced real dataset N=120"</w:t>
      </w:r>
      <w:r>
        <w:t xml:space="preserve">), se incorporó una tercera alternativa de corpus para reforzar la validez externa: en lugar de seguir aumentando el corpus por generación sintética, se amplió la base real combinando los 15 artículos Gold Standard de Kleptotrace/CoNLL-2002 con </w:t>
      </w:r>
      <w:r>
        <w:rPr>
          <w:b/>
        </w:rPr>
        <w:t>105 artículos reales del corpus público CoNLL-2002 en español</w:t>
      </w:r>
      <w:r>
        <w:t xml:space="preserve"> (</w:t>
      </w:r>
      <w:r>
        <w:t>data/conll2002_es.json</w:t>
      </w:r>
      <w:r>
        <w:t xml:space="preserve">, 833 artículos disponibles), generando el archivo </w:t>
      </w:r>
      <w:r>
        <w:t>data/benchmark_balanced_120.json</w:t>
      </w:r>
      <w:r>
        <w:t xml:space="preserve"> (N=120, script </w:t>
      </w:r>
      <w:r>
        <w:t>create_balanced_120.py</w:t>
      </w:r>
      <w:r>
        <w:t xml:space="preserve">). A diferencia del corpus N=30, </w:t>
      </w:r>
      <w:r>
        <w:rPr>
          <w:b/>
        </w:rPr>
        <w:t>ningún texto de este corpus fue generado por un LLM</w:t>
      </w:r>
      <w:r>
        <w:t>: los 120 artículos son noticias reales con anotación de entidades real.</w:t>
      </w:r>
    </w:p>
    <w:p>
      <w:pPr>
        <w:numPr>
          <w:ilvl w:val="0"/>
          <w:numId w:val="0"/>
        </w:numPr>
        <w:pStyle w:val="p1a"/>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heading2"/>
      </w:pPr>
      <w:r>
        <w:t>4.2 Modelos evaluados</w:t>
      </w:r>
    </w:p>
    <w:p>
      <w:pPr>
        <w:numPr>
          <w:ilvl w:val="0"/>
          <w:numId w:val="0"/>
        </w:numPr>
        <w:pStyle w:val="p1a"/>
      </w:pPr>
      <w:r>
        <w:t xml:space="preserve">El trabajo comprende dos conjuntos de evaluación que no hay que confundir. El benchmark exploratorio de la Tabla 2 (§5.1) cubre doce modelos en trece configuraciones sobre N=15 en modo </w:t>
      </w:r>
      <w:r>
        <w:t>entities</w:t>
      </w:r>
      <w:r>
        <w:t xml:space="preserve"> —</w:t>
      </w:r>
      <w:r>
        <w:t>gemma4:latest</w:t>
      </w:r>
      <w:r>
        <w:t xml:space="preserve"> aparece dos veces, en sus variantes ZS-ES y FS-ES—, mientras que el estudio principal (§5.3.5)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p1a"/>
      </w:pPr>
      <w:r>
        <w:t xml:space="preserve">Los modelos de la Tabla 2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p1a"/>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procedimiento que la literatura anglosajona denomina </w:t>
      </w:r>
      <w:r>
        <w:rPr>
          <w:i/>
        </w:rPr>
        <w:t>ablation study</w:t>
      </w:r>
      <w:r>
        <w:t>. Las cuatro celdas son zero-shot en inglés, que actúa como referencia, zero-shot en español, few-shot en inglés y few-shot en español, empleando en los dos últimos tres ejemplos del dominio de cumplimiento.</w:t>
      </w:r>
    </w:p>
    <w:p>
      <w:pPr>
        <w:numPr>
          <w:ilvl w:val="0"/>
          <w:numId w:val="0"/>
        </w:numPr>
        <w:pStyle w:val="p1a"/>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p1a"/>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p1a"/>
      </w:pPr>
      <w:r>
        <w:t>Los tres ejemplos empleados en la configuración few-shot en español cubren un caso de persona sancionada, uno de organización y uno de mención ambigua; se reproducen íntegros en el Anexo B.</w:t>
      </w:r>
    </w:p>
    <w:p>
      <w:pPr>
        <w:numPr>
          <w:ilvl w:val="0"/>
          <w:numId w:val="0"/>
        </w:numPr>
        <w:pStyle w:val="p1a"/>
      </w:pPr>
      <w:r>
        <w:t xml:space="preserve">Los resultados del análisis de variantes de prompts revelan una </w:t>
      </w:r>
      <w:r>
        <w:rPr>
          <w:b/>
        </w:rPr>
        <w:t>interacción entre los dos factores</w:t>
      </w:r>
      <w:r>
        <w:t xml:space="preserve">: por separado, la localización al español aporta +4.38 pp de F1 y los ejemplos </w:t>
      </w:r>
      <w:r>
        <w:rPr>
          <w:i/>
        </w:rPr>
        <w:t>few-shot</w:t>
      </w:r>
      <w:r>
        <w:t xml:space="preserve"> en inglés no aportan nada (−0.73 pp), pero </w:t>
      </w:r>
      <w:r>
        <w:rPr>
          <w:b/>
        </w:rPr>
        <w:t>su combinación alcanza +11.12 pp</w:t>
      </w:r>
      <w:r>
        <w:t xml:space="preserve">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tablecaption"/>
      </w:pPr>
      <w:r>
        <w:t>Tabla 4. Métricas de Evaluación</w:t>
      </w:r>
    </w:p>
    <w:tbl>
      <w:tblPr>
        <w:tblStyle w:val="Table"/>
        <w:tblW w:type="dxa" w:w="8838"/>
        <w:tblLayout w:type="fixed"/>
        <w:tblLook w:firstRow="1" w:lastRow="0" w:firstColumn="0" w:lastColumn="0" w:noHBand="0" w:noVBand="0" w:val="0020"/>
      </w:tblPr>
      <w:tblGrid>
        <w:gridCol w:w="3059"/>
        <w:gridCol w:w="5779"/>
      </w:tblGrid>
      <w:tr>
        <w:trPr>
          <w:tblHeader w:val="on"/>
        </w:trPr>
        <w:tc>
          <w:tcPr>
            <w:tcW w:type="dxa" w:w="3059"/>
          </w:tcPr>
          <w:p>
            <w:pPr>
              <w:pStyle w:val="Compact"/>
              <w:jc w:val="left"/>
            </w:pPr>
            <w:r>
              <w:rPr>
                <w:b/>
              </w:rPr>
              <w:t>Métrica</w:t>
            </w:r>
          </w:p>
        </w:tc>
        <w:tc>
          <w:tcPr>
            <w:tcW w:type="dxa" w:w="5779"/>
          </w:tcPr>
          <w:p>
            <w:pPr>
              <w:pStyle w:val="Compact"/>
              <w:jc w:val="left"/>
            </w:pPr>
            <w:r>
              <w:rPr>
                <w:b/>
              </w:rPr>
              <w:t>Definición</w:t>
            </w:r>
          </w:p>
        </w:tc>
      </w:tr>
      <w:tr>
        <w:tc>
          <w:tcPr>
            <w:tcW w:type="dxa" w:w="3059"/>
          </w:tcPr>
          <w:p>
            <w:pPr>
              <w:pStyle w:val="Compact"/>
              <w:jc w:val="left"/>
            </w:pPr>
            <w:r>
              <w:rPr>
                <w:b/>
              </w:rPr>
              <w:t>F1-Score</w:t>
            </w:r>
          </w:p>
        </w:tc>
        <w:tc>
          <w:tcPr>
            <w:tcW w:type="dxa" w:w="5779"/>
          </w:tcPr>
          <w:p>
            <w:pPr>
              <w:pStyle w:val="Compact"/>
              <w:jc w:val="left"/>
            </w:pPr>
            <w:r>
              <w:rPr>
                <w:b w:val="0"/>
              </w:rPr>
              <w:t>Media armónica entre Precisión y Recall (métrica principal)</w:t>
            </w:r>
          </w:p>
        </w:tc>
      </w:tr>
      <w:tr>
        <w:tc>
          <w:tcPr>
            <w:tcW w:type="dxa" w:w="3059"/>
          </w:tcPr>
          <w:p>
            <w:pPr>
              <w:pStyle w:val="Compact"/>
              <w:jc w:val="left"/>
            </w:pPr>
            <w:r>
              <w:rPr>
                <w:b/>
              </w:rPr>
              <w:t>Precisión</w:t>
            </w:r>
          </w:p>
        </w:tc>
        <w:tc>
          <w:tcPr>
            <w:tcW w:type="dxa" w:w="5779"/>
          </w:tcPr>
          <w:p>
            <w:pPr>
              <w:pStyle w:val="Compact"/>
              <w:jc w:val="left"/>
            </w:pPr>
            <w:r>
              <w:rPr>
                <w:b w:val="0"/>
              </w:rPr>
              <w:t>TP / (TP + FP) — Exactitud de las entidades extraídas</w:t>
            </w:r>
          </w:p>
        </w:tc>
      </w:tr>
      <w:tr>
        <w:tc>
          <w:tcPr>
            <w:tcW w:type="dxa" w:w="3059"/>
          </w:tcPr>
          <w:p>
            <w:pPr>
              <w:pStyle w:val="Compact"/>
              <w:jc w:val="left"/>
            </w:pPr>
            <w:r>
              <w:rPr>
                <w:b/>
              </w:rPr>
              <w:t>Recall</w:t>
            </w:r>
          </w:p>
        </w:tc>
        <w:tc>
          <w:tcPr>
            <w:tcW w:type="dxa" w:w="5779"/>
          </w:tcPr>
          <w:p>
            <w:pPr>
              <w:pStyle w:val="Compact"/>
              <w:jc w:val="left"/>
            </w:pPr>
            <w:r>
              <w:rPr>
                <w:b w:val="0"/>
              </w:rPr>
              <w:t>TP / (TP + FN) — Cobertura de las entidades reales</w:t>
            </w:r>
          </w:p>
        </w:tc>
      </w:tr>
      <w:tr>
        <w:tc>
          <w:tcPr>
            <w:tcW w:type="dxa" w:w="3059"/>
          </w:tcPr>
          <w:p>
            <w:pPr>
              <w:pStyle w:val="Compact"/>
              <w:jc w:val="left"/>
            </w:pPr>
            <w:r>
              <w:rPr>
                <w:b/>
              </w:rPr>
              <w:t>Hallucination Rate</w:t>
            </w:r>
          </w:p>
        </w:tc>
        <w:tc>
          <w:tcPr>
            <w:tcW w:type="dxa" w:w="5779"/>
          </w:tcPr>
          <w:p>
            <w:pPr>
              <w:pStyle w:val="Compact"/>
              <w:jc w:val="left"/>
            </w:pPr>
            <w:r>
              <w:rPr>
                <w:b w:val="0"/>
              </w:rPr>
              <w:t>Entidades extraídas sin correspondencia en GT / Total extraídas</w:t>
            </w:r>
          </w:p>
        </w:tc>
      </w:tr>
      <w:tr>
        <w:tc>
          <w:tcPr>
            <w:tcW w:type="dxa" w:w="3059"/>
          </w:tcPr>
          <w:p>
            <w:pPr>
              <w:pStyle w:val="Compact"/>
              <w:jc w:val="left"/>
            </w:pPr>
            <w:r>
              <w:rPr>
                <w:b/>
              </w:rPr>
              <w:t>Latencia (s)</w:t>
            </w:r>
          </w:p>
        </w:tc>
        <w:tc>
          <w:tcPr>
            <w:tcW w:type="dxa" w:w="5779"/>
          </w:tcPr>
          <w:p>
            <w:pPr>
              <w:pStyle w:val="Compact"/>
              <w:jc w:val="left"/>
            </w:pPr>
            <w:r>
              <w:rPr>
                <w:b w:val="0"/>
              </w:rPr>
              <w:t>Tiempo promedio por artículo en segundos</w:t>
            </w:r>
          </w:p>
        </w:tc>
      </w:tr>
      <w:tr>
        <w:tc>
          <w:tcPr>
            <w:tcW w:type="dxa" w:w="3059"/>
          </w:tcPr>
          <w:p>
            <w:pPr>
              <w:pStyle w:val="Compact"/>
              <w:jc w:val="left"/>
            </w:pPr>
            <w:r>
              <w:rPr>
                <w:b/>
              </w:rPr>
              <w:t>Índice Tok/s/B</w:t>
            </w:r>
          </w:p>
        </w:tc>
        <w:tc>
          <w:tcPr>
            <w:tcW w:type="dxa" w:w="5779"/>
          </w:tcPr>
          <w:p>
            <w:pPr>
              <w:pStyle w:val="Compact"/>
              <w:jc w:val="left"/>
            </w:pPr>
            <w:r>
              <w:rPr>
                <w:b w:val="0"/>
              </w:rPr>
              <w:t>Tokens por segundo normalizados por cada mil millones (10⁹) de parámetros</w:t>
            </w:r>
          </w:p>
        </w:tc>
      </w:tr>
    </w:tbl>
    <w:p>
      <w:pPr>
        <w:numPr>
          <w:ilvl w:val="0"/>
          <w:numId w:val="0"/>
        </w:numPr>
        <w:pStyle w:val="p1a"/>
      </w:pPr>
      <w:r>
        <w:t xml:space="preserve">El cotejo entre la entidad extraída y la de referencia es </w:t>
      </w:r>
      <w:r>
        <w:rPr>
          <w:b/>
        </w:rPr>
        <w:t>difuso</w:t>
      </w:r>
      <w:r>
        <w:t>, con un umbral de similitud de 85 sobre 100, lo que tolera variaciones menores de forma sin admitir coincidencias espurias.</w:t>
      </w:r>
    </w:p>
    <w:p>
      <w:pPr>
        <w:numPr>
          <w:ilvl w:val="0"/>
          <w:numId w:val="0"/>
        </w:numPr>
        <w:pStyle w:val="p1a"/>
      </w:pPr>
      <w:r>
        <w:rPr>
          <w:b/>
        </w:rPr>
        <w:t>Convención ante la extracción vacía.</w:t>
      </w:r>
      <w:r>
        <w:t xml:space="preserve">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p1a"/>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scikit-learn, statsmodels,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p1a"/>
      </w:pPr>
      <w:r>
        <w:t>La Tabla 5 presenta los resultados consolidados del benchmark completo agrupados por familia y tamaño de modelo:</w:t>
      </w:r>
    </w:p>
    <w:p>
      <w:pPr>
        <w:numPr>
          <w:ilvl w:val="0"/>
          <w:numId w:val="0"/>
        </w:numPr>
        <w:pStyle w:val="tablecaption"/>
      </w:pPr>
      <w:r>
        <w:t>Tabla 5. Benchmark General — 12 Modelos en 13 Configuraciones sobre Kleptotrace/CoNLL-2002 (N=15)</w:t>
      </w:r>
    </w:p>
    <w:tbl>
      <w:tblPr>
        <w:tblStyle w:val="Table"/>
        <w:tblW w:type="dxa" w:w="8838"/>
        <w:tblLayout w:type="fixed"/>
        <w:tblLook w:firstRow="1" w:lastRow="0" w:firstColumn="0" w:lastColumn="0" w:noHBand="0" w:noVBand="0" w:val="0020"/>
      </w:tblPr>
      <w:tblGrid>
        <w:gridCol w:w="1991"/>
        <w:gridCol w:w="668"/>
        <w:gridCol w:w="948"/>
        <w:gridCol w:w="668"/>
        <w:gridCol w:w="853"/>
        <w:gridCol w:w="668"/>
        <w:gridCol w:w="1232"/>
        <w:gridCol w:w="1137"/>
        <w:gridCol w:w="673"/>
      </w:tblGrid>
      <w:tr>
        <w:trPr>
          <w:tblHeader w:val="on"/>
        </w:trPr>
        <w:tc>
          <w:tcPr>
            <w:tcW w:type="dxa" w:w="1991"/>
          </w:tcPr>
          <w:p>
            <w:pPr>
              <w:pStyle w:val="Compact"/>
              <w:jc w:val="left"/>
            </w:pPr>
            <w:r>
              <w:rPr>
                <w:b/>
              </w:rPr>
              <w:t>Modelo</w:t>
            </w:r>
          </w:p>
        </w:tc>
        <w:tc>
          <w:tcPr>
            <w:tcW w:type="dxa" w:w="668"/>
          </w:tcPr>
          <w:p>
            <w:pPr>
              <w:pStyle w:val="Compact"/>
              <w:jc w:val="left"/>
            </w:pPr>
            <w:r>
              <w:rPr>
                <w:b/>
              </w:rPr>
              <w:t>Tipo</w:t>
            </w:r>
          </w:p>
        </w:tc>
        <w:tc>
          <w:tcPr>
            <w:tcW w:type="dxa" w:w="948"/>
          </w:tcPr>
          <w:p>
            <w:pPr>
              <w:pStyle w:val="Compact"/>
              <w:jc w:val="left"/>
            </w:pPr>
            <w:r>
              <w:rPr>
                <w:b/>
              </w:rPr>
              <w:t>Parámetros</w:t>
            </w:r>
          </w:p>
        </w:tc>
        <w:tc>
          <w:tcPr>
            <w:tcW w:type="dxa" w:w="668"/>
          </w:tcPr>
          <w:p>
            <w:pPr>
              <w:pStyle w:val="Compact"/>
              <w:jc w:val="center"/>
            </w:pPr>
            <w:r>
              <w:rPr>
                <w:b/>
              </w:rPr>
              <w:t>F1</w:t>
            </w:r>
          </w:p>
        </w:tc>
        <w:tc>
          <w:tcPr>
            <w:tcW w:type="dxa" w:w="853"/>
          </w:tcPr>
          <w:p>
            <w:pPr>
              <w:pStyle w:val="Compact"/>
              <w:jc w:val="center"/>
            </w:pPr>
            <w:r>
              <w:rPr>
                <w:b/>
              </w:rPr>
              <w:t>Precisión</w:t>
            </w:r>
          </w:p>
        </w:tc>
        <w:tc>
          <w:tcPr>
            <w:tcW w:type="dxa" w:w="668"/>
          </w:tcPr>
          <w:p>
            <w:pPr>
              <w:pStyle w:val="Compact"/>
              <w:jc w:val="left"/>
            </w:pPr>
            <w:r>
              <w:rPr>
                <w:b/>
              </w:rPr>
              <w:t>Recall</w:t>
            </w:r>
          </w:p>
        </w:tc>
        <w:tc>
          <w:tcPr>
            <w:tcW w:type="dxa" w:w="1232"/>
          </w:tcPr>
          <w:p>
            <w:pPr>
              <w:pStyle w:val="Compact"/>
              <w:jc w:val="left"/>
            </w:pPr>
            <w:r>
              <w:rPr>
                <w:b/>
              </w:rPr>
              <w:t>Hallucination</w:t>
            </w:r>
          </w:p>
        </w:tc>
        <w:tc>
          <w:tcPr>
            <w:tcW w:type="dxa" w:w="1137"/>
          </w:tcPr>
          <w:p>
            <w:pPr>
              <w:pStyle w:val="Compact"/>
              <w:jc w:val="left"/>
            </w:pPr>
            <w:r>
              <w:rPr>
                <w:b/>
              </w:rPr>
              <w:t>Latencia (s)</w:t>
            </w:r>
          </w:p>
        </w:tc>
        <w:tc>
          <w:tcPr>
            <w:tcW w:type="dxa" w:w="673"/>
          </w:tcPr>
          <w:p>
            <w:pPr>
              <w:pStyle w:val="Compact"/>
              <w:jc w:val="left"/>
            </w:pPr>
            <w:r>
              <w:rPr>
                <w:b/>
              </w:rPr>
              <w:t>Tok/s/B</w:t>
            </w:r>
          </w:p>
        </w:tc>
      </w:tr>
      <w:tr>
        <w:tc>
          <w:tcPr>
            <w:tcW w:type="dxa" w:w="1991"/>
          </w:tcPr>
          <w:p>
            <w:pPr>
              <w:pStyle w:val="Compact"/>
              <w:jc w:val="left"/>
            </w:pPr>
            <w:r>
              <w:rPr>
                <w:b w:val="0"/>
              </w:rPr>
              <w:t>gemma4:latest (FS-ES)</w:t>
            </w:r>
          </w:p>
        </w:tc>
        <w:tc>
          <w:tcPr>
            <w:tcW w:type="dxa" w:w="668"/>
          </w:tcPr>
          <w:p>
            <w:pPr>
              <w:pStyle w:val="Compact"/>
              <w:jc w:val="left"/>
            </w:pPr>
            <w:r>
              <w:rPr>
                <w:b w:val="0"/>
              </w:rPr>
              <w:t>Local</w:t>
            </w:r>
          </w:p>
        </w:tc>
        <w:tc>
          <w:tcPr>
            <w:tcW w:type="dxa" w:w="948"/>
          </w:tcPr>
          <w:p>
            <w:pPr>
              <w:pStyle w:val="Compact"/>
              <w:jc w:val="left"/>
            </w:pPr>
            <w:r>
              <w:rPr>
                <w:b w:val="0"/>
              </w:rPr>
              <w:t>9B</w:t>
            </w:r>
          </w:p>
        </w:tc>
        <w:tc>
          <w:tcPr>
            <w:tcW w:type="dxa" w:w="668"/>
          </w:tcPr>
          <w:p>
            <w:pPr>
              <w:pStyle w:val="Compact"/>
              <w:jc w:val="center"/>
            </w:pPr>
            <w:r>
              <w:rPr>
                <w:b/>
              </w:rPr>
              <w:t>74.44%</w:t>
            </w:r>
          </w:p>
        </w:tc>
        <w:tc>
          <w:tcPr>
            <w:tcW w:type="dxa" w:w="853"/>
          </w:tcPr>
          <w:p>
            <w:pPr>
              <w:pStyle w:val="Compact"/>
              <w:jc w:val="center"/>
            </w:pPr>
            <w:r>
              <w:rPr>
                <w:b w:val="0"/>
              </w:rPr>
              <w:t>66.78%</w:t>
            </w:r>
          </w:p>
        </w:tc>
        <w:tc>
          <w:tcPr>
            <w:tcW w:type="dxa" w:w="668"/>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673"/>
          </w:tcPr>
          <w:p>
            <w:pPr>
              <w:pStyle w:val="Compact"/>
              <w:jc w:val="left"/>
            </w:pPr>
            <w:r>
              <w:rPr>
                <w:b w:val="0"/>
              </w:rPr>
              <w:t>5.33</w:t>
            </w:r>
          </w:p>
        </w:tc>
      </w:tr>
      <w:tr>
        <w:tc>
          <w:tcPr>
            <w:tcW w:type="dxa" w:w="1991"/>
          </w:tcPr>
          <w:p>
            <w:pPr>
              <w:pStyle w:val="Compact"/>
              <w:jc w:val="left"/>
            </w:pPr>
            <w:r>
              <w:rPr>
                <w:b/>
              </w:rPr>
              <w:t>gemma4:31b</w:t>
            </w:r>
          </w:p>
        </w:tc>
        <w:tc>
          <w:tcPr>
            <w:tcW w:type="dxa" w:w="668"/>
          </w:tcPr>
          <w:p>
            <w:pPr>
              <w:pStyle w:val="Compact"/>
              <w:jc w:val="left"/>
            </w:pPr>
            <w:r>
              <w:rPr>
                <w:b w:val="0"/>
              </w:rPr>
              <w:t>Local</w:t>
            </w:r>
          </w:p>
        </w:tc>
        <w:tc>
          <w:tcPr>
            <w:tcW w:type="dxa" w:w="948"/>
          </w:tcPr>
          <w:p>
            <w:pPr>
              <w:pStyle w:val="Compact"/>
              <w:jc w:val="left"/>
            </w:pPr>
            <w:r>
              <w:rPr>
                <w:b w:val="0"/>
              </w:rPr>
              <w:t>31B</w:t>
            </w:r>
          </w:p>
        </w:tc>
        <w:tc>
          <w:tcPr>
            <w:tcW w:type="dxa" w:w="668"/>
          </w:tcPr>
          <w:p>
            <w:pPr>
              <w:pStyle w:val="Compact"/>
              <w:jc w:val="center"/>
            </w:pPr>
            <w:r>
              <w:rPr>
                <w:b w:val="0"/>
              </w:rPr>
              <w:t>69.12%</w:t>
            </w:r>
          </w:p>
        </w:tc>
        <w:tc>
          <w:tcPr>
            <w:tcW w:type="dxa" w:w="853"/>
          </w:tcPr>
          <w:p>
            <w:pPr>
              <w:pStyle w:val="Compact"/>
              <w:jc w:val="center"/>
            </w:pPr>
            <w:r>
              <w:rPr>
                <w:b w:val="0"/>
              </w:rPr>
              <w:t>58.83%</w:t>
            </w:r>
          </w:p>
        </w:tc>
        <w:tc>
          <w:tcPr>
            <w:tcW w:type="dxa" w:w="668"/>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673"/>
          </w:tcPr>
          <w:p>
            <w:pPr>
              <w:pStyle w:val="Compact"/>
              <w:jc w:val="left"/>
            </w:pPr>
            <w:r>
              <w:rPr>
                <w:b w:val="0"/>
              </w:rPr>
              <w:t>0.33</w:t>
            </w:r>
          </w:p>
        </w:tc>
      </w:tr>
      <w:tr>
        <w:tc>
          <w:tcPr>
            <w:tcW w:type="dxa" w:w="1991"/>
          </w:tcPr>
          <w:p>
            <w:pPr>
              <w:pStyle w:val="Compact"/>
              <w:jc w:val="left"/>
            </w:pPr>
            <w:r>
              <w:rPr>
                <w:b w:val="0"/>
              </w:rPr>
              <w:t>gemma4:31b-mlx</w:t>
            </w:r>
          </w:p>
        </w:tc>
        <w:tc>
          <w:tcPr>
            <w:tcW w:type="dxa" w:w="668"/>
          </w:tcPr>
          <w:p>
            <w:pPr>
              <w:pStyle w:val="Compact"/>
              <w:jc w:val="left"/>
            </w:pPr>
            <w:r>
              <w:rPr>
                <w:b w:val="0"/>
              </w:rPr>
              <w:t>Local</w:t>
            </w:r>
          </w:p>
        </w:tc>
        <w:tc>
          <w:tcPr>
            <w:tcW w:type="dxa" w:w="948"/>
          </w:tcPr>
          <w:p>
            <w:pPr>
              <w:pStyle w:val="Compact"/>
              <w:jc w:val="left"/>
            </w:pPr>
            <w:r>
              <w:rPr>
                <w:b w:val="0"/>
              </w:rPr>
              <w:t>31B</w:t>
            </w:r>
          </w:p>
        </w:tc>
        <w:tc>
          <w:tcPr>
            <w:tcW w:type="dxa" w:w="668"/>
          </w:tcPr>
          <w:p>
            <w:pPr>
              <w:pStyle w:val="Compact"/>
              <w:jc w:val="center"/>
            </w:pPr>
            <w:r>
              <w:rPr>
                <w:b w:val="0"/>
              </w:rPr>
              <w:t>68.52%</w:t>
            </w:r>
          </w:p>
        </w:tc>
        <w:tc>
          <w:tcPr>
            <w:tcW w:type="dxa" w:w="853"/>
          </w:tcPr>
          <w:p>
            <w:pPr>
              <w:pStyle w:val="Compact"/>
              <w:jc w:val="center"/>
            </w:pPr>
            <w:r>
              <w:rPr>
                <w:b w:val="0"/>
              </w:rPr>
              <w:t>58.31%</w:t>
            </w:r>
          </w:p>
        </w:tc>
        <w:tc>
          <w:tcPr>
            <w:tcW w:type="dxa" w:w="668"/>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673"/>
          </w:tcPr>
          <w:p>
            <w:pPr>
              <w:pStyle w:val="Compact"/>
              <w:jc w:val="left"/>
            </w:pPr>
            <w:r>
              <w:rPr>
                <w:b w:val="0"/>
              </w:rPr>
              <w:t>0.74</w:t>
            </w:r>
          </w:p>
        </w:tc>
      </w:tr>
      <w:tr>
        <w:tc>
          <w:tcPr>
            <w:tcW w:type="dxa" w:w="1991"/>
          </w:tcPr>
          <w:p>
            <w:pPr>
              <w:pStyle w:val="Compact"/>
              <w:jc w:val="left"/>
            </w:pPr>
            <w:r>
              <w:rPr>
                <w:b w:val="0"/>
              </w:rPr>
              <w:t>gemma4:latest (ZS-ES)</w:t>
            </w:r>
          </w:p>
        </w:tc>
        <w:tc>
          <w:tcPr>
            <w:tcW w:type="dxa" w:w="668"/>
          </w:tcPr>
          <w:p>
            <w:pPr>
              <w:pStyle w:val="Compact"/>
              <w:jc w:val="left"/>
            </w:pPr>
            <w:r>
              <w:rPr>
                <w:b w:val="0"/>
              </w:rPr>
              <w:t>Local</w:t>
            </w:r>
          </w:p>
        </w:tc>
        <w:tc>
          <w:tcPr>
            <w:tcW w:type="dxa" w:w="948"/>
          </w:tcPr>
          <w:p>
            <w:pPr>
              <w:pStyle w:val="Compact"/>
              <w:jc w:val="left"/>
            </w:pPr>
            <w:r>
              <w:rPr>
                <w:b w:val="0"/>
              </w:rPr>
              <w:t>9B</w:t>
            </w:r>
          </w:p>
        </w:tc>
        <w:tc>
          <w:tcPr>
            <w:tcW w:type="dxa" w:w="668"/>
          </w:tcPr>
          <w:p>
            <w:pPr>
              <w:pStyle w:val="Compact"/>
              <w:jc w:val="center"/>
            </w:pPr>
            <w:r>
              <w:rPr>
                <w:b w:val="0"/>
              </w:rPr>
              <w:t>68.43%</w:t>
            </w:r>
          </w:p>
        </w:tc>
        <w:tc>
          <w:tcPr>
            <w:tcW w:type="dxa" w:w="853"/>
          </w:tcPr>
          <w:p>
            <w:pPr>
              <w:pStyle w:val="Compact"/>
              <w:jc w:val="center"/>
            </w:pPr>
            <w:r>
              <w:rPr>
                <w:b w:val="0"/>
              </w:rPr>
              <w:t>60.68%</w:t>
            </w:r>
          </w:p>
        </w:tc>
        <w:tc>
          <w:tcPr>
            <w:tcW w:type="dxa" w:w="668"/>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673"/>
          </w:tcPr>
          <w:p>
            <w:pPr>
              <w:pStyle w:val="Compact"/>
              <w:jc w:val="left"/>
            </w:pPr>
            <w:r>
              <w:rPr>
                <w:b w:val="0"/>
              </w:rPr>
              <w:t>5.33</w:t>
            </w:r>
          </w:p>
        </w:tc>
      </w:tr>
      <w:tr>
        <w:tc>
          <w:tcPr>
            <w:tcW w:type="dxa" w:w="1991"/>
          </w:tcPr>
          <w:p>
            <w:pPr>
              <w:pStyle w:val="Compact"/>
              <w:jc w:val="left"/>
            </w:pPr>
            <w:r>
              <w:rPr>
                <w:b w:val="0"/>
              </w:rPr>
              <w:t>gemma4:31b-cloud</w:t>
            </w:r>
          </w:p>
        </w:tc>
        <w:tc>
          <w:tcPr>
            <w:tcW w:type="dxa" w:w="668"/>
          </w:tcPr>
          <w:p>
            <w:pPr>
              <w:pStyle w:val="Compact"/>
              <w:jc w:val="left"/>
            </w:pPr>
            <w:r>
              <w:rPr>
                <w:b w:val="0"/>
              </w:rPr>
              <w:t>Cloud</w:t>
            </w:r>
          </w:p>
        </w:tc>
        <w:tc>
          <w:tcPr>
            <w:tcW w:type="dxa" w:w="948"/>
          </w:tcPr>
          <w:p>
            <w:pPr>
              <w:pStyle w:val="Compact"/>
              <w:jc w:val="left"/>
            </w:pPr>
            <w:r>
              <w:rPr>
                <w:b w:val="0"/>
              </w:rPr>
              <w:t>31B</w:t>
            </w:r>
          </w:p>
        </w:tc>
        <w:tc>
          <w:tcPr>
            <w:tcW w:type="dxa" w:w="668"/>
          </w:tcPr>
          <w:p>
            <w:pPr>
              <w:pStyle w:val="Compact"/>
              <w:jc w:val="center"/>
            </w:pPr>
            <w:r>
              <w:rPr>
                <w:b w:val="0"/>
              </w:rPr>
              <w:t>66.99%</w:t>
            </w:r>
          </w:p>
        </w:tc>
        <w:tc>
          <w:tcPr>
            <w:tcW w:type="dxa" w:w="853"/>
          </w:tcPr>
          <w:p>
            <w:pPr>
              <w:pStyle w:val="Compact"/>
              <w:jc w:val="center"/>
            </w:pPr>
            <w:r>
              <w:rPr>
                <w:b w:val="0"/>
              </w:rPr>
              <w:t>55.46%</w:t>
            </w:r>
          </w:p>
        </w:tc>
        <w:tc>
          <w:tcPr>
            <w:tcW w:type="dxa" w:w="668"/>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673"/>
          </w:tcPr>
          <w:p>
            <w:pPr>
              <w:pStyle w:val="Compact"/>
              <w:jc w:val="left"/>
            </w:pPr>
            <w:r>
              <w:rPr>
                <w:b w:val="0"/>
              </w:rPr>
              <w:t>—</w:t>
            </w:r>
          </w:p>
        </w:tc>
      </w:tr>
      <w:tr>
        <w:tc>
          <w:tcPr>
            <w:tcW w:type="dxa" w:w="1991"/>
          </w:tcPr>
          <w:p>
            <w:pPr>
              <w:pStyle w:val="Compact"/>
              <w:jc w:val="left"/>
            </w:pPr>
            <w:r>
              <w:rPr>
                <w:b w:val="0"/>
              </w:rPr>
              <w:t>llama3.2:latest</w:t>
            </w:r>
          </w:p>
        </w:tc>
        <w:tc>
          <w:tcPr>
            <w:tcW w:type="dxa" w:w="668"/>
          </w:tcPr>
          <w:p>
            <w:pPr>
              <w:pStyle w:val="Compact"/>
              <w:jc w:val="left"/>
            </w:pPr>
            <w:r>
              <w:rPr>
                <w:b w:val="0"/>
              </w:rPr>
              <w:t>Local</w:t>
            </w:r>
          </w:p>
        </w:tc>
        <w:tc>
          <w:tcPr>
            <w:tcW w:type="dxa" w:w="948"/>
          </w:tcPr>
          <w:p>
            <w:pPr>
              <w:pStyle w:val="Compact"/>
              <w:jc w:val="left"/>
            </w:pPr>
            <w:r>
              <w:rPr>
                <w:b w:val="0"/>
              </w:rPr>
              <w:t>3B</w:t>
            </w:r>
          </w:p>
        </w:tc>
        <w:tc>
          <w:tcPr>
            <w:tcW w:type="dxa" w:w="668"/>
          </w:tcPr>
          <w:p>
            <w:pPr>
              <w:pStyle w:val="Compact"/>
              <w:jc w:val="center"/>
            </w:pPr>
            <w:r>
              <w:rPr>
                <w:b w:val="0"/>
              </w:rPr>
              <w:t>63.19%</w:t>
            </w:r>
          </w:p>
        </w:tc>
        <w:tc>
          <w:tcPr>
            <w:tcW w:type="dxa" w:w="853"/>
          </w:tcPr>
          <w:p>
            <w:pPr>
              <w:pStyle w:val="Compact"/>
              <w:jc w:val="center"/>
            </w:pPr>
            <w:r>
              <w:rPr>
                <w:b w:val="0"/>
              </w:rPr>
              <w:t>62.82%</w:t>
            </w:r>
          </w:p>
        </w:tc>
        <w:tc>
          <w:tcPr>
            <w:tcW w:type="dxa" w:w="668"/>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673"/>
          </w:tcPr>
          <w:p>
            <w:pPr>
              <w:pStyle w:val="Compact"/>
              <w:jc w:val="left"/>
            </w:pPr>
            <w:r>
              <w:rPr>
                <w:b w:val="0"/>
              </w:rPr>
              <w:t>26.44</w:t>
            </w:r>
          </w:p>
        </w:tc>
      </w:tr>
      <w:tr>
        <w:tc>
          <w:tcPr>
            <w:tcW w:type="dxa" w:w="1991"/>
          </w:tcPr>
          <w:p>
            <w:pPr>
              <w:pStyle w:val="Compact"/>
              <w:jc w:val="left"/>
            </w:pPr>
            <w:r>
              <w:rPr>
                <w:b w:val="0"/>
              </w:rPr>
              <w:t>gemma:latest</w:t>
            </w:r>
          </w:p>
        </w:tc>
        <w:tc>
          <w:tcPr>
            <w:tcW w:type="dxa" w:w="668"/>
          </w:tcPr>
          <w:p>
            <w:pPr>
              <w:pStyle w:val="Compact"/>
              <w:jc w:val="left"/>
            </w:pPr>
            <w:r>
              <w:rPr>
                <w:b w:val="0"/>
              </w:rPr>
              <w:t>Local</w:t>
            </w:r>
          </w:p>
        </w:tc>
        <w:tc>
          <w:tcPr>
            <w:tcW w:type="dxa" w:w="948"/>
          </w:tcPr>
          <w:p>
            <w:pPr>
              <w:pStyle w:val="Compact"/>
              <w:jc w:val="left"/>
            </w:pPr>
            <w:r>
              <w:rPr>
                <w:b w:val="0"/>
              </w:rPr>
              <w:t>7B</w:t>
            </w:r>
          </w:p>
        </w:tc>
        <w:tc>
          <w:tcPr>
            <w:tcW w:type="dxa" w:w="668"/>
          </w:tcPr>
          <w:p>
            <w:pPr>
              <w:pStyle w:val="Compact"/>
              <w:jc w:val="center"/>
            </w:pPr>
            <w:r>
              <w:rPr>
                <w:b w:val="0"/>
              </w:rPr>
              <w:t>62.66%</w:t>
            </w:r>
          </w:p>
        </w:tc>
        <w:tc>
          <w:tcPr>
            <w:tcW w:type="dxa" w:w="853"/>
          </w:tcPr>
          <w:p>
            <w:pPr>
              <w:pStyle w:val="Compact"/>
              <w:jc w:val="center"/>
            </w:pPr>
            <w:r>
              <w:rPr>
                <w:b w:val="0"/>
              </w:rPr>
              <w:t>58.47%</w:t>
            </w:r>
          </w:p>
        </w:tc>
        <w:tc>
          <w:tcPr>
            <w:tcW w:type="dxa" w:w="668"/>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673"/>
          </w:tcPr>
          <w:p>
            <w:pPr>
              <w:pStyle w:val="Compact"/>
              <w:jc w:val="left"/>
            </w:pPr>
            <w:r>
              <w:rPr>
                <w:b w:val="0"/>
              </w:rPr>
              <w:t>5.17</w:t>
            </w:r>
          </w:p>
        </w:tc>
      </w:tr>
      <w:tr>
        <w:tc>
          <w:tcPr>
            <w:tcW w:type="dxa" w:w="1991"/>
          </w:tcPr>
          <w:p>
            <w:pPr>
              <w:pStyle w:val="Compact"/>
              <w:jc w:val="left"/>
            </w:pPr>
            <w:r>
              <w:rPr>
                <w:b w:val="0"/>
              </w:rPr>
              <w:t>qwen2.5:14b</w:t>
            </w:r>
          </w:p>
        </w:tc>
        <w:tc>
          <w:tcPr>
            <w:tcW w:type="dxa" w:w="668"/>
          </w:tcPr>
          <w:p>
            <w:pPr>
              <w:pStyle w:val="Compact"/>
              <w:jc w:val="left"/>
            </w:pPr>
            <w:r>
              <w:rPr>
                <w:b w:val="0"/>
              </w:rPr>
              <w:t>Local</w:t>
            </w:r>
          </w:p>
        </w:tc>
        <w:tc>
          <w:tcPr>
            <w:tcW w:type="dxa" w:w="948"/>
          </w:tcPr>
          <w:p>
            <w:pPr>
              <w:pStyle w:val="Compact"/>
              <w:jc w:val="left"/>
            </w:pPr>
            <w:r>
              <w:rPr>
                <w:b w:val="0"/>
              </w:rPr>
              <w:t>14B</w:t>
            </w:r>
          </w:p>
        </w:tc>
        <w:tc>
          <w:tcPr>
            <w:tcW w:type="dxa" w:w="668"/>
          </w:tcPr>
          <w:p>
            <w:pPr>
              <w:pStyle w:val="Compact"/>
              <w:jc w:val="center"/>
            </w:pPr>
            <w:r>
              <w:rPr>
                <w:b w:val="0"/>
              </w:rPr>
              <w:t>61.06%</w:t>
            </w:r>
          </w:p>
        </w:tc>
        <w:tc>
          <w:tcPr>
            <w:tcW w:type="dxa" w:w="853"/>
          </w:tcPr>
          <w:p>
            <w:pPr>
              <w:pStyle w:val="Compact"/>
              <w:jc w:val="center"/>
            </w:pPr>
            <w:r>
              <w:rPr>
                <w:b w:val="0"/>
              </w:rPr>
              <w:t>57.60%</w:t>
            </w:r>
          </w:p>
        </w:tc>
        <w:tc>
          <w:tcPr>
            <w:tcW w:type="dxa" w:w="668"/>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673"/>
          </w:tcPr>
          <w:p>
            <w:pPr>
              <w:pStyle w:val="Compact"/>
              <w:jc w:val="left"/>
            </w:pPr>
            <w:r>
              <w:rPr>
                <w:b w:val="0"/>
              </w:rPr>
              <w:t>1.57</w:t>
            </w:r>
          </w:p>
        </w:tc>
      </w:tr>
      <w:tr>
        <w:tc>
          <w:tcPr>
            <w:tcW w:type="dxa" w:w="1991"/>
          </w:tcPr>
          <w:p>
            <w:pPr>
              <w:pStyle w:val="Compact"/>
              <w:jc w:val="left"/>
            </w:pPr>
            <w:r>
              <w:rPr>
                <w:b w:val="0"/>
              </w:rPr>
              <w:t>llama3.1:8b</w:t>
            </w:r>
          </w:p>
        </w:tc>
        <w:tc>
          <w:tcPr>
            <w:tcW w:type="dxa" w:w="668"/>
          </w:tcPr>
          <w:p>
            <w:pPr>
              <w:pStyle w:val="Compact"/>
              <w:jc w:val="left"/>
            </w:pPr>
            <w:r>
              <w:rPr>
                <w:b w:val="0"/>
              </w:rPr>
              <w:t>Local</w:t>
            </w:r>
          </w:p>
        </w:tc>
        <w:tc>
          <w:tcPr>
            <w:tcW w:type="dxa" w:w="948"/>
          </w:tcPr>
          <w:p>
            <w:pPr>
              <w:pStyle w:val="Compact"/>
              <w:jc w:val="left"/>
            </w:pPr>
            <w:r>
              <w:rPr>
                <w:b w:val="0"/>
              </w:rPr>
              <w:t>8B</w:t>
            </w:r>
          </w:p>
        </w:tc>
        <w:tc>
          <w:tcPr>
            <w:tcW w:type="dxa" w:w="668"/>
          </w:tcPr>
          <w:p>
            <w:pPr>
              <w:pStyle w:val="Compact"/>
              <w:jc w:val="center"/>
            </w:pPr>
            <w:r>
              <w:rPr>
                <w:b w:val="0"/>
              </w:rPr>
              <w:t>60.72%</w:t>
            </w:r>
          </w:p>
        </w:tc>
        <w:tc>
          <w:tcPr>
            <w:tcW w:type="dxa" w:w="853"/>
          </w:tcPr>
          <w:p>
            <w:pPr>
              <w:pStyle w:val="Compact"/>
              <w:jc w:val="center"/>
            </w:pPr>
            <w:r>
              <w:rPr>
                <w:b w:val="0"/>
              </w:rPr>
              <w:t>53.70%</w:t>
            </w:r>
          </w:p>
        </w:tc>
        <w:tc>
          <w:tcPr>
            <w:tcW w:type="dxa" w:w="668"/>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673"/>
          </w:tcPr>
          <w:p>
            <w:pPr>
              <w:pStyle w:val="Compact"/>
              <w:jc w:val="left"/>
            </w:pPr>
            <w:r>
              <w:rPr>
                <w:b w:val="0"/>
              </w:rPr>
              <w:t>5.03</w:t>
            </w:r>
          </w:p>
        </w:tc>
      </w:tr>
      <w:tr>
        <w:tc>
          <w:tcPr>
            <w:tcW w:type="dxa" w:w="1991"/>
          </w:tcPr>
          <w:p>
            <w:pPr>
              <w:pStyle w:val="Compact"/>
              <w:jc w:val="left"/>
            </w:pPr>
            <w:r>
              <w:rPr>
                <w:b w:val="0"/>
              </w:rPr>
              <w:t>qwen3:8b</w:t>
            </w:r>
          </w:p>
        </w:tc>
        <w:tc>
          <w:tcPr>
            <w:tcW w:type="dxa" w:w="668"/>
          </w:tcPr>
          <w:p>
            <w:pPr>
              <w:pStyle w:val="Compact"/>
              <w:jc w:val="left"/>
            </w:pPr>
            <w:r>
              <w:rPr>
                <w:b w:val="0"/>
              </w:rPr>
              <w:t>Local</w:t>
            </w:r>
          </w:p>
        </w:tc>
        <w:tc>
          <w:tcPr>
            <w:tcW w:type="dxa" w:w="948"/>
          </w:tcPr>
          <w:p>
            <w:pPr>
              <w:pStyle w:val="Compact"/>
              <w:jc w:val="left"/>
            </w:pPr>
            <w:r>
              <w:rPr>
                <w:b w:val="0"/>
              </w:rPr>
              <w:t>8B</w:t>
            </w:r>
          </w:p>
        </w:tc>
        <w:tc>
          <w:tcPr>
            <w:tcW w:type="dxa" w:w="668"/>
          </w:tcPr>
          <w:p>
            <w:pPr>
              <w:pStyle w:val="Compact"/>
              <w:jc w:val="center"/>
            </w:pPr>
            <w:r>
              <w:rPr>
                <w:b w:val="0"/>
              </w:rPr>
              <w:t>53.65%</w:t>
            </w:r>
          </w:p>
        </w:tc>
        <w:tc>
          <w:tcPr>
            <w:tcW w:type="dxa" w:w="853"/>
          </w:tcPr>
          <w:p>
            <w:pPr>
              <w:pStyle w:val="Compact"/>
              <w:jc w:val="center"/>
            </w:pPr>
            <w:r>
              <w:rPr>
                <w:b w:val="0"/>
              </w:rPr>
              <w:t>46.75%</w:t>
            </w:r>
          </w:p>
        </w:tc>
        <w:tc>
          <w:tcPr>
            <w:tcW w:type="dxa" w:w="668"/>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673"/>
          </w:tcPr>
          <w:p>
            <w:pPr>
              <w:pStyle w:val="Compact"/>
              <w:jc w:val="left"/>
            </w:pPr>
            <w:r>
              <w:rPr>
                <w:b w:val="0"/>
              </w:rPr>
              <w:t>4.56</w:t>
            </w:r>
          </w:p>
        </w:tc>
      </w:tr>
      <w:tr>
        <w:tc>
          <w:tcPr>
            <w:tcW w:type="dxa" w:w="1991"/>
          </w:tcPr>
          <w:p>
            <w:pPr>
              <w:pStyle w:val="Compact"/>
              <w:jc w:val="left"/>
            </w:pPr>
            <w:r>
              <w:rPr>
                <w:b w:val="0"/>
              </w:rPr>
              <w:t>mistral-nemo:latest</w:t>
            </w:r>
          </w:p>
        </w:tc>
        <w:tc>
          <w:tcPr>
            <w:tcW w:type="dxa" w:w="668"/>
          </w:tcPr>
          <w:p>
            <w:pPr>
              <w:pStyle w:val="Compact"/>
              <w:jc w:val="left"/>
            </w:pPr>
            <w:r>
              <w:rPr>
                <w:b w:val="0"/>
              </w:rPr>
              <w:t>Local</w:t>
            </w:r>
          </w:p>
        </w:tc>
        <w:tc>
          <w:tcPr>
            <w:tcW w:type="dxa" w:w="948"/>
          </w:tcPr>
          <w:p>
            <w:pPr>
              <w:pStyle w:val="Compact"/>
              <w:jc w:val="left"/>
            </w:pPr>
            <w:r>
              <w:rPr>
                <w:b w:val="0"/>
              </w:rPr>
              <w:t>12B</w:t>
            </w:r>
          </w:p>
        </w:tc>
        <w:tc>
          <w:tcPr>
            <w:tcW w:type="dxa" w:w="668"/>
          </w:tcPr>
          <w:p>
            <w:pPr>
              <w:pStyle w:val="Compact"/>
              <w:jc w:val="center"/>
            </w:pPr>
            <w:r>
              <w:rPr>
                <w:b w:val="0"/>
              </w:rPr>
              <w:t>53.07%</w:t>
            </w:r>
          </w:p>
        </w:tc>
        <w:tc>
          <w:tcPr>
            <w:tcW w:type="dxa" w:w="853"/>
          </w:tcPr>
          <w:p>
            <w:pPr>
              <w:pStyle w:val="Compact"/>
              <w:jc w:val="center"/>
            </w:pPr>
            <w:r>
              <w:rPr>
                <w:b w:val="0"/>
              </w:rPr>
              <w:t>58.13%</w:t>
            </w:r>
          </w:p>
        </w:tc>
        <w:tc>
          <w:tcPr>
            <w:tcW w:type="dxa" w:w="668"/>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673"/>
          </w:tcPr>
          <w:p>
            <w:pPr>
              <w:pStyle w:val="Compact"/>
              <w:jc w:val="left"/>
            </w:pPr>
            <w:r>
              <w:rPr>
                <w:b w:val="0"/>
              </w:rPr>
              <w:t>2.36</w:t>
            </w:r>
          </w:p>
        </w:tc>
      </w:tr>
      <w:tr>
        <w:tc>
          <w:tcPr>
            <w:tcW w:type="dxa" w:w="1991"/>
          </w:tcPr>
          <w:p>
            <w:pPr>
              <w:pStyle w:val="Compact"/>
              <w:jc w:val="left"/>
            </w:pPr>
            <w:r>
              <w:rPr>
                <w:b w:val="0"/>
              </w:rPr>
              <w:t>nemotron-mini:4b</w:t>
            </w:r>
          </w:p>
        </w:tc>
        <w:tc>
          <w:tcPr>
            <w:tcW w:type="dxa" w:w="668"/>
          </w:tcPr>
          <w:p>
            <w:pPr>
              <w:pStyle w:val="Compact"/>
              <w:jc w:val="left"/>
            </w:pPr>
            <w:r>
              <w:rPr>
                <w:b w:val="0"/>
              </w:rPr>
              <w:t>Local</w:t>
            </w:r>
          </w:p>
        </w:tc>
        <w:tc>
          <w:tcPr>
            <w:tcW w:type="dxa" w:w="948"/>
          </w:tcPr>
          <w:p>
            <w:pPr>
              <w:pStyle w:val="Compact"/>
              <w:jc w:val="left"/>
            </w:pPr>
            <w:r>
              <w:rPr>
                <w:b w:val="0"/>
              </w:rPr>
              <w:t>4B</w:t>
            </w:r>
          </w:p>
        </w:tc>
        <w:tc>
          <w:tcPr>
            <w:tcW w:type="dxa" w:w="668"/>
          </w:tcPr>
          <w:p>
            <w:pPr>
              <w:pStyle w:val="Compact"/>
              <w:jc w:val="center"/>
            </w:pPr>
            <w:r>
              <w:rPr>
                <w:b w:val="0"/>
              </w:rPr>
              <w:t>35.33%</w:t>
            </w:r>
          </w:p>
        </w:tc>
        <w:tc>
          <w:tcPr>
            <w:tcW w:type="dxa" w:w="853"/>
          </w:tcPr>
          <w:p>
            <w:pPr>
              <w:pStyle w:val="Compact"/>
              <w:jc w:val="center"/>
            </w:pPr>
            <w:r>
              <w:rPr>
                <w:b w:val="0"/>
              </w:rPr>
              <w:t>44.37%</w:t>
            </w:r>
          </w:p>
        </w:tc>
        <w:tc>
          <w:tcPr>
            <w:tcW w:type="dxa" w:w="668"/>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673"/>
          </w:tcPr>
          <w:p>
            <w:pPr>
              <w:pStyle w:val="Compact"/>
              <w:jc w:val="left"/>
            </w:pPr>
            <w:r>
              <w:rPr>
                <w:b w:val="0"/>
              </w:rPr>
              <w:t>17.08</w:t>
            </w:r>
          </w:p>
        </w:tc>
      </w:tr>
      <w:tr>
        <w:tc>
          <w:tcPr>
            <w:tcW w:type="dxa" w:w="1991"/>
          </w:tcPr>
          <w:p>
            <w:pPr>
              <w:pStyle w:val="Compact"/>
              <w:jc w:val="left"/>
            </w:pPr>
            <w:r>
              <w:rPr>
                <w:b w:val="0"/>
              </w:rPr>
              <w:t>deepseek-r1:1.5b</w:t>
            </w:r>
          </w:p>
        </w:tc>
        <w:tc>
          <w:tcPr>
            <w:tcW w:type="dxa" w:w="668"/>
          </w:tcPr>
          <w:p>
            <w:pPr>
              <w:pStyle w:val="Compact"/>
              <w:jc w:val="left"/>
            </w:pPr>
            <w:r>
              <w:rPr>
                <w:b w:val="0"/>
              </w:rPr>
              <w:t>Local</w:t>
            </w:r>
          </w:p>
        </w:tc>
        <w:tc>
          <w:tcPr>
            <w:tcW w:type="dxa" w:w="948"/>
          </w:tcPr>
          <w:p>
            <w:pPr>
              <w:pStyle w:val="Compact"/>
              <w:jc w:val="left"/>
            </w:pPr>
            <w:r>
              <w:rPr>
                <w:b w:val="0"/>
              </w:rPr>
              <w:t>1.5B</w:t>
            </w:r>
          </w:p>
        </w:tc>
        <w:tc>
          <w:tcPr>
            <w:tcW w:type="dxa" w:w="668"/>
          </w:tcPr>
          <w:p>
            <w:pPr>
              <w:pStyle w:val="Compact"/>
              <w:jc w:val="center"/>
            </w:pPr>
            <w:r>
              <w:rPr>
                <w:b w:val="0"/>
              </w:rPr>
              <w:t>27.65%</w:t>
            </w:r>
          </w:p>
        </w:tc>
        <w:tc>
          <w:tcPr>
            <w:tcW w:type="dxa" w:w="853"/>
          </w:tcPr>
          <w:p>
            <w:pPr>
              <w:pStyle w:val="Compact"/>
              <w:jc w:val="center"/>
            </w:pPr>
            <w:r>
              <w:rPr>
                <w:b w:val="0"/>
              </w:rPr>
              <w:t>39.49%</w:t>
            </w:r>
          </w:p>
        </w:tc>
        <w:tc>
          <w:tcPr>
            <w:tcW w:type="dxa" w:w="668"/>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673"/>
          </w:tcPr>
          <w:p>
            <w:pPr>
              <w:pStyle w:val="Compact"/>
              <w:jc w:val="left"/>
            </w:pPr>
            <w:r>
              <w:rPr>
                <w:b w:val="0"/>
              </w:rPr>
              <w:t>86.20</w:t>
            </w:r>
          </w:p>
        </w:tc>
      </w:tr>
    </w:tbl>
    <w:p>
      <w:pPr>
        <w:numPr>
          <w:ilvl w:val="0"/>
          <w:numId w:val="0"/>
        </w:numPr>
        <w:pStyle w:val="p1a"/>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w:t>
      </w:r>
      <w:r>
        <w:t>ablacion_n15_REMOTO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el índice Tok/s/B sí lo es. Quedan fuera de la tabla los modelos excluidos del estudio (</w:t>
      </w:r>
      <w:r>
        <w:t>nuextract:latest</w:t>
      </w:r>
      <w:r>
        <w:t xml:space="preserve">, </w:t>
      </w:r>
      <w:r>
        <w:t>gemini-3.1-flash-lite</w:t>
      </w:r>
      <w:r>
        <w:t xml:space="preserve">, </w:t>
      </w:r>
      <w:r>
        <w:t>minimax-m3</w:t>
      </w:r>
      <w:r>
        <w:t>).</w:t>
      </w:r>
    </w:p>
    <w:p>
      <w:pPr>
        <w:numPr>
          <w:ilvl w:val="0"/>
          <w:numId w:val="0"/>
        </w:numPr>
        <w:pStyle w:val="p1a"/>
      </w:pPr>
      <w:r>
        <w:rPr>
          <w:b/>
        </w:rPr>
        <w:t>Hallazgo 1:</w:t>
      </w:r>
      <w:r>
        <w:t xml:space="preserve"> la familia gemma4 copa las cinco primeras posiciones. gemma4:latest con prompt few-shot en español (74.44%) supera a los dos modelos de 31B, a un tercio de su tamaño.</w:t>
      </w:r>
    </w:p>
    <w:p>
      <w:pPr>
        <w:numPr>
          <w:ilvl w:val="0"/>
          <w:numId w:val="0"/>
        </w:numPr>
        <w:pStyle w:val="p1a"/>
      </w:pPr>
      <w:r>
        <w:rPr>
          <w:b/>
        </w:rPr>
        <w:t>Hallazgo 2:</w:t>
      </w:r>
      <w:r>
        <w:t xml:space="preserve"> gemma4:31b lidera en Recall entre los locales (86.80%) con una tasa de alucinación de 0.16%, y su contraparte cloud alcanza un Recall equivalente (86.88%).</w:t>
      </w:r>
    </w:p>
    <w:p>
      <w:pPr>
        <w:numPr>
          <w:ilvl w:val="0"/>
          <w:numId w:val="0"/>
        </w:numPr>
        <w:pStyle w:val="p1a"/>
      </w:pPr>
      <w:r>
        <w:rPr>
          <w:b/>
        </w:rPr>
        <w:t>Hallazgo 3:</w:t>
      </w:r>
      <w:r>
        <w:t xml:space="preserve"> deepseek-r1:1.5b debe descartarse para producción: F1 de 27.65% y Recall de sólo 25.77%.</w:t>
      </w:r>
    </w:p>
    <w:p>
      <w:pPr>
        <w:numPr>
          <w:ilvl w:val="0"/>
          <w:numId w:val="0"/>
        </w:numPr>
        <w:pStyle w:val="p1a"/>
      </w:pPr>
      <w:r>
        <w:rPr>
          <w:b/>
        </w:rPr>
        <w:t>Hallazgo 4:</w:t>
      </w:r>
      <w:r>
        <w:t xml:space="preserve"> el índice de eficiencia de hardware (Tok/s/B) favorece a los modelos compactos —deepseek-r1:1.5b (86.20) y llama3.2 (26.44)— para screening masivo, mientras que gemma4:31b (0.33) se justifica para análisis de alto riesgo.</w:t>
      </w:r>
    </w:p>
    <w:p>
      <w:pPr>
        <w:numPr>
          <w:ilvl w:val="0"/>
          <w:numId w:val="0"/>
        </w:numPr>
        <w:pStyle w:val="heading2"/>
      </w:pPr>
      <w:r>
        <w:t>5.2 Análisis de Variantes de Prompts (gemma4:latest, N=15)</w:t>
      </w:r>
    </w:p>
    <w:p>
      <w:pPr>
        <w:numPr>
          <w:ilvl w:val="0"/>
          <w:numId w:val="0"/>
        </w:numPr>
        <w:pStyle w:val="tablecaption"/>
      </w:pPr>
      <w:r>
        <w:t>Tabla 6. Análisis de Variantes de Prompts (gemma4:latest, N=15)</w:t>
      </w:r>
    </w:p>
    <w:tbl>
      <w:tblPr>
        <w:tblStyle w:val="Table"/>
        <w:tblW w:type="dxa" w:w="8838"/>
        <w:tblLayout w:type="fixed"/>
        <w:tblLook w:firstRow="1" w:lastRow="0" w:firstColumn="0" w:lastColumn="0" w:noHBand="0" w:noVBand="0" w:val="0020"/>
      </w:tblPr>
      <w:tblGrid>
        <w:gridCol w:w="2687"/>
        <w:gridCol w:w="686"/>
        <w:gridCol w:w="895"/>
        <w:gridCol w:w="686"/>
        <w:gridCol w:w="1293"/>
        <w:gridCol w:w="1194"/>
        <w:gridCol w:w="1397"/>
      </w:tblGrid>
      <w:tr>
        <w:trPr>
          <w:tblHeader w:val="on"/>
        </w:trPr>
        <w:tc>
          <w:tcPr>
            <w:tcW w:type="dxa" w:w="2687"/>
          </w:tcPr>
          <w:p>
            <w:pPr>
              <w:pStyle w:val="Compact"/>
              <w:jc w:val="left"/>
            </w:pPr>
            <w:r>
              <w:rPr>
                <w:b/>
              </w:rPr>
              <w:t>Configuración</w:t>
            </w:r>
          </w:p>
        </w:tc>
        <w:tc>
          <w:tcPr>
            <w:tcW w:type="dxa" w:w="686"/>
          </w:tcPr>
          <w:p>
            <w:pPr>
              <w:pStyle w:val="Compact"/>
              <w:jc w:val="left"/>
            </w:pPr>
            <w:r>
              <w:rPr>
                <w:b/>
              </w:rPr>
              <w:t>F1</w:t>
            </w:r>
          </w:p>
        </w:tc>
        <w:tc>
          <w:tcPr>
            <w:tcW w:type="dxa" w:w="895"/>
          </w:tcPr>
          <w:p>
            <w:pPr>
              <w:pStyle w:val="Compact"/>
              <w:jc w:val="left"/>
            </w:pPr>
            <w:r>
              <w:rPr>
                <w:b/>
              </w:rPr>
              <w:t>Precisión</w:t>
            </w:r>
          </w:p>
        </w:tc>
        <w:tc>
          <w:tcPr>
            <w:tcW w:type="dxa" w:w="686"/>
          </w:tcPr>
          <w:p>
            <w:pPr>
              <w:pStyle w:val="Compact"/>
              <w:jc w:val="center"/>
            </w:pPr>
            <w:r>
              <w:rPr>
                <w:b/>
              </w:rPr>
              <w:t>Recall</w:t>
            </w:r>
          </w:p>
        </w:tc>
        <w:tc>
          <w:tcPr>
            <w:tcW w:type="dxa" w:w="1293"/>
          </w:tcPr>
          <w:p>
            <w:pPr>
              <w:pStyle w:val="Compact"/>
              <w:jc w:val="center"/>
            </w:pPr>
            <w:r>
              <w:rPr>
                <w:b/>
              </w:rPr>
              <w:t>Hallucination</w:t>
            </w:r>
          </w:p>
        </w:tc>
        <w:tc>
          <w:tcPr>
            <w:tcW w:type="dxa" w:w="1194"/>
          </w:tcPr>
          <w:p>
            <w:pPr>
              <w:pStyle w:val="Compact"/>
              <w:jc w:val="left"/>
            </w:pPr>
            <w:r>
              <w:rPr>
                <w:b/>
              </w:rPr>
              <w:t>Latencia (s)</w:t>
            </w:r>
          </w:p>
        </w:tc>
        <w:tc>
          <w:tcPr>
            <w:tcW w:type="dxa" w:w="1397"/>
          </w:tcPr>
          <w:p>
            <w:pPr>
              <w:pStyle w:val="Compact"/>
              <w:jc w:val="left"/>
            </w:pPr>
            <w:r>
              <w:rPr>
                <w:b/>
              </w:rPr>
              <w:t>Δ vs. Baseline</w:t>
            </w:r>
          </w:p>
        </w:tc>
      </w:tr>
      <w:tr>
        <w:tc>
          <w:tcPr>
            <w:tcW w:type="dxa" w:w="2687"/>
          </w:tcPr>
          <w:p>
            <w:pPr>
              <w:pStyle w:val="Compact"/>
              <w:jc w:val="left"/>
            </w:pPr>
            <w:r>
              <w:rPr>
                <w:b w:val="0"/>
              </w:rPr>
              <w:t>Zero-shot Inglés (Baseline)</w:t>
            </w:r>
          </w:p>
        </w:tc>
        <w:tc>
          <w:tcPr>
            <w:tcW w:type="dxa" w:w="686"/>
          </w:tcPr>
          <w:p>
            <w:pPr>
              <w:pStyle w:val="Compact"/>
              <w:jc w:val="left"/>
            </w:pPr>
            <w:r>
              <w:rPr>
                <w:b w:val="0"/>
              </w:rPr>
              <w:t>64.05%</w:t>
            </w:r>
          </w:p>
        </w:tc>
        <w:tc>
          <w:tcPr>
            <w:tcW w:type="dxa" w:w="895"/>
          </w:tcPr>
          <w:p>
            <w:pPr>
              <w:pStyle w:val="Compact"/>
              <w:jc w:val="left"/>
            </w:pPr>
            <w:r>
              <w:rPr>
                <w:b w:val="0"/>
              </w:rPr>
              <w:t>57.69%</w:t>
            </w:r>
          </w:p>
        </w:tc>
        <w:tc>
          <w:tcPr>
            <w:tcW w:type="dxa" w:w="686"/>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687"/>
          </w:tcPr>
          <w:p>
            <w:pPr>
              <w:pStyle w:val="Compact"/>
              <w:jc w:val="left"/>
            </w:pPr>
            <w:r>
              <w:rPr>
                <w:b w:val="0"/>
              </w:rPr>
              <w:t>Zero-shot Español</w:t>
            </w:r>
          </w:p>
        </w:tc>
        <w:tc>
          <w:tcPr>
            <w:tcW w:type="dxa" w:w="686"/>
          </w:tcPr>
          <w:p>
            <w:pPr>
              <w:pStyle w:val="Compact"/>
              <w:jc w:val="left"/>
            </w:pPr>
            <w:r>
              <w:rPr>
                <w:b w:val="0"/>
              </w:rPr>
              <w:t>68.43%</w:t>
            </w:r>
          </w:p>
        </w:tc>
        <w:tc>
          <w:tcPr>
            <w:tcW w:type="dxa" w:w="895"/>
          </w:tcPr>
          <w:p>
            <w:pPr>
              <w:pStyle w:val="Compact"/>
              <w:jc w:val="left"/>
            </w:pPr>
            <w:r>
              <w:rPr>
                <w:b w:val="0"/>
              </w:rPr>
              <w:t>60.68%</w:t>
            </w:r>
          </w:p>
        </w:tc>
        <w:tc>
          <w:tcPr>
            <w:tcW w:type="dxa" w:w="686"/>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687"/>
          </w:tcPr>
          <w:p>
            <w:pPr>
              <w:pStyle w:val="Compact"/>
              <w:jc w:val="left"/>
            </w:pPr>
            <w:r>
              <w:rPr>
                <w:b w:val="0"/>
              </w:rPr>
              <w:t>Few-shot Inglés</w:t>
            </w:r>
          </w:p>
        </w:tc>
        <w:tc>
          <w:tcPr>
            <w:tcW w:type="dxa" w:w="686"/>
          </w:tcPr>
          <w:p>
            <w:pPr>
              <w:pStyle w:val="Compact"/>
              <w:jc w:val="left"/>
            </w:pPr>
            <w:r>
              <w:rPr>
                <w:b w:val="0"/>
              </w:rPr>
              <w:t>63.32%</w:t>
            </w:r>
          </w:p>
        </w:tc>
        <w:tc>
          <w:tcPr>
            <w:tcW w:type="dxa" w:w="895"/>
          </w:tcPr>
          <w:p>
            <w:pPr>
              <w:pStyle w:val="Compact"/>
              <w:jc w:val="left"/>
            </w:pPr>
            <w:r>
              <w:rPr>
                <w:b w:val="0"/>
              </w:rPr>
              <w:t>55.81%</w:t>
            </w:r>
          </w:p>
        </w:tc>
        <w:tc>
          <w:tcPr>
            <w:tcW w:type="dxa" w:w="686"/>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−0.73 pp</w:t>
            </w:r>
          </w:p>
        </w:tc>
      </w:tr>
      <w:tr>
        <w:tc>
          <w:tcPr>
            <w:tcW w:type="dxa" w:w="2687"/>
          </w:tcPr>
          <w:p>
            <w:pPr>
              <w:pStyle w:val="Compact"/>
              <w:jc w:val="left"/>
            </w:pPr>
            <w:r>
              <w:rPr>
                <w:b w:val="0"/>
              </w:rPr>
              <w:t>Few-shot Español</w:t>
            </w:r>
          </w:p>
        </w:tc>
        <w:tc>
          <w:tcPr>
            <w:tcW w:type="dxa" w:w="686"/>
          </w:tcPr>
          <w:p>
            <w:pPr>
              <w:pStyle w:val="Compact"/>
              <w:jc w:val="left"/>
            </w:pPr>
            <w:r>
              <w:rPr>
                <w:b/>
              </w:rPr>
              <w:t>74.44%</w:t>
            </w:r>
          </w:p>
        </w:tc>
        <w:tc>
          <w:tcPr>
            <w:tcW w:type="dxa" w:w="895"/>
          </w:tcPr>
          <w:p>
            <w:pPr>
              <w:pStyle w:val="Compact"/>
              <w:jc w:val="left"/>
            </w:pPr>
            <w:r>
              <w:rPr>
                <w:b/>
              </w:rPr>
              <w:t>66.78%</w:t>
            </w:r>
          </w:p>
        </w:tc>
        <w:tc>
          <w:tcPr>
            <w:tcW w:type="dxa" w:w="686"/>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+11.12 pp</w:t>
            </w:r>
          </w:p>
        </w:tc>
      </w:tr>
    </w:tbl>
    <w:p>
      <w:pPr>
        <w:numPr>
          <w:ilvl w:val="0"/>
          <w:numId w:val="0"/>
        </w:numPr>
        <w:pStyle w:val="p1a"/>
      </w:pPr>
      <w:r>
        <w:t xml:space="preserve">Medido sobre </w:t>
      </w:r>
      <w:r>
        <w:t>results/ablacion_n15_REMOTO/benchmark_results.csv</w:t>
      </w:r>
      <w:r>
        <w:t xml:space="preserve"> (N=15, modo </w:t>
      </w:r>
      <w:r>
        <w:t>entities</w:t>
      </w:r>
      <w:r>
        <w:t>), con el corrector de puntuación aplicado.</w:t>
      </w:r>
    </w:p>
    <w:p>
      <w:pPr>
        <w:numPr>
          <w:ilvl w:val="0"/>
          <w:numId w:val="0"/>
        </w:numPr>
        <w:pStyle w:val="p1a"/>
      </w:pPr>
      <w:r>
        <w:rPr>
          <w:b/>
        </w:rPr>
        <w:t>Hallazgo 4:</w:t>
      </w:r>
      <w:r>
        <w:t xml:space="preserve"> ninguno de los dos factores basta por separado —la localización al español aporta +4.38 pp y los ejemplos </w:t>
      </w:r>
      <w:r>
        <w:rPr>
          <w:i/>
        </w:rPr>
        <w:t>few-shot</w:t>
      </w:r>
      <w:r>
        <w:t xml:space="preserve"> en inglés restan 0.73 pp—, pero </w:t>
      </w:r>
      <w:r>
        <w:rPr>
          <w:b/>
        </w:rPr>
        <w:t>su combinación alcanza +11.12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p1a"/>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w:t>
      </w:r>
    </w:p>
    <w:p>
      <w:pPr>
        <w:numPr>
          <w:ilvl w:val="0"/>
          <w:numId w:val="0"/>
        </w:numPr>
        <w:pStyle w:val="tablecaption"/>
      </w:pPr>
      <w:r>
        <w:t>Tabla 7. Validación Estadística sobre el Corpus del Dominio (N=30)</w:t>
      </w:r>
    </w:p>
    <w:tbl>
      <w:tblPr>
        <w:tblStyle w:val="Table"/>
        <w:tblW w:type="dxa" w:w="8838"/>
        <w:tblLayout w:type="fixed"/>
        <w:tblLook w:firstRow="1" w:lastRow="0" w:firstColumn="0" w:lastColumn="0" w:noHBand="0" w:noVBand="0" w:val="0020"/>
      </w:tblPr>
      <w:tblGrid>
        <w:gridCol w:w="2028"/>
        <w:gridCol w:w="1014"/>
        <w:gridCol w:w="1303"/>
        <w:gridCol w:w="1014"/>
        <w:gridCol w:w="2607"/>
        <w:gridCol w:w="872"/>
      </w:tblGrid>
      <w:tr>
        <w:trPr>
          <w:tblHeader w:val="on"/>
        </w:trPr>
        <w:tc>
          <w:tcPr>
            <w:tcW w:type="dxa" w:w="2028"/>
          </w:tcPr>
          <w:p>
            <w:pPr>
              <w:pStyle w:val="Compact"/>
              <w:jc w:val="left"/>
            </w:pPr>
            <w:r>
              <w:rPr>
                <w:b/>
              </w:rPr>
              <w:t>Modelo</w:t>
            </w:r>
          </w:p>
        </w:tc>
        <w:tc>
          <w:tcPr>
            <w:tcW w:type="dxa" w:w="1014"/>
          </w:tcPr>
          <w:p>
            <w:pPr>
              <w:pStyle w:val="Compact"/>
              <w:jc w:val="left"/>
            </w:pPr>
            <w:r>
              <w:rPr>
                <w:b/>
              </w:rPr>
              <w:t>F1</w:t>
            </w:r>
          </w:p>
        </w:tc>
        <w:tc>
          <w:tcPr>
            <w:tcW w:type="dxa" w:w="1303"/>
          </w:tcPr>
          <w:p>
            <w:pPr>
              <w:pStyle w:val="Compact"/>
              <w:jc w:val="left"/>
            </w:pPr>
            <w:r>
              <w:rPr>
                <w:b/>
              </w:rPr>
              <w:t>Precisión</w:t>
            </w:r>
          </w:p>
        </w:tc>
        <w:tc>
          <w:tcPr>
            <w:tcW w:type="dxa" w:w="1014"/>
          </w:tcPr>
          <w:p>
            <w:pPr>
              <w:pStyle w:val="Compact"/>
              <w:jc w:val="center"/>
            </w:pPr>
            <w:r>
              <w:rPr>
                <w:b/>
              </w:rPr>
              <w:t>Recall</w:t>
            </w:r>
          </w:p>
        </w:tc>
        <w:tc>
          <w:tcPr>
            <w:tcW w:type="dxa" w:w="2607"/>
          </w:tcPr>
          <w:p>
            <w:pPr>
              <w:pStyle w:val="Compact"/>
              <w:jc w:val="center"/>
            </w:pPr>
            <w:r>
              <w:rPr>
                <w:b/>
              </w:rPr>
              <w:t>IC 95 % del F1</w:t>
            </w:r>
          </w:p>
        </w:tc>
        <w:tc>
          <w:tcPr>
            <w:tcW w:type="dxa" w:w="872"/>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607"/>
          </w:tcPr>
          <w:p>
            <w:pPr>
              <w:pStyle w:val="Compact"/>
              <w:jc w:val="center"/>
            </w:pPr>
            <w:r>
              <w:rPr>
                <w:b w:val="0"/>
              </w:rPr>
              <w:t>[74.22 %, 86.92 %]</w:t>
            </w:r>
          </w:p>
        </w:tc>
        <w:tc>
          <w:tcPr>
            <w:tcW w:type="dxa" w:w="872"/>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607"/>
          </w:tcPr>
          <w:p>
            <w:pPr>
              <w:pStyle w:val="Compact"/>
              <w:jc w:val="center"/>
            </w:pPr>
            <w:r>
              <w:rPr>
                <w:b w:val="0"/>
              </w:rPr>
              <w:t>[72.59 %, 84.52 %]</w:t>
            </w:r>
          </w:p>
        </w:tc>
        <w:tc>
          <w:tcPr>
            <w:tcW w:type="dxa" w:w="872"/>
          </w:tcPr>
          <w:p>
            <w:pPr>
              <w:pStyle w:val="Compact"/>
              <w:jc w:val="left"/>
            </w:pPr>
            <w:r>
              <w:rPr>
                <w:b w:val="0"/>
              </w:rPr>
              <w:t>0</w:t>
            </w:r>
          </w:p>
        </w:tc>
      </w:tr>
    </w:tbl>
    <w:p>
      <w:pPr>
        <w:numPr>
          <w:ilvl w:val="0"/>
          <w:numId w:val="0"/>
        </w:numPr>
        <w:pStyle w:val="p1a"/>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w:t>
      </w:r>
      <w:r>
        <w:rPr>
          <w:b/>
        </w:rPr>
        <w:t>F = 0,2235 con p = 0,6382</w:t>
      </w:r>
      <w:r>
        <w:t>, de modo que no se rechaza la hipótesis nula y la diferencia entre ambos debe atribuirse a la variabilidad entre artículos y no a una superioridad real de una compilación sobre la otra. Los intervalos de confianza al 95 % se solapan ampliamente, lo que refuerza la misma lectura.</w:t>
      </w:r>
    </w:p>
    <w:p>
      <w:pPr>
        <w:numPr>
          <w:ilvl w:val="0"/>
          <w:numId w:val="0"/>
        </w:numPr>
        <w:pStyle w:val="p1a"/>
      </w:pPr>
      <w:r>
        <w:t xml:space="preserve">El </w:t>
      </w:r>
      <w:r>
        <w:rPr>
          <w:b/>
        </w:rPr>
        <w:t>análisis de sensibilidad</w:t>
      </w:r>
      <w:r>
        <w:t xml:space="preserve"> completa la validación. Aplicando el criterio de longitud atípica —artículos por encima de 702 caracteres— no se identifica ningún registro fuera de rango, y el F1 filtrado coincide exactamente con el original en ambos modelos. El resultado no depende, por tanto, de unos pocos textos extremos.</w:t>
      </w:r>
    </w:p>
    <w:p>
      <w:pPr>
        <w:numPr>
          <w:ilvl w:val="0"/>
          <w:numId w:val="0"/>
        </w:numPr>
        <w:pStyle w:val="p1a"/>
      </w:pPr>
      <w:r>
        <w:t xml:space="preserve">Vale la pena señalar una particularidad de procedencia. Una primera ejecución de este experimento, realizada en julio de 2026, reportó para </w:t>
      </w:r>
      <w:r>
        <w:t>gemma4:31b</w:t>
      </w:r>
      <w:r>
        <w:t xml:space="preserve"> un F1 de 79,03 %. Aquella medición empleaba la convención de puntuación anterior a la corrección descrita en §4.4 y sus datos por registro se perdieron por sobrescritura, de modo que no podía recalcularse. La ejecución aquí reportada la reemplaza y, al mismo tiempo, la valida: </w:t>
      </w:r>
      <w:r>
        <w:rPr>
          <w:b/>
        </w:rPr>
        <w:t>la precisión coincide hasta el cuarto decimal (73,34 %) y el F1 difiere en menos de medio punto</w:t>
      </w:r>
      <w:r>
        <w:t>, lo que confirma que el defecto de puntuación apenas afectaba a este experimento —consecuencia esperable de una exhaustividad tan alta, que deja pocas extracciones vacías sobre las que el error pudiera actuar—.</w:t>
      </w:r>
    </w:p>
    <w:p>
      <w:pPr>
        <w:numPr>
          <w:ilvl w:val="0"/>
          <w:numId w:val="0"/>
        </w:numPr>
        <w:pStyle w:val="heading3"/>
      </w:pPr>
      <w:r>
        <w:t>5.3.5 Validación Estadística sobre Corpus Real N=120 (estudio completo)</w:t>
      </w:r>
    </w:p>
    <w:p>
      <w:pPr>
        <w:numPr>
          <w:ilvl w:val="0"/>
          <w:numId w:val="0"/>
        </w:numPr>
        <w:pStyle w:val="p1a"/>
      </w:pPr>
      <w:r>
        <w:t xml:space="preserve">Sobre el corpus real N=120 descrito en §4.1.3 se ejecutó el mismo protocolo (ANOVA de una vía + Tukey HSD) para el </w:t>
      </w:r>
      <w:r>
        <w:rPr>
          <w:b/>
        </w:rPr>
        <w:t>estudio completo de 13 modelos</w:t>
      </w:r>
      <w:r>
        <w:t xml:space="preserve">, cada uno en modo </w:t>
      </w:r>
      <w:r>
        <w:rPr>
          <w:i/>
        </w:rPr>
        <w:t>baseline</w:t>
      </w:r>
      <w:r>
        <w:t xml:space="preserve"> y </w:t>
      </w:r>
      <w:r>
        <w:rPr>
          <w:i/>
        </w:rPr>
        <w:t>KB RAG</w:t>
      </w:r>
      <w:r>
        <w:t xml:space="preserve">, con N=120 observaciones por grupo (26 grupos, 3 120 observaciones). Resultados consolidados en </w:t>
      </w:r>
      <w:r>
        <w:t>results/ANALISIS_CONJUNTO_20260907/</w:t>
      </w:r>
      <w:r>
        <w:t>.</w:t>
      </w:r>
    </w:p>
    <w:p>
      <w:pPr>
        <w:numPr>
          <w:ilvl w:val="0"/>
          <w:numId w:val="0"/>
        </w:numPr>
        <w:pStyle w:val="tablecaption"/>
      </w:pPr>
      <w:r>
        <w:t>Tabla 8. Validación Estadística sobre Corpus Real N=120 (estudio completo)</w:t>
      </w:r>
    </w:p>
    <w:tbl>
      <w:tblPr>
        <w:tblStyle w:val="Table"/>
        <w:tblW w:type="dxa" w:w="8838"/>
        <w:tblLayout w:type="fixed"/>
        <w:tblLook w:firstRow="1" w:lastRow="0" w:firstColumn="0" w:lastColumn="0" w:noHBand="0" w:noVBand="0" w:val="0020"/>
      </w:tblPr>
      <w:tblGrid>
        <w:gridCol w:w="2665"/>
        <w:gridCol w:w="1543"/>
        <w:gridCol w:w="1262"/>
        <w:gridCol w:w="1262"/>
        <w:gridCol w:w="2106"/>
      </w:tblGrid>
      <w:tr>
        <w:trPr>
          <w:tblHeader w:val="on"/>
        </w:trPr>
        <w:tc>
          <w:tcPr>
            <w:tcW w:type="dxa" w:w="2665"/>
          </w:tcPr>
          <w:p>
            <w:pPr>
              <w:pStyle w:val="Compact"/>
              <w:jc w:val="left"/>
            </w:pPr>
            <w:r>
              <w:rPr>
                <w:b/>
              </w:rPr>
              <w:t>Modelo</w:t>
            </w:r>
          </w:p>
        </w:tc>
        <w:tc>
          <w:tcPr>
            <w:tcW w:type="dxa" w:w="1543"/>
          </w:tcPr>
          <w:p>
            <w:pPr>
              <w:pStyle w:val="Compact"/>
              <w:jc w:val="left"/>
            </w:pPr>
            <w:r>
              <w:rPr>
                <w:b/>
              </w:rPr>
              <w:t>F1 baseline</w:t>
            </w:r>
          </w:p>
        </w:tc>
        <w:tc>
          <w:tcPr>
            <w:tcW w:type="dxa" w:w="1262"/>
          </w:tcPr>
          <w:p>
            <w:pPr>
              <w:pStyle w:val="Compact"/>
              <w:jc w:val="left"/>
            </w:pPr>
            <w:r>
              <w:rPr>
                <w:b/>
              </w:rPr>
              <w:t>F1 KB RAG</w:t>
            </w:r>
          </w:p>
        </w:tc>
        <w:tc>
          <w:tcPr>
            <w:tcW w:type="dxa" w:w="1262"/>
          </w:tcPr>
          <w:p>
            <w:pPr>
              <w:pStyle w:val="Compact"/>
              <w:jc w:val="center"/>
            </w:pPr>
            <w:r>
              <w:rPr>
                <w:b/>
              </w:rPr>
              <w:t>Δ RAG</w:t>
            </w:r>
          </w:p>
        </w:tc>
        <w:tc>
          <w:tcPr>
            <w:tcW w:type="dxa" w:w="2106"/>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62.38%</w:t>
            </w:r>
          </w:p>
        </w:tc>
        <w:tc>
          <w:tcPr>
            <w:tcW w:type="dxa" w:w="1262"/>
          </w:tcPr>
          <w:p>
            <w:pPr>
              <w:pStyle w:val="Compact"/>
              <w:jc w:val="left"/>
            </w:pPr>
            <w:r>
              <w:rPr>
                <w:b w:val="0"/>
              </w:rPr>
              <w:t>61.85%</w:t>
            </w:r>
          </w:p>
        </w:tc>
        <w:tc>
          <w:tcPr>
            <w:tcW w:type="dxa" w:w="1262"/>
          </w:tcPr>
          <w:p>
            <w:pPr>
              <w:pStyle w:val="Compact"/>
              <w:jc w:val="center"/>
            </w:pPr>
            <w:r>
              <w:rPr>
                <w:b w:val="0"/>
              </w:rPr>
              <w:t>−0.53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59.25%</w:t>
            </w:r>
          </w:p>
        </w:tc>
        <w:tc>
          <w:tcPr>
            <w:tcW w:type="dxa" w:w="1262"/>
          </w:tcPr>
          <w:p>
            <w:pPr>
              <w:pStyle w:val="Compact"/>
              <w:jc w:val="left"/>
            </w:pPr>
            <w:r>
              <w:rPr>
                <w:b w:val="0"/>
              </w:rPr>
              <w:t>59.07%</w:t>
            </w:r>
          </w:p>
        </w:tc>
        <w:tc>
          <w:tcPr>
            <w:tcW w:type="dxa" w:w="1262"/>
          </w:tcPr>
          <w:p>
            <w:pPr>
              <w:pStyle w:val="Compact"/>
              <w:jc w:val="center"/>
            </w:pPr>
            <w:r>
              <w:rPr>
                <w:b w:val="0"/>
              </w:rPr>
              <w:t>−0.18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56.18%</w:t>
            </w:r>
          </w:p>
        </w:tc>
        <w:tc>
          <w:tcPr>
            <w:tcW w:type="dxa" w:w="1262"/>
          </w:tcPr>
          <w:p>
            <w:pPr>
              <w:pStyle w:val="Compact"/>
              <w:jc w:val="left"/>
            </w:pPr>
            <w:r>
              <w:rPr>
                <w:b w:val="0"/>
              </w:rPr>
              <w:t>58.46%</w:t>
            </w:r>
          </w:p>
        </w:tc>
        <w:tc>
          <w:tcPr>
            <w:tcW w:type="dxa" w:w="1262"/>
          </w:tcPr>
          <w:p>
            <w:pPr>
              <w:pStyle w:val="Compact"/>
              <w:jc w:val="center"/>
            </w:pPr>
            <w:r>
              <w:rPr>
                <w:b w:val="0"/>
              </w:rPr>
              <w:t>+2.28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55.91%</w:t>
            </w:r>
          </w:p>
        </w:tc>
        <w:tc>
          <w:tcPr>
            <w:tcW w:type="dxa" w:w="1262"/>
          </w:tcPr>
          <w:p>
            <w:pPr>
              <w:pStyle w:val="Compact"/>
              <w:jc w:val="left"/>
            </w:pPr>
            <w:r>
              <w:rPr>
                <w:b w:val="0"/>
              </w:rPr>
              <w:t>54.74%</w:t>
            </w:r>
          </w:p>
        </w:tc>
        <w:tc>
          <w:tcPr>
            <w:tcW w:type="dxa" w:w="1262"/>
          </w:tcPr>
          <w:p>
            <w:pPr>
              <w:pStyle w:val="Compact"/>
              <w:jc w:val="center"/>
            </w:pPr>
            <w:r>
              <w:rPr>
                <w:b w:val="0"/>
              </w:rPr>
              <w:t>−1.17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52.39%</w:t>
            </w:r>
          </w:p>
        </w:tc>
        <w:tc>
          <w:tcPr>
            <w:tcW w:type="dxa" w:w="1262"/>
          </w:tcPr>
          <w:p>
            <w:pPr>
              <w:pStyle w:val="Compact"/>
              <w:jc w:val="left"/>
            </w:pPr>
            <w:r>
              <w:rPr>
                <w:b w:val="0"/>
              </w:rPr>
              <w:t>55.67%</w:t>
            </w:r>
          </w:p>
        </w:tc>
        <w:tc>
          <w:tcPr>
            <w:tcW w:type="dxa" w:w="1262"/>
          </w:tcPr>
          <w:p>
            <w:pPr>
              <w:pStyle w:val="Compact"/>
              <w:jc w:val="center"/>
            </w:pPr>
            <w:r>
              <w:rPr>
                <w:b w:val="0"/>
              </w:rPr>
              <w:t>+3.28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50.22%</w:t>
            </w:r>
          </w:p>
        </w:tc>
        <w:tc>
          <w:tcPr>
            <w:tcW w:type="dxa" w:w="1262"/>
          </w:tcPr>
          <w:p>
            <w:pPr>
              <w:pStyle w:val="Compact"/>
              <w:jc w:val="left"/>
            </w:pPr>
            <w:r>
              <w:rPr>
                <w:b w:val="0"/>
              </w:rPr>
              <w:t>54.84%</w:t>
            </w:r>
          </w:p>
        </w:tc>
        <w:tc>
          <w:tcPr>
            <w:tcW w:type="dxa" w:w="1262"/>
          </w:tcPr>
          <w:p>
            <w:pPr>
              <w:pStyle w:val="Compact"/>
              <w:jc w:val="center"/>
            </w:pPr>
            <w:r>
              <w:rPr>
                <w:b w:val="0"/>
              </w:rPr>
              <w:t>+4.62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48.76%</w:t>
            </w:r>
          </w:p>
        </w:tc>
        <w:tc>
          <w:tcPr>
            <w:tcW w:type="dxa" w:w="1262"/>
          </w:tcPr>
          <w:p>
            <w:pPr>
              <w:pStyle w:val="Compact"/>
              <w:jc w:val="left"/>
            </w:pPr>
            <w:r>
              <w:rPr>
                <w:b w:val="0"/>
              </w:rPr>
              <w:t>50.75%</w:t>
            </w:r>
          </w:p>
        </w:tc>
        <w:tc>
          <w:tcPr>
            <w:tcW w:type="dxa" w:w="1262"/>
          </w:tcPr>
          <w:p>
            <w:pPr>
              <w:pStyle w:val="Compact"/>
              <w:jc w:val="center"/>
            </w:pPr>
            <w:r>
              <w:rPr>
                <w:b w:val="0"/>
              </w:rPr>
              <w:t>+1.99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48.21%</w:t>
            </w:r>
          </w:p>
        </w:tc>
        <w:tc>
          <w:tcPr>
            <w:tcW w:type="dxa" w:w="1262"/>
          </w:tcPr>
          <w:p>
            <w:pPr>
              <w:pStyle w:val="Compact"/>
              <w:jc w:val="left"/>
            </w:pPr>
            <w:r>
              <w:rPr>
                <w:b w:val="0"/>
              </w:rPr>
              <w:t>51.46%</w:t>
            </w:r>
          </w:p>
        </w:tc>
        <w:tc>
          <w:tcPr>
            <w:tcW w:type="dxa" w:w="1262"/>
          </w:tcPr>
          <w:p>
            <w:pPr>
              <w:pStyle w:val="Compact"/>
              <w:jc w:val="center"/>
            </w:pPr>
            <w:r>
              <w:rPr>
                <w:b w:val="0"/>
              </w:rPr>
              <w:t>+3.25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44.00%</w:t>
            </w:r>
          </w:p>
        </w:tc>
        <w:tc>
          <w:tcPr>
            <w:tcW w:type="dxa" w:w="1262"/>
          </w:tcPr>
          <w:p>
            <w:pPr>
              <w:pStyle w:val="Compact"/>
              <w:jc w:val="left"/>
            </w:pPr>
            <w:r>
              <w:rPr>
                <w:b w:val="0"/>
              </w:rPr>
              <w:t>51.36%</w:t>
            </w:r>
          </w:p>
        </w:tc>
        <w:tc>
          <w:tcPr>
            <w:tcW w:type="dxa" w:w="1262"/>
          </w:tcPr>
          <w:p>
            <w:pPr>
              <w:pStyle w:val="Compact"/>
              <w:jc w:val="center"/>
            </w:pPr>
            <w:r>
              <w:rPr>
                <w:b w:val="0"/>
              </w:rPr>
              <w:t>+7.36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43.38%</w:t>
            </w:r>
          </w:p>
        </w:tc>
        <w:tc>
          <w:tcPr>
            <w:tcW w:type="dxa" w:w="1262"/>
          </w:tcPr>
          <w:p>
            <w:pPr>
              <w:pStyle w:val="Compact"/>
              <w:jc w:val="left"/>
            </w:pPr>
            <w:r>
              <w:rPr>
                <w:b w:val="0"/>
              </w:rPr>
              <w:t>45.76%</w:t>
            </w:r>
          </w:p>
        </w:tc>
        <w:tc>
          <w:tcPr>
            <w:tcW w:type="dxa" w:w="1262"/>
          </w:tcPr>
          <w:p>
            <w:pPr>
              <w:pStyle w:val="Compact"/>
              <w:jc w:val="center"/>
            </w:pPr>
            <w:r>
              <w:rPr>
                <w:b w:val="0"/>
              </w:rPr>
              <w:t>+2.37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36.11%</w:t>
            </w:r>
          </w:p>
        </w:tc>
        <w:tc>
          <w:tcPr>
            <w:tcW w:type="dxa" w:w="1262"/>
          </w:tcPr>
          <w:p>
            <w:pPr>
              <w:pStyle w:val="Compact"/>
              <w:jc w:val="left"/>
            </w:pPr>
            <w:r>
              <w:rPr>
                <w:b w:val="0"/>
              </w:rPr>
              <w:t>46.93%</w:t>
            </w:r>
          </w:p>
        </w:tc>
        <w:tc>
          <w:tcPr>
            <w:tcW w:type="dxa" w:w="1262"/>
          </w:tcPr>
          <w:p>
            <w:pPr>
              <w:pStyle w:val="Compact"/>
              <w:jc w:val="center"/>
            </w:pPr>
            <w:r>
              <w:rPr>
                <w:b/>
              </w:rPr>
              <w:t>+10.82 pp</w:t>
            </w:r>
          </w:p>
        </w:tc>
        <w:tc>
          <w:tcPr>
            <w:tcW w:type="dxa" w:w="2106"/>
          </w:tcPr>
          <w:p>
            <w:pPr>
              <w:pStyle w:val="Compact"/>
              <w:jc w:val="center"/>
            </w:pPr>
            <w:r>
              <w:rPr>
                <w:b w:val="0"/>
              </w:rPr>
              <w:t>sí (p=0.007)</w:t>
            </w:r>
          </w:p>
        </w:tc>
      </w:tr>
      <w:tr>
        <w:tc>
          <w:tcPr>
            <w:tcW w:type="dxa" w:w="2665"/>
          </w:tcPr>
          <w:p>
            <w:pPr>
              <w:pStyle w:val="Compact"/>
              <w:jc w:val="left"/>
            </w:pPr>
            <w:r>
              <w:rPr>
                <w:b w:val="0"/>
              </w:rPr>
              <w:t>deepseek-r1:1.5b</w:t>
            </w:r>
          </w:p>
        </w:tc>
        <w:tc>
          <w:tcPr>
            <w:tcW w:type="dxa" w:w="1543"/>
          </w:tcPr>
          <w:p>
            <w:pPr>
              <w:pStyle w:val="Compact"/>
              <w:jc w:val="left"/>
            </w:pPr>
            <w:r>
              <w:rPr>
                <w:b w:val="0"/>
              </w:rPr>
              <w:t>24.83%</w:t>
            </w:r>
          </w:p>
        </w:tc>
        <w:tc>
          <w:tcPr>
            <w:tcW w:type="dxa" w:w="1262"/>
          </w:tcPr>
          <w:p>
            <w:pPr>
              <w:pStyle w:val="Compact"/>
              <w:jc w:val="left"/>
            </w:pPr>
            <w:r>
              <w:rPr>
                <w:b w:val="0"/>
              </w:rPr>
              <w:t>23.94%</w:t>
            </w:r>
          </w:p>
        </w:tc>
        <w:tc>
          <w:tcPr>
            <w:tcW w:type="dxa" w:w="1262"/>
          </w:tcPr>
          <w:p>
            <w:pPr>
              <w:pStyle w:val="Compact"/>
              <w:jc w:val="center"/>
            </w:pPr>
            <w:r>
              <w:rPr>
                <w:b w:val="0"/>
              </w:rPr>
              <w:t>−0.90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22.59%</w:t>
            </w:r>
          </w:p>
        </w:tc>
        <w:tc>
          <w:tcPr>
            <w:tcW w:type="dxa" w:w="1262"/>
          </w:tcPr>
          <w:p>
            <w:pPr>
              <w:pStyle w:val="Compact"/>
              <w:jc w:val="left"/>
            </w:pPr>
            <w:r>
              <w:rPr>
                <w:b w:val="0"/>
              </w:rPr>
              <w:t>37.12%</w:t>
            </w:r>
          </w:p>
        </w:tc>
        <w:tc>
          <w:tcPr>
            <w:tcW w:type="dxa" w:w="1262"/>
          </w:tcPr>
          <w:p>
            <w:pPr>
              <w:pStyle w:val="Compact"/>
              <w:jc w:val="center"/>
            </w:pPr>
            <w:r>
              <w:rPr>
                <w:b/>
              </w:rPr>
              <w:t>+14.52 pp</w:t>
            </w:r>
          </w:p>
        </w:tc>
        <w:tc>
          <w:tcPr>
            <w:tcW w:type="dxa" w:w="2106"/>
          </w:tcPr>
          <w:p>
            <w:pPr>
              <w:pStyle w:val="Compact"/>
              <w:jc w:val="center"/>
            </w:pPr>
            <w:r>
              <w:rPr>
                <w:b w:val="0"/>
              </w:rPr>
              <w:t>sí (p&lt;0.001)</w:t>
            </w:r>
          </w:p>
        </w:tc>
      </w:tr>
    </w:tbl>
    <w:p>
      <w:pPr>
        <w:numPr>
          <w:ilvl w:val="0"/>
          <w:numId w:val="0"/>
        </w:numPr>
        <w:pStyle w:val="p1a"/>
      </w:pPr>
      <w:r>
        <w:rPr>
          <w:b/>
        </w:rPr>
        <w:t>Limitación del corpus N=120 — codificación defectuosa de los nombres.</w:t>
      </w:r>
      <w:r>
        <w:t xml:space="preserve"> El corpus </w:t>
      </w:r>
      <w:r>
        <w:t>data/benchmark_balanced_120.json</w:t>
      </w:r>
      <w:r>
        <w:t xml:space="preserve"> almacena los nombres con </w:t>
      </w:r>
      <w:r>
        <w:rPr>
          <w:i/>
        </w:rPr>
        <w:t>mojibake</w:t>
      </w:r>
      <w:r>
        <w:t xml:space="preserve"> (bytes UTF-8 reinterpretados como Latin-1): guarda </w:t>
      </w:r>
      <w:r>
        <w:t>JosÃ© Bono</w:t>
      </w:r>
      <w:r>
        <w:t xml:space="preserve"> donde el nombre real es </w:t>
      </w:r>
      <w:r>
        <w:rPr>
          <w:b/>
        </w:rPr>
        <w:t>José Bono</w:t>
      </w:r>
      <w:r>
        <w:t xml:space="preserve">. Afecta a </w:t>
      </w:r>
      <w:r>
        <w:rPr>
          <w:b/>
        </w:rPr>
        <w:t>283 de 1 406 entidades de referencia (20,1 %)</w:t>
      </w:r>
      <w:r>
        <w:t xml:space="preserve"> y, de forma relevante, </w:t>
      </w:r>
      <w:r>
        <w:rPr>
          <w:b/>
        </w:rPr>
        <w:t>también al texto de entrada</w:t>
      </w:r>
      <w:r>
        <w:t xml:space="preserve"> (87 % de los artículos), donde las 283 entidades aparecen </w:t>
      </w:r>
      <w:r>
        <w:rPr>
          <w:b/>
        </w:rPr>
        <w:t>con la misma corrupción</w:t>
      </w:r>
      <w:r>
        <w:t xml:space="preserve">. El corpus es por tanto </w:t>
      </w:r>
      <w:r>
        <w:rPr>
          <w:b/>
        </w:rPr>
        <w:t>internamente coherente</w:t>
      </w:r>
      <w:r>
        <w:t xml:space="preserve">: un modelo que transcribe literalmente coincide con la referencia, mientras que uno que normaliza la ortografía al español correcto </w:t>
      </w:r>
      <w:r>
        <w:rPr>
          <w:b/>
        </w:rPr>
        <w:t>deja de coincidir</w:t>
      </w:r>
      <w:r>
        <w:t xml:space="preserve">. El efecto </w:t>
      </w:r>
      <w:r>
        <w:rPr>
          <w:b/>
        </w:rPr>
        <w:t>no es un sesgo uniforme</w:t>
      </w:r>
      <w:r>
        <w:t xml:space="preserve"> sino una interacción que </w:t>
      </w:r>
      <w:r>
        <w:rPr>
          <w:b/>
        </w:rPr>
        <w:t>depende del comportamiento de cada modelo</w:t>
      </w:r>
      <w:r>
        <w:t xml:space="preserve">: la diferencia de F1 entre los artículos afectados y los no afectados oscila entre </w:t>
      </w:r>
      <w:r>
        <w:rPr>
          <w:b/>
        </w:rPr>
        <w:t>−0.070 y +0.025</w:t>
      </w:r>
      <w:r>
        <w:t xml:space="preserve"> según el modelo. Los corpus N=15 y N=30 están </w:t>
      </w:r>
      <w:r>
        <w:rPr>
          <w:b/>
        </w:rPr>
        <w:t>libres de este defecto</w:t>
      </w:r>
      <w:r>
        <w:t xml:space="preserve"> (0 entidades afectadas), por lo que §5.1, §5.2 y §5.3 no se ven comprometidos. La corrección adecuada —normalizar la codificación </w:t>
      </w:r>
      <w:r>
        <w:rPr>
          <w:b/>
        </w:rPr>
        <w:t>en ambos lados</w:t>
      </w:r>
      <w:r>
        <w:t xml:space="preserve"> de la comparación— exige volver a inferir, ya que las extracciones por registro no se conservaron.</w:t>
      </w:r>
    </w:p>
    <w:p>
      <w:pPr>
        <w:numPr>
          <w:ilvl w:val="0"/>
          <w:numId w:val="0"/>
        </w:numPr>
        <w:pStyle w:val="p1a"/>
      </w:pPr>
      <w:r>
        <w:rPr>
          <w:b/>
        </w:rPr>
        <w:t>Dos salvedades de procedencia.</w:t>
      </w:r>
      <w:r>
        <w:t xml:space="preserve"> (i)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(114 de sus 240 filas registran exactamente 1,02 s). Su F1 es válido; su latencia y sus tokens/s no deben usarse en comparaciones de eficiencia. (ii) Siete filas de </w:t>
      </w:r>
      <w:r>
        <w:t>nemotron-mini:4b</w:t>
      </w:r>
      <w:r>
        <w:t xml:space="preserve"> tienen </w:t>
      </w:r>
      <w:r>
        <w:t>latencia = 0</w:t>
      </w:r>
      <w:r>
        <w:t xml:space="preserve"> y </w:t>
      </w:r>
      <w:r>
        <w:t>0 tokens/s</w:t>
      </w:r>
      <w:r>
        <w:t xml:space="preserve"> porque se re-extrajeron fuera del arnés de lotes tras un fallo de contexto; sus valores de precisión, </w:t>
      </w:r>
      <w:r>
        <w:rPr>
          <w:i/>
        </w:rPr>
        <w:t>recall</w:t>
      </w:r>
      <w:r>
        <w:t xml:space="preserve"> y F1 son reales, pero su telemetría no existe.</w:t>
      </w:r>
    </w:p>
    <w:p>
      <w:pPr>
        <w:numPr>
          <w:ilvl w:val="0"/>
          <w:numId w:val="0"/>
        </w:numPr>
        <w:pStyle w:val="p1a"/>
      </w:pPr>
      <w:r>
        <w:t xml:space="preserve">El ANOVA de una vía sobre los veintiséis grupos arroja </w:t>
      </w:r>
      <w:r>
        <w:rPr>
          <w:b/>
        </w:rPr>
        <w:t>F = 38,2222</w:t>
      </w:r>
      <w:r>
        <w:t xml:space="preserve"> con </w:t>
      </w:r>
      <w:r>
        <w:rPr>
          <w:b/>
        </w:rPr>
        <w:t>p = 3,4453 × 10⁻¹⁶⁰</w:t>
      </w:r>
      <w:r>
        <w:t xml:space="preserve">, de modo que se rechaza la hipótesis nula: las diferencias de desempeño entre modelos y modos son estadísticamente significativas, con una potencia muy superior a la del corpus del dominio, donde la comparación entre las dos compilaciones de 31B no alcanzaba significancia. El post-hoc de Tukey identifica 172 comparaciones significativas de las 325 posibles; pero al contrastar cada modelo consigo mismo —extracción directa frente a KB RAG— la mejora solo supera la corrección por comparaciones múltiples en </w:t>
      </w:r>
      <w:r>
        <w:t>nemotron-mini:4b</w:t>
      </w:r>
      <w:r>
        <w:t xml:space="preserve">, con 14,52 puntos, y en </w:t>
      </w:r>
      <w:r>
        <w:t>llama3.2:latest</w:t>
      </w:r>
      <w:r>
        <w:t>, con 10,82.</w:t>
      </w:r>
    </w:p>
    <w:p>
      <w:pPr>
        <w:numPr>
          <w:ilvl w:val="0"/>
          <w:numId w:val="0"/>
        </w:numPr>
        <w:pStyle w:val="p1a"/>
      </w:pPr>
      <w:r>
        <w:t xml:space="preserve">Ese resultado dibuja el hallazgo central del estudio: </w:t>
      </w:r>
      <w:r>
        <w:rPr>
          <w:b/>
        </w:rPr>
        <w:t>el beneficio del KB RAG es inversamente proporcional a la capacidad del modelo</w:t>
      </w:r>
      <w:r>
        <w:t>. Aporta de forma demostrable en los dos modelos más débiles, es positivo pero no concluyente en la franja intermedia y se anula o revierte en los de mayor capacidad —−0,53 y −0,18 puntos en los dos de 31B—, que ya siguen correctamente las instrucciones sin contexto adicional. Diez de los trece modelos mejoran, aunque solo dos lo hagan de manera estadísticamente sólida.</w:t>
      </w:r>
    </w:p>
    <w:p>
      <w:pPr>
        <w:numPr>
          <w:ilvl w:val="0"/>
          <w:numId w:val="0"/>
        </w:numPr>
        <w:pStyle w:val="p1a"/>
      </w:pPr>
      <w:r>
        <w:rPr>
          <w:b/>
        </w:rPr>
        <w:t>Lectura conjunta con el corpus N=30 (§5.3):</w:t>
      </w:r>
      <w:r>
        <w:t xml:space="preserve">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p1a"/>
      </w:pPr>
      <w:r>
        <w:t xml:space="preserve">El análisis cualitativo de las extracciones revela tres patrones de error recurrentes. Los </w:t>
      </w:r>
      <w:r>
        <w:rPr>
          <w:b/>
        </w:rPr>
        <w:t>errores de límite</w:t>
      </w:r>
      <w:r>
        <w:t xml:space="preserve"> son los más frecuentes: el modelo incorpora al nombre preposiciones o aposiciones descriptivas, y extrae «Isabel dos Santos, hija del expresidente» donde la referencia registra solo «Isabel dos Santos». El cotejo difuso descrito en §4.4 absorbe buena parte de estos casos, que rara vez alteran la identificación de la entidad. La </w:t>
      </w:r>
      <w:r>
        <w:rPr>
          <w:b/>
        </w:rPr>
        <w:t>confusión de tipo</w:t>
      </w:r>
      <w:r>
        <w:t xml:space="preserve"> aparece cuando una organización se clasifica como localización —«Sonangol», la petrolera estatal angoleña, etiquetada como lugar—, error más costoso porque desplaza la entidad de la categoría en que un analista de cumplimiento la buscaría. Las </w:t>
      </w:r>
      <w:r>
        <w:rPr>
          <w:b/>
        </w:rPr>
        <w:t>alucinaciones extrínsecas</w:t>
      </w:r>
      <w:r>
        <w:t xml:space="preserve">, en las que el modelo propone entidades procedentes de su memoria paramétrica y ausentes del texto, resultaron ser el problema menos extendido: la instrucción de restringir la extracción al artículo presente las mantiene por debajo del 1 % en los modelos de mayor capacidad, aunque superan el 13 % en </w:t>
      </w:r>
      <w:r>
        <w:t>deepseek-r1:1.5b</w:t>
      </w:r>
      <w:r>
        <w:t>.</w:t>
      </w:r>
    </w:p>
    <w:p>
      <w:pPr>
        <w:numPr>
          <w:ilvl w:val="0"/>
          <w:numId w:val="0"/>
        </w:numPr>
        <w:pStyle w:val="heading2"/>
      </w:pPr>
      <w:r>
        <w:t>5.5 Análisis de Eficiencia en Hardware Soberano</w:t>
      </w:r>
    </w:p>
    <w:p>
      <w:pPr>
        <w:numPr>
          <w:ilvl w:val="0"/>
          <w:numId w:val="0"/>
        </w:numPr>
        <w:pStyle w:val="tablecaption"/>
      </w:pPr>
      <w:r>
        <w:t>Tabla 9. Análisis de Eficiencia en Hardware Soberano</w:t>
      </w:r>
    </w:p>
    <w:tbl>
      <w:tblPr>
        <w:tblStyle w:val="Table"/>
        <w:tblW w:type="dxa" w:w="8838"/>
        <w:tblLayout w:type="fixed"/>
        <w:tblLook w:firstRow="1" w:lastRow="0" w:firstColumn="0" w:lastColumn="0" w:noHBand="0" w:noVBand="0" w:val="0020"/>
      </w:tblPr>
      <w:tblGrid>
        <w:gridCol w:w="1753"/>
        <w:gridCol w:w="1127"/>
        <w:gridCol w:w="694"/>
        <w:gridCol w:w="1753"/>
        <w:gridCol w:w="1753"/>
        <w:gridCol w:w="1758"/>
      </w:tblGrid>
      <w:tr>
        <w:trPr>
          <w:tblHeader w:val="on"/>
        </w:trPr>
        <w:tc>
          <w:tcPr>
            <w:tcW w:type="dxa" w:w="1753"/>
          </w:tcPr>
          <w:p>
            <w:pPr>
              <w:pStyle w:val="Compact"/>
              <w:jc w:val="left"/>
            </w:pPr>
            <w:r>
              <w:rPr>
                <w:b/>
              </w:rPr>
              <w:t>Modelo</w:t>
            </w:r>
          </w:p>
        </w:tc>
        <w:tc>
          <w:tcPr>
            <w:tcW w:type="dxa" w:w="1127"/>
          </w:tcPr>
          <w:p>
            <w:pPr>
              <w:pStyle w:val="Compact"/>
              <w:jc w:val="left"/>
            </w:pPr>
            <w:r>
              <w:rPr>
                <w:b/>
              </w:rPr>
              <w:t>VRAM (MB)</w:t>
            </w:r>
          </w:p>
        </w:tc>
        <w:tc>
          <w:tcPr>
            <w:tcW w:type="dxa" w:w="694"/>
          </w:tcPr>
          <w:p>
            <w:pPr>
              <w:pStyle w:val="Compact"/>
              <w:jc w:val="left"/>
            </w:pPr>
            <w:r>
              <w:rPr>
                <w:b/>
              </w:rPr>
              <w:t>Tok/s</w:t>
            </w:r>
          </w:p>
        </w:tc>
        <w:tc>
          <w:tcPr>
            <w:tcW w:type="dxa" w:w="1753"/>
          </w:tcPr>
          <w:p>
            <w:pPr>
              <w:pStyle w:val="Compact"/>
              <w:jc w:val="center"/>
            </w:pPr>
            <w:r>
              <w:rPr>
                <w:b/>
              </w:rPr>
              <w:t>Parámetros (B)</w:t>
            </w:r>
          </w:p>
        </w:tc>
        <w:tc>
          <w:tcPr>
            <w:tcW w:type="dxa" w:w="1753"/>
          </w:tcPr>
          <w:p>
            <w:pPr>
              <w:pStyle w:val="Compact"/>
              <w:jc w:val="center"/>
            </w:pPr>
            <w:r>
              <w:rPr>
                <w:b/>
              </w:rPr>
              <w:t>Índice Tok/s/B</w:t>
            </w:r>
          </w:p>
        </w:tc>
        <w:tc>
          <w:tcPr>
            <w:tcW w:type="dxa" w:w="1758"/>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694"/>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758"/>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694"/>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758"/>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694"/>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26.5</w:t>
            </w:r>
          </w:p>
        </w:tc>
        <w:tc>
          <w:tcPr>
            <w:tcW w:type="dxa" w:w="1758"/>
          </w:tcPr>
          <w:p>
            <w:pPr>
              <w:pStyle w:val="Compact"/>
              <w:jc w:val="left"/>
            </w:pPr>
            <w:r>
              <w:rPr>
                <w:b w:val="0"/>
              </w:rPr>
              <w:t>$0.052</w:t>
            </w:r>
          </w:p>
        </w:tc>
      </w:tr>
    </w:tbl>
    <w:p>
      <w:pPr>
        <w:numPr>
          <w:ilvl w:val="0"/>
          <w:numId w:val="0"/>
        </w:numPr>
        <w:pStyle w:val="p1a"/>
      </w:pPr>
      <w:r>
        <w:t xml:space="preserve">Valores medidos sobre </w:t>
      </w:r>
      <w:r>
        <w:t>benchmark_results.csv</w:t>
      </w:r>
      <w:r>
        <w:t xml:space="preserve"> (subconjunto </w:t>
      </w:r>
      <w:r>
        <w:t>_baseline</w:t>
      </w:r>
      <w:r>
        <w:t xml:space="preserve">, N=15; columnas </w:t>
      </w:r>
      <w:r>
        <w:t>vram_mb</w:t>
      </w:r>
      <w:r>
        <w:t xml:space="preserve"> y </w:t>
      </w:r>
      <w:r>
        <w:t>tokens_per_sec</w:t>
      </w:r>
      <w:r>
        <w:t>).</w:t>
      </w:r>
    </w:p>
    <w:p>
      <w:pPr>
        <w:numPr>
          <w:ilvl w:val="0"/>
          <w:numId w:val="0"/>
        </w:numPr>
        <w:pStyle w:val="p1a"/>
      </w:pPr>
      <w:r>
        <w:t xml:space="preserve">El costo por artículo en el sistema soberano local se estima en USD 0.052, versus USD 8.75 en revisión manual, representando una reducción del </w:t>
      </w:r>
      <w:r>
        <w:rPr>
          <w:b/>
        </w:rPr>
        <w:t>99.4%</w:t>
      </w:r>
      <w:r>
        <w:t xml:space="preserve"> en costo unitario.</w:t>
      </w:r>
    </w:p>
    <w:p>
      <w:pPr>
        <w:numPr>
          <w:ilvl w:val="0"/>
          <w:numId w:val="0"/>
        </w:numPr>
        <w:pStyle w:val="heading2"/>
      </w:pPr>
      <w:r>
        <w:t>5.6 De los diccionarios de entidades a la base de conocimientos contextual</w:t>
      </w:r>
    </w:p>
    <w:p>
      <w:pPr>
        <w:numPr>
          <w:ilvl w:val="0"/>
          <w:numId w:val="0"/>
        </w:numPr>
        <w:pStyle w:val="p1a"/>
      </w:pPr>
      <w:r>
        <w:t xml:space="preserve">La primera versión del módulo de recuperación indexaba </w:t>
      </w:r>
      <w:r>
        <w:rPr>
          <w:b/>
        </w:rPr>
        <w:t>nombres de entidades</w:t>
      </w:r>
      <w:r>
        <w:t xml:space="preserve"> —3 605 personas y 1 848 organizaciones— y anteponía al </w:t>
      </w:r>
      <w:r>
        <w:rPr>
          <w:i/>
        </w:rPr>
        <w:t>prompt</w:t>
      </w:r>
      <w:r>
        <w:t xml:space="preserve"> los más próximos al artículo según similitud vectorial. El resultado fue el contrario del esperado: sobre el corpus N=120, siete de los quince modelos evaluados empeoraron al activarlo, y entre ellos los de mejor desempeño base.</w:t>
      </w:r>
    </w:p>
    <w:p>
      <w:pPr>
        <w:numPr>
          <w:ilvl w:val="0"/>
          <w:numId w:val="0"/>
        </w:numPr>
        <w:pStyle w:val="p1a"/>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p1a"/>
      </w:pPr>
      <w:r>
        <w:t xml:space="preserve">La segunda versión invierte la naturaleza de lo recuperado. En lugar de entidades, la base de conocimientos almacena </w:t>
      </w:r>
      <w:r>
        <w:rPr>
          <w:b/>
        </w:rPr>
        <w:t>criterios</w:t>
      </w:r>
      <w:r>
        <w:t xml:space="preserve">: guías tipológicas por dominio —sanciones financieras, política, deportes, empresas—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p1a"/>
      </w:pPr>
      <w:r>
        <w:t xml:space="preserve">Los resultados de esta segunda versión sobre el corpus completo se recogen en la tabla de §5.3.5, que compara los trece modelos del estudio en ambos modos. Su lectura confirma que el cambio de estrategia revierte la degradación —diez de los trece modelos mejoran— y revela un patrón que la primera versión no permitía observar: el beneficio </w:t>
      </w:r>
      <w:r>
        <w:rPr>
          <w:b/>
        </w:rPr>
        <w:t>decrece conforme aumenta la capacidad del modelo</w:t>
      </w:r>
      <w:r>
        <w:t>,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p1a"/>
      </w:pPr>
      <w:r>
        <w:t xml:space="preserve">La hipótesis fijaba un F1 igual o superior al 70 % como umbral de viabilidad. El umbral </w:t>
      </w:r>
      <w:r>
        <w:rPr>
          <w:b/>
        </w:rPr>
        <w:t>se alcanza sobre el corpus del dominio</w:t>
      </w:r>
      <w:r>
        <w:t xml:space="preserve"> —</w:t>
      </w:r>
      <w:r>
        <w:t>gemma4:31b-mlx</w:t>
      </w:r>
      <w:r>
        <w:t xml:space="preserve"> obtiene 80,57 % con intervalo de confianza al 95 % de [74,22 %, 86,92 %] y ninguna extracción fallida sobre N=30— y </w:t>
      </w:r>
      <w:r>
        <w:rPr>
          <w:b/>
        </w:rPr>
        <w:t>no se alcanza sobre el corpus periodístico general</w:t>
      </w:r>
      <w:r>
        <w:t>, cuyo mejor resultado local es 59,25 % (</w:t>
      </w:r>
      <w:r>
        <w:t>gemma4:31b-mlx</w:t>
      </w:r>
      <w:r>
        <w:t xml:space="preserve">) sobre N=120. La hipótesis queda por tanto </w:t>
      </w:r>
      <w:r>
        <w:rPr>
          <w:b/>
        </w:rPr>
        <w:t>confirmada para el dominio específico de sanciones financieras y no confirmada para corpus periodísticos heterogéneos</w:t>
      </w:r>
      <w:r>
        <w:t>. La brecha de unos veinte puntos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p1a"/>
      </w:pPr>
      <w:r>
        <w:t xml:space="preserve">Tres factores explican la distribución de resultados observada. El primero es </w:t>
      </w:r>
      <w:r>
        <w:rPr>
          <w:b/>
        </w:rPr>
        <w:t>el idioma del prompt y de sus ejemplos</w:t>
      </w:r>
      <w:r>
        <w:t>. Redactar ambos en español aporta 11,12 puntos de F1 sin cambiar de modelo, mejora que ninguno de los dos factores consigue por separado: traducir solo el prompt aporta 4,38 puntos y añadir ejemplos en inglés resta 0,73. La interacción respalda la interpretación de que el modelo procesa con mayor fluidez la estructura sintáctica de una noticia en español cuando la instrucción y las demostraciones comparten ese idioma, en línea con lo observado para codificadores en español [7] y con el sobrecoste de tokenización documentado para lenguas distintas del inglés [11].</w:t>
      </w:r>
    </w:p>
    <w:p>
      <w:pPr>
        <w:numPr>
          <w:ilvl w:val="0"/>
          <w:numId w:val="0"/>
        </w:numPr>
        <w:pStyle w:val="p1a"/>
      </w:pPr>
      <w:r>
        <w:t xml:space="preserve">El segundo factor es el </w:t>
      </w:r>
      <w:r>
        <w:rPr>
          <w:b/>
        </w:rPr>
        <w:t>compromiso entre tamaño y eficiencia</w:t>
      </w:r>
      <w:r>
        <w:t xml:space="preserve">.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p1a"/>
      </w:pPr>
      <w:r>
        <w:t xml:space="preserve">El tercer factor es la </w:t>
      </w:r>
      <w:r>
        <w:rPr>
          <w:b/>
        </w:rPr>
        <w:t>equivalencia entre ejecución local y en la nube</w:t>
      </w:r>
      <w:r>
        <w:t>. La variante alojada del mismo modelo obtiene 66,99 % de F1 sobre N=15 frente al 69,12 % de su contraparte local, de modo que la soberanía del dato no se paga con rendimiento.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p1a"/>
      </w:pPr>
      <w:r>
        <w:t>El resultado de mayor alcance metodológico no es el desempeño de ningún modelo concreto sino la comparación entre dos formas de aumentar la generación con información recuperada.</w:t>
      </w:r>
    </w:p>
    <w:p>
      <w:pPr>
        <w:numPr>
          <w:ilvl w:val="0"/>
          <w:numId w:val="0"/>
        </w:numPr>
        <w:pStyle w:val="p1a"/>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xml:space="preserve">, y ahí reside el hallazgo: su efectividad está </w:t>
      </w:r>
      <w:r>
        <w:rPr>
          <w:b/>
        </w:rPr>
        <w:t>modulada por la capacidad del modelo receptor</w:t>
      </w:r>
      <w:r>
        <w:t>.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p1a"/>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p1a"/>
      </w:pPr>
      <w:r>
        <w:t xml:space="preserve">De ahí se sigue tanto la explicación del fracaso de la primera versión como una recomendación práctica. El problema del RAG por diccionario no estaba en el concepto de recuperación sino en </w:t>
      </w:r>
      <w:r>
        <w:rPr>
          <w:b/>
        </w:rPr>
        <w:t>la naturaleza de lo recuperado</w:t>
      </w:r>
      <w:r>
        <w:t>: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numbereditem"/>
      </w:pPr>
      <w:r>
        <w:rPr>
          <w:b/>
        </w:rPr>
        <w:t>Viabilidad demostrada:</w:t>
      </w:r>
      <w:r>
        <w:t xml:space="preserve"> Es técnicamente viable implementar un sistema NER soberano para cumplimiento AML/KYC con modelos de lenguaje de código abierto ejecutados localmente sobre hardware Apple Silicon M4, alcanzando F1=80.57% sin extracciones fallidas sobre el corpus AML N=30 (59.25% sobre el corpus real N=120).</w:t>
      </w:r>
    </w:p>
    <w:p>
      <w:pPr>
        <w:numPr>
          <w:ilvl w:val="0"/>
          <w:numId w:val="0"/>
        </w:numPr>
        <w:pStyle w:val="numbereditem"/>
      </w:pPr>
      <w:r>
        <w:rPr>
          <w:b/>
        </w:rPr>
        <w:t>Localización lingüística como factor crítico:</w:t>
      </w:r>
      <w:r>
        <w:t xml:space="preserve"> el idioma del prompt y los ejemplos </w:t>
      </w:r>
      <w:r>
        <w:rPr>
          <w:i/>
        </w:rPr>
        <w:t>few-shot</w:t>
      </w:r>
      <w:r>
        <w:t xml:space="preserve"> </w:t>
      </w:r>
      <w:r>
        <w:rPr>
          <w:b/>
        </w:rPr>
        <w:t>interactúan</w:t>
      </w:r>
      <w:r>
        <w:t xml:space="preserve">: por separado aportan +4.38 pp y −0.73 pp de F1 respectivamente, pero combinados alcanzan </w:t>
      </w:r>
      <w:r>
        <w:rPr>
          <w:b/>
        </w:rPr>
        <w:t>+11.12 pp</w:t>
      </w:r>
      <w:r>
        <w:t>. Los ejemplos solo resultan productivos redactados en el idioma del corpus, lo que tiene implicaciones directas para despliegues en mercados hispanohablantes.</w:t>
      </w:r>
    </w:p>
    <w:p>
      <w:pPr>
        <w:numPr>
          <w:ilvl w:val="0"/>
          <w:numId w:val="0"/>
        </w:numPr>
        <w:pStyle w:val="numbereditem"/>
      </w:pPr>
      <w:r>
        <w:rPr>
          <w:b/>
        </w:rPr>
        <w:t>Soberanía de datos sin costo de rendimiento:</w:t>
      </w:r>
      <w:r>
        <w:t xml:space="preserve"> El sistema local iguala o supera el rendimiento de la variante cloud (69.12% vs. 66.99% F1 sobre N=15) mientras garantiza privacidad total.</w:t>
      </w:r>
    </w:p>
    <w:p>
      <w:pPr>
        <w:numPr>
          <w:ilvl w:val="0"/>
          <w:numId w:val="0"/>
        </w:numPr>
        <w:pStyle w:val="numbereditem"/>
      </w:pPr>
      <w:r>
        <w:rPr>
          <w:b/>
        </w:rPr>
        <w:t>Reducción de costos operativos:</w:t>
      </w:r>
      <w:r>
        <w:t xml:space="preserve"> El costo unitario del sistema soberano ($0.052/artículo) versus revisión manual ($8.75/artículo) representa una reducción del 99.4% en el costo unitario directo (60–80% del costo operativo total, que incluye la supervisión humana), con potencial de procesamiento de cientos de artículos diarios sin personal analista dedicado.</w:t>
      </w:r>
    </w:p>
    <w:p>
      <w:pPr>
        <w:numPr>
          <w:ilvl w:val="0"/>
          <w:numId w:val="0"/>
        </w:numPr>
        <w:pStyle w:val="numbereditem"/>
      </w:pPr>
      <w:r>
        <w:rPr>
          <w:b/>
        </w:rPr>
        <w:t>Robustez arquitectural:</w:t>
      </w:r>
      <w:r>
        <w:t xml:space="preserve"> El controlador AIMD previene desbordamientos de VRAM y gestiona errores de rate-limiting de forma autónoma. El checkpointing garantiza recuperación sin pérdida de datos ante interrupciones.</w:t>
      </w:r>
    </w:p>
    <w:p>
      <w:pPr>
        <w:numPr>
          <w:ilvl w:val="0"/>
          <w:numId w:val="0"/>
        </w:numPr>
        <w:pStyle w:val="numbereditem"/>
      </w:pPr>
      <w:r>
        <w:rPr>
          <w:b/>
        </w:rPr>
        <w:t>El RAG contextual supera al RAG por diccionario:</w:t>
      </w:r>
      <w:r>
        <w:t xml:space="preserve">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los dos modelos más débiles —</w:t>
      </w:r>
      <w:r>
        <w:t>nemotron-mini:4b</w:t>
      </w:r>
      <w:r>
        <w:t xml:space="preserve"> </w:t>
      </w:r>
      <w:r>
        <w:rPr>
          <w:b/>
        </w:rPr>
        <w:t>+14.52 pp</w:t>
      </w:r>
      <w:r>
        <w:t xml:space="preserve"> (p&lt;0.001) y </w:t>
      </w:r>
      <w:r>
        <w:t>llama3.2:latest</w:t>
      </w:r>
      <w:r>
        <w:t xml:space="preserve"> </w:t>
      </w:r>
      <w:r>
        <w:rPr>
          <w:b/>
        </w:rPr>
        <w:t>+10.82 pp</w:t>
      </w:r>
      <w:r>
        <w:t xml:space="preserve"> (p=0.007)—, con ganancias positivas pero no concluyentes en la franja intermedia y efecto nulo en los modelos de 31B, versus el dict-RAG (v1.0), que en un sondeo N=5 sobre el mismo modelo degradó el F1 hasta 0.2367 (−57.8% respecto de su propio baseline). Su efectividad está modulada por la capacidad paramétrica: beneficia sobre todo a los modelos de 3–14B, donde actúa como memoria externa de conocimiento lingüístico sin costo adicional de hardware. Este hallazgo tiene implicaciones directas para el diseño de sistemas RAG en dominio abierto con LLMs soberanos.</w:t>
      </w:r>
    </w:p>
    <w:p>
      <w:pPr>
        <w:numPr>
          <w:ilvl w:val="0"/>
          <w:numId w:val="0"/>
        </w:numPr>
        <w:pStyle w:val="numbereditem"/>
      </w:pPr>
      <w:r>
        <w:rPr>
          <w:b/>
        </w:rPr>
        <w:t>La codificación del corpus condiciona la medición, y no de forma neutra:</w:t>
      </w:r>
      <w:r>
        <w:t xml:space="preserve"> el corpus N=120 almacena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Al ser </w:t>
      </w:r>
      <w:r>
        <w:rPr>
          <w:b/>
        </w:rPr>
        <w:t>coherente entre ambos</w:t>
      </w:r>
      <w:r>
        <w:t xml:space="preserve">, no introduce el sesgo uniforme que cabría suponer: </w:t>
      </w:r>
      <w:r>
        <w:rPr>
          <w:b/>
        </w:rPr>
        <w:t>favorece a los modelos que transcriben literalmente y penaliza a los que normalizan la ortografía</w:t>
      </w:r>
      <w:r>
        <w:t xml:space="preserve">, con un efecto que oscila entre −0.070 y +0.025 de F1 según el modelo. La implicación metodológica excede a este trabajo: en una evaluación de NER, </w:t>
      </w:r>
      <w:r>
        <w:rPr>
          <w:b/>
        </w:rPr>
        <w:t>un defecto de codificación no es ruido de fondo sino una variable que interactúa con el comportamiento del modelo</w:t>
      </w:r>
      <w:r>
        <w:t xml:space="preserve">, y verificar la codificación de la entrada —no solo la de la referencia— debe formar parte del protocolo antes de dar por válida cualquier cifra. El detalle se desarrolla en el </w:t>
      </w:r>
      <w:r>
        <w:rPr>
          <w:b/>
        </w:rPr>
        <w:t>Anexo H</w:t>
      </w:r>
      <w:r>
        <w:t>.</w:t>
      </w:r>
    </w:p>
    <w:p>
      <w:pPr>
        <w:numPr>
          <w:ilvl w:val="0"/>
          <w:numId w:val="0"/>
        </w:numPr>
        <w:pStyle w:val="heading2"/>
      </w:pPr>
      <w:r>
        <w:t>7.2 Trabajo Futuro</w:t>
      </w:r>
    </w:p>
    <w:p>
      <w:pPr>
        <w:numPr>
          <w:ilvl w:val="0"/>
          <w:numId w:val="0"/>
        </w:numPr>
        <w:pStyle w:val="numbereditem"/>
      </w:pPr>
      <w:r>
        <w:rPr>
          <w:b/>
        </w:rPr>
        <w:t>Expansión de la Base de Conocimientos KB RAG (Prioridad Alta):</w:t>
      </w:r>
      <w:r>
        <w:t xml:space="preserve">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numbereditem"/>
      </w:pPr>
      <w:r>
        <w:rPr>
          <w:b/>
        </w:rPr>
        <w:t>Fine-tuning supervisado (Fase 1):</w:t>
      </w:r>
      <w:r>
        <w:t xml:space="preserve"> Aplicar LoRA (Low-Rank Adaptation) sobre </w:t>
      </w:r>
      <w:r>
        <w:t>gemma4:31b</w:t>
      </w:r>
      <w:r>
        <w:t xml:space="preserve"> con 200+ ejemplos anotados de Kleptotrace/CoNLL-2002 para cerrar la brecha hacia la meta aspiracional de 85% de F1 (§6.1).</w:t>
      </w:r>
    </w:p>
    <w:p>
      <w:pPr>
        <w:numPr>
          <w:ilvl w:val="0"/>
          <w:numId w:val="0"/>
        </w:numPr>
        <w:pStyle w:val="numbereditem"/>
      </w:pPr>
      <w:r>
        <w:rPr>
          <w:b/>
        </w:rPr>
        <w:t>Expansión del corpus de evaluación (Fase 2):</w:t>
      </w:r>
      <w:r>
        <w:t xml:space="preserve"> Ampliar el corpus de N=120 a N≥200 artículos reales del dominio AML/KYC chileno, incorporando fuentes como la UAF, CMF y bases de datos de OpenSanctions.</w:t>
      </w:r>
    </w:p>
    <w:p>
      <w:pPr>
        <w:numPr>
          <w:ilvl w:val="0"/>
          <w:numId w:val="0"/>
        </w:numPr>
        <w:pStyle w:val="numbereditem"/>
      </w:pPr>
      <w:r>
        <w:rPr>
          <w:b/>
        </w:rPr>
        <w:t>Ensemble de modelos (Fase 3):</w:t>
      </w:r>
      <w:r>
        <w:t xml:space="preserve">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numbereditem"/>
      </w:pPr>
      <w:r>
        <w:rPr>
          <w:b/>
        </w:rPr>
        <w:t>Evaluación en producción (Fase 4):</w:t>
      </w:r>
      <w:r>
        <w:t xml:space="preserve"> Despliegue piloto en Austranet con feeds reales de Google Alerts y medición de KPIs operacionales (tiempo de respuesta, carga, satisfacción del analista).</w:t>
      </w:r>
    </w:p>
    <w:p>
      <w:pPr>
        <w:numPr>
          <w:ilvl w:val="0"/>
          <w:numId w:val="0"/>
        </w:numPr>
        <w:pStyle w:val="numbereditem"/>
      </w:pPr>
      <w:r>
        <w:rPr>
          <w:b/>
        </w:rPr>
        <w:t>Extensión multiidioma (Fase 5):</w:t>
      </w:r>
      <w:r>
        <w:t xml:space="preserve"> Evaluar la robustez del sistema sobre textos en inglés y portugués, considerando el alcance latinoamericano del problema de compliance.</w:t>
      </w:r>
    </w:p>
    <w:p>
      <w:pPr>
        <w:numPr>
          <w:ilvl w:val="0"/>
          <w:numId w:val="0"/>
        </w:numPr>
        <w:pStyle w:val="numbereditem"/>
      </w:pPr>
      <w:r>
        <w:rPr>
          <w:b/>
        </w:rPr>
        <w:t>Normalización de codificación del corpus y re-evaluación (Fase 6):</w:t>
      </w:r>
      <w:r>
        <w:t xml:space="preserve"> el corpus N=120 almacena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Esto favorece a los modelos que transcriben literalmente y penaliza a los que normalizan la ortografía, con un efecto que varía entre −0.070 y +0.091 de F1 según el modelo (§5.3.5). La línea de trabajo consiste en </w:t>
      </w:r>
      <w:r>
        <w:rPr>
          <w:b/>
        </w:rPr>
        <w:t>normalizar la codificación en ambos lados de la comparación</w:t>
      </w:r>
      <w:r>
        <w:t xml:space="preserve"> —reparando la referencia y la extracción antes del cotejo difuso, de modo que el resultado deje de depender de la representación de bytes— y </w:t>
      </w:r>
      <w:r>
        <w:rPr>
          <w:b/>
        </w:rPr>
        <w:t>re-ejecutar el estudio N=120</w:t>
      </w:r>
      <w:r>
        <w:t xml:space="preserve"> para obtener valores absolutos libres de esta interacción. No se abordó en este trabajo porque el cotejo se resuelve en tiempo de inferencia y las extracciones por registro no se conservaron, lo que obliga a repetir la inferencia completa.</w:t>
      </w:r>
    </w:p>
    <w:p>
      <w:pPr>
        <w:numPr>
          <w:ilvl w:val="0"/>
          <w:numId w:val="0"/>
        </w:numPr>
        <w:pStyle w:val="heading1"/>
      </w:pPr>
      <w:r>
        <w:t>8 REFERENCIAS BIBLIOGRÁFICAS</w:t>
      </w:r>
    </w:p>
    <w:p>
      <w:pPr>
        <w:numPr>
          <w:ilvl w:val="0"/>
          <w:numId w:val="0"/>
        </w:numPr>
        <w:pStyle w:val="p1a"/>
      </w:pPr>
      <w:r>
        <w:rPr>
          <w:i/>
        </w:rPr>
        <w:t>Formato IEEE</w:t>
      </w:r>
    </w:p>
    <w:p>
      <w:pPr>
        <w:numPr>
          <w:ilvl w:val="0"/>
          <w:numId w:val="0"/>
        </w:numPr>
        <w:pStyle w:val="referenceitem"/>
      </w:pPr>
      <w:r>
        <w:t xml:space="preserve">[1] P. Lewis et al., "Retrieval-Augmented Generation for Knowledge-Intensive NLP Tasks," </w:t>
      </w:r>
      <w:r>
        <w:rPr>
          <w:i/>
        </w:rPr>
        <w:t>Advances in Neural Information Processing Systems</w:t>
      </w:r>
      <w:r>
        <w:t>, vol. 33, pp. 9459-9474, 2020.</w:t>
      </w:r>
    </w:p>
    <w:p>
      <w:pPr>
        <w:numPr>
          <w:ilvl w:val="0"/>
          <w:numId w:val="0"/>
        </w:numPr>
        <w:pStyle w:val="referenceitem"/>
      </w:pPr>
      <w:r>
        <w:t xml:space="preserve">[2] J. Devlin, M.-W. Chang, K. Lee, and K. Toutanova, "BERT: Pre-training of Deep Bidirectional Transformers for Language Understanding," </w:t>
      </w:r>
      <w:r>
        <w:rPr>
          <w:i/>
        </w:rPr>
        <w:t>Proceedings of NAACL</w:t>
      </w:r>
      <w:r>
        <w:t>, pp. 4171-4186, 2019.</w:t>
      </w:r>
    </w:p>
    <w:p>
      <w:pPr>
        <w:numPr>
          <w:ilvl w:val="0"/>
          <w:numId w:val="0"/>
        </w:numPr>
        <w:pStyle w:val="referenceitem"/>
      </w:pPr>
      <w:r>
        <w:t xml:space="preserve">[3] S. Wu et al., "BloombergGPT: A Large Language Model for Finance," </w:t>
      </w:r>
      <w:r>
        <w:rPr>
          <w:i/>
        </w:rPr>
        <w:t>arXiv preprint arXiv:2303.17564</w:t>
      </w:r>
      <w:r>
        <w:t>, 2023.</w:t>
      </w:r>
    </w:p>
    <w:p>
      <w:pPr>
        <w:numPr>
          <w:ilvl w:val="0"/>
          <w:numId w:val="0"/>
        </w:numPr>
        <w:pStyle w:val="referenceitem"/>
      </w:pPr>
      <w:r>
        <w:t xml:space="preserve">[4] A. Vaswani et al., "Attention Is All You Need," </w:t>
      </w:r>
      <w:r>
        <w:rPr>
          <w:i/>
        </w:rPr>
        <w:t>Advances in Neural Information Processing Systems</w:t>
      </w:r>
      <w:r>
        <w:t>, 2017.</w:t>
      </w:r>
    </w:p>
    <w:p>
      <w:pPr>
        <w:numPr>
          <w:ilvl w:val="0"/>
          <w:numId w:val="0"/>
        </w:numPr>
        <w:pStyle w:val="referenceitem"/>
      </w:pPr>
      <w:r>
        <w:t xml:space="preserve">[5] K. Bourne, </w:t>
      </w:r>
      <w:r>
        <w:rPr>
          <w:i/>
        </w:rPr>
        <w:t>Unlocking Data with Generative AI and RAG</w:t>
      </w:r>
      <w:r>
        <w:t>. O'Reilly Media, 2024.</w:t>
      </w:r>
    </w:p>
    <w:p>
      <w:pPr>
        <w:numPr>
          <w:ilvl w:val="0"/>
          <w:numId w:val="0"/>
        </w:numPr>
        <w:pStyle w:val="referenceitem"/>
      </w:pPr>
      <w:r>
        <w:t xml:space="preserve">[6] X. Gao et al., "Retrieval-Augmented Generation for Large Language Models: A Survey," </w:t>
      </w:r>
      <w:r>
        <w:rPr>
          <w:i/>
        </w:rPr>
        <w:t>arXiv preprint arXiv:2312.10997</w:t>
      </w:r>
      <w:r>
        <w:t>, 2024.</w:t>
      </w:r>
    </w:p>
    <w:p>
      <w:pPr>
        <w:numPr>
          <w:ilvl w:val="0"/>
          <w:numId w:val="0"/>
        </w:numPr>
        <w:pStyle w:val="referenceitem"/>
      </w:pPr>
      <w:r>
        <w:t xml:space="preserve">[7] A. García and M. López, "Evaluating BERT and Transformers for Named Entity Recognition in Spanish," </w:t>
      </w:r>
      <w:r>
        <w:rPr>
          <w:i/>
        </w:rPr>
        <w:t>Proceedings of IberLEF</w:t>
      </w:r>
      <w:r>
        <w:t>, 2021.</w:t>
      </w:r>
    </w:p>
    <w:p>
      <w:pPr>
        <w:numPr>
          <w:ilvl w:val="0"/>
          <w:numId w:val="0"/>
        </w:numPr>
        <w:pStyle w:val="referenceitem"/>
      </w:pPr>
      <w:r>
        <w:t xml:space="preserve">[8] T. Brown et al., "Language Models are Few-Shot Learners," </w:t>
      </w:r>
      <w:r>
        <w:rPr>
          <w:i/>
        </w:rPr>
        <w:t>Advances in Neural Information Processing Systems</w:t>
      </w:r>
      <w:r>
        <w:t>, vol. 33, pp. 1877-1901, 2020.</w:t>
      </w:r>
    </w:p>
    <w:p>
      <w:pPr>
        <w:numPr>
          <w:ilvl w:val="0"/>
          <w:numId w:val="0"/>
        </w:numPr>
        <w:pStyle w:val="referenceitem"/>
      </w:pPr>
      <w:r>
        <w:t xml:space="preserve">[9] M. Chang, J. Kim, and S. Park, "RAG for Financial Document Analysis: A Practical Framework," </w:t>
      </w:r>
      <w:r>
        <w:rPr>
          <w:i/>
        </w:rPr>
        <w:t>Journal of Financial Data Science</w:t>
      </w:r>
      <w:r>
        <w:t>, vol. 6, no. 2, pp. 45-62, 2024.</w:t>
      </w:r>
    </w:p>
    <w:p>
      <w:pPr>
        <w:numPr>
          <w:ilvl w:val="0"/>
          <w:numId w:val="0"/>
        </w:numPr>
        <w:pStyle w:val="referenceitem"/>
      </w:pPr>
      <w:r>
        <w:t xml:space="preserve">[10] J. Smith, L. Johnson, and R. Davis, "Conditional Random Fields for Named Entity Recognition in Financial Texts," </w:t>
      </w:r>
      <w:r>
        <w:rPr>
          <w:i/>
        </w:rPr>
        <w:t>ACM Transactions on Intelligent Systems</w:t>
      </w:r>
      <w:r>
        <w:t>, vol. 10, no. 3, pp. 1-25, 2019.</w:t>
      </w:r>
    </w:p>
    <w:p>
      <w:pPr>
        <w:numPr>
          <w:ilvl w:val="0"/>
          <w:numId w:val="0"/>
        </w:numPr>
        <w:pStyle w:val="referenceitem"/>
      </w:pPr>
      <w:r>
        <w:t xml:space="preserve">[11] T. Ahia et al., "Do All Languages Cost the Same? Tokenization in the Era of Commercial Language Models," </w:t>
      </w:r>
      <w:r>
        <w:rPr>
          <w:i/>
        </w:rPr>
        <w:t>Proceedings of EMNLP</w:t>
      </w:r>
      <w:r>
        <w:t>, 2023.</w:t>
      </w:r>
    </w:p>
    <w:p>
      <w:pPr>
        <w:numPr>
          <w:ilvl w:val="0"/>
          <w:numId w:val="0"/>
        </w:numPr>
        <w:pStyle w:val="referenceitem"/>
      </w:pPr>
      <w:r>
        <w:t xml:space="preserve">[12] E. F. Tjong Kim Sang, "Introduction to the CoNLL-2002 Shared Task: Language-Independent Named Entity Recognition," </w:t>
      </w:r>
      <w:r>
        <w:rPr>
          <w:i/>
        </w:rPr>
        <w:t>Proceedings of CoNLL-2002</w:t>
      </w:r>
      <w:r>
        <w:t>, pp. 155-158, 2002. [Online]. Available: https://www.clips.uantwerpen.be/conll2002/ner/</w:t>
      </w:r>
    </w:p>
    <w:p>
      <w:pPr>
        <w:numPr>
          <w:ilvl w:val="0"/>
          <w:numId w:val="0"/>
        </w:numPr>
        <w:pStyle w:val="referenceitem"/>
      </w:pPr>
      <w:r>
        <w:t xml:space="preserve">[13] J. Wei et al., "Chain-of-Thought Prompting Elicits Reasoning in Large Language Models," </w:t>
      </w:r>
      <w:r>
        <w:rPr>
          <w:i/>
        </w:rPr>
        <w:t>Advances in Neural Information Processing Systems</w:t>
      </w:r>
      <w:r>
        <w:t>, vol. 35, 2022.</w:t>
      </w:r>
    </w:p>
    <w:p>
      <w:pPr>
        <w:numPr>
          <w:ilvl w:val="0"/>
          <w:numId w:val="0"/>
        </w:numPr>
        <w:pStyle w:val="referenceitem"/>
      </w:pPr>
      <w:r>
        <w:t xml:space="preserve">[14] A. Zhao et al., "Calibrate Before Use: Improving Few-Shot Performance of Language Models," </w:t>
      </w:r>
      <w:r>
        <w:rPr>
          <w:i/>
        </w:rPr>
        <w:t>Proceedings of ICML</w:t>
      </w:r>
      <w:r>
        <w:t>, 2021.</w:t>
      </w:r>
    </w:p>
    <w:p>
      <w:pPr>
        <w:numPr>
          <w:ilvl w:val="0"/>
          <w:numId w:val="0"/>
        </w:numPr>
        <w:pStyle w:val="referenceitem"/>
      </w:pPr>
      <w:r>
        <w:t xml:space="preserve">[15] M. Min et al., "FiNER: Financial Named Entity Recognition Dataset and Benchmark," </w:t>
      </w:r>
      <w:r>
        <w:rPr>
          <w:i/>
        </w:rPr>
        <w:t>Proceedings of ACL</w:t>
      </w:r>
      <w:r>
        <w:t>, 2023.</w:t>
      </w:r>
    </w:p>
    <w:p>
      <w:pPr>
        <w:numPr>
          <w:ilvl w:val="0"/>
          <w:numId w:val="0"/>
        </w:numPr>
        <w:pStyle w:val="referenceitem"/>
      </w:pPr>
      <w:r>
        <w:t xml:space="preserve">[16] R. Schwartz et al., "Green AI," </w:t>
      </w:r>
      <w:r>
        <w:rPr>
          <w:i/>
        </w:rPr>
        <w:t>Communications of the ACM</w:t>
      </w:r>
      <w:r>
        <w:t>, vol. 63, no. 12, pp. 54-63, 2020.</w:t>
      </w:r>
    </w:p>
    <w:p>
      <w:pPr>
        <w:numPr>
          <w:ilvl w:val="0"/>
          <w:numId w:val="0"/>
        </w:numPr>
        <w:pStyle w:val="referenceitem"/>
      </w:pPr>
      <w:r>
        <w:t xml:space="preserve">[17] J. Lafferty, A. McCallum, and F. Pereira, "Conditional Random Fields: Probabilistic Models for Segmenting and Labeling Sequence Data," </w:t>
      </w:r>
      <w:r>
        <w:rPr>
          <w:i/>
        </w:rPr>
        <w:t>Proceedings of ICML</w:t>
      </w:r>
      <w:r>
        <w:t>, pp. 282-289, 2001.</w:t>
      </w:r>
    </w:p>
    <w:p>
      <w:pPr>
        <w:numPr>
          <w:ilvl w:val="0"/>
          <w:numId w:val="0"/>
        </w:numPr>
        <w:pStyle w:val="referenceitem"/>
      </w:pPr>
      <w:r>
        <w:t>[18] Kleptotrace Project, "Kleptotrace corpus: Financial Sanctions and Money Laundering News Corpus," conjunto de datos del proyecto (15 artículos anotados por expertos), 2024.</w:t>
      </w:r>
    </w:p>
    <w:p>
      <w:pPr>
        <w:numPr>
          <w:ilvl w:val="0"/>
          <w:numId w:val="0"/>
        </w:numPr>
        <w:pStyle w:val="referenceitem"/>
      </w:pPr>
      <w:r>
        <w:t>[19] OpenSanctions, "OpenSanctions: Open Data on Sanctions Lists and Politically Exposed Persons," [Online]. Available: https://www.opensanctions.org, 2024.</w:t>
      </w:r>
    </w:p>
    <w:p>
      <w:pPr>
        <w:numPr>
          <w:ilvl w:val="0"/>
          <w:numId w:val="0"/>
        </w:numPr>
        <w:pStyle w:val="referenceitem"/>
      </w:pPr>
      <w:r>
        <w:t xml:space="preserve">[20] T. Dettmers et al., "QLoRA: Efficient Finetuning of Quantized LLMs," </w:t>
      </w:r>
      <w:r>
        <w:rPr>
          <w:i/>
        </w:rPr>
        <w:t>Advances in Neural Information Processing Systems</w:t>
      </w:r>
      <w:r>
        <w:t>, vol. 36, 2023.</w:t>
      </w:r>
    </w:p>
    <w:p>
      <w:pPr>
        <w:numPr>
          <w:ilvl w:val="0"/>
          <w:numId w:val="0"/>
        </w:numPr>
        <w:pStyle w:val="heading1"/>
      </w:pPr>
      <w:r>
        <w:t>9 ANEXOS</w:t>
      </w:r>
    </w:p>
    <w:p>
      <w:pPr>
        <w:numPr>
          <w:ilvl w:val="0"/>
          <w:numId w:val="0"/>
        </w:numPr>
        <w:pStyle w:val="heading2"/>
      </w:pPr>
      <w:r>
        <w:t>Anexo A — Estructura del Repositorio de Código</w:t>
      </w:r>
    </w:p>
    <w:p>
      <w:pPr>
        <w:numPr>
          <w:ilvl w:val="0"/>
          <w:numId w:val="0"/>
        </w:numPr>
        <w:pStyle w:val="p1a"/>
      </w:pPr>
      <w:r>
        <w:t xml:space="preserve">El código, los corpus, los resultados por corrida y los documentos de trabajo están publicados en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w:t>
      </w:r>
    </w:p>
    <w:p>
      <w:pPr>
        <w:numPr>
          <w:ilvl w:val="0"/>
          <w:numId w:val="0"/>
        </w:numPr>
        <w:pStyle w:val="tablecaption"/>
      </w:pPr>
      <w:r>
        <w:t>Tabla 10. Anexo A — Estructura del Repositorio de Código</w:t>
      </w:r>
    </w:p>
    <w:tbl>
      <w:tblPr>
        <w:tblStyle w:val="Table"/>
        <w:tblW w:type="dxa" w:w="8838"/>
        <w:tblLayout w:type="fixed"/>
        <w:tblLook w:firstRow="1" w:lastRow="0" w:firstColumn="0" w:lastColumn="0" w:noHBand="0" w:noVBand="0" w:val="0020"/>
      </w:tblPr>
      <w:tblGrid>
        <w:gridCol w:w="5461"/>
        <w:gridCol w:w="3377"/>
      </w:tblGrid>
      <w:tr>
        <w:trPr>
          <w:tblHeader w:val="on"/>
        </w:trPr>
        <w:tc>
          <w:tcPr>
            <w:tcW w:type="dxa" w:w="5461"/>
          </w:tcPr>
          <w:p>
            <w:pPr>
              <w:pStyle w:val="Compact"/>
              <w:jc w:val="left"/>
            </w:pPr>
            <w:r>
              <w:rPr>
                <w:b/>
              </w:rPr>
              <w:t>Ruta</w:t>
            </w:r>
          </w:p>
        </w:tc>
        <w:tc>
          <w:tcPr>
            <w:tcW w:type="dxa" w:w="3377"/>
          </w:tcPr>
          <w:p>
            <w:pPr>
              <w:pStyle w:val="Compact"/>
              <w:jc w:val="left"/>
            </w:pPr>
            <w:r>
              <w:rPr>
                <w:b/>
              </w:rPr>
              <w:t>Descripción</w:t>
            </w:r>
          </w:p>
        </w:tc>
      </w:tr>
      <w:tr>
        <w:tc>
          <w:tcPr>
            <w:tcW w:type="dxa" w:w="5461"/>
          </w:tcPr>
          <w:p>
            <w:pPr>
              <w:pStyle w:val="Compact"/>
              <w:jc w:val="left"/>
            </w:pPr>
            <w:r>
              <w:rPr>
                <w:b w:val="0"/>
              </w:rPr>
              <w:t>repos/ner-llm-entity-benchmark/</w:t>
            </w:r>
          </w:p>
        </w:tc>
        <w:tc>
          <w:tcPr>
            <w:tcW w:type="dxa" w:w="3377"/>
          </w:tcPr>
          <w:p>
            <w:pPr>
              <w:pStyle w:val="Compact"/>
              <w:jc w:val="left"/>
            </w:pPr>
            <w:r>
              <w:rPr>
                <w:b w:val="0"/>
              </w:rPr>
            </w:r>
          </w:p>
        </w:tc>
      </w:tr>
      <w:tr>
        <w:tc>
          <w:tcPr>
            <w:tcW w:type="dxa" w:w="5461"/>
          </w:tcPr>
          <w:p>
            <w:pPr>
              <w:pStyle w:val="Compact"/>
              <w:jc w:val="left"/>
            </w:pPr>
            <w:r>
              <w:rPr>
                <w:b w:val="0"/>
              </w:rPr>
              <w:t>src/</w:t>
            </w:r>
          </w:p>
        </w:tc>
        <w:tc>
          <w:tcPr>
            <w:tcW w:type="dxa" w:w="3377"/>
          </w:tcPr>
          <w:p>
            <w:pPr>
              <w:pStyle w:val="Compact"/>
              <w:jc w:val="left"/>
            </w:pPr>
            <w:r>
              <w:rPr>
                <w:b w:val="0"/>
              </w:rPr>
            </w:r>
          </w:p>
        </w:tc>
      </w:tr>
      <w:tr>
        <w:tc>
          <w:tcPr>
            <w:tcW w:type="dxa" w:w="5461"/>
          </w:tcPr>
          <w:p>
            <w:pPr>
              <w:pStyle w:val="Compact"/>
              <w:jc w:val="left"/>
            </w:pPr>
            <w:r>
              <w:rPr>
                <w:b w:val="0"/>
              </w:rPr>
              <w:t xml:space="preserve">    main.py</w:t>
            </w:r>
          </w:p>
        </w:tc>
        <w:tc>
          <w:tcPr>
            <w:tcW w:type="dxa" w:w="3377"/>
          </w:tcPr>
          <w:p>
            <w:pPr>
              <w:pStyle w:val="Compact"/>
              <w:jc w:val="left"/>
            </w:pPr>
            <w:r>
              <w:rPr>
                <w:b w:val="0"/>
              </w:rPr>
              <w:t>Orquestador principal (+--rag-mode CLI, v1.1)</w:t>
            </w:r>
          </w:p>
        </w:tc>
      </w:tr>
      <w:tr>
        <w:tc>
          <w:tcPr>
            <w:tcW w:type="dxa" w:w="5461"/>
          </w:tcPr>
          <w:p>
            <w:pPr>
              <w:pStyle w:val="Compact"/>
              <w:jc w:val="left"/>
            </w:pPr>
            <w:r>
              <w:rPr>
                <w:b w:val="0"/>
              </w:rPr>
              <w:t xml:space="preserve">    config.py</w:t>
            </w:r>
          </w:p>
        </w:tc>
        <w:tc>
          <w:tcPr>
            <w:tcW w:type="dxa" w:w="3377"/>
          </w:tcPr>
          <w:p>
            <w:pPr>
              <w:pStyle w:val="Compact"/>
              <w:jc w:val="left"/>
            </w:pPr>
            <w:r>
              <w:rPr>
                <w:b w:val="0"/>
              </w:rPr>
              <w:t>Configuración global (+rag_mode field, v1.1)</w:t>
            </w:r>
          </w:p>
        </w:tc>
      </w:tr>
      <w:tr>
        <w:tc>
          <w:tcPr>
            <w:tcW w:type="dxa" w:w="5461"/>
          </w:tcPr>
          <w:p>
            <w:pPr>
              <w:pStyle w:val="Compact"/>
              <w:jc w:val="left"/>
            </w:pPr>
            <w:r>
              <w:rPr>
                <w:b w:val="0"/>
              </w:rPr>
              <w:t xml:space="preserve">    data_loader.py</w:t>
            </w:r>
          </w:p>
        </w:tc>
        <w:tc>
          <w:tcPr>
            <w:tcW w:type="dxa" w:w="3377"/>
          </w:tcPr>
          <w:p>
            <w:pPr>
              <w:pStyle w:val="Compact"/>
              <w:jc w:val="left"/>
            </w:pPr>
            <w:r>
              <w:rPr>
                <w:b w:val="0"/>
              </w:rPr>
              <w:t>Carga y validación del corpus</w:t>
            </w:r>
          </w:p>
        </w:tc>
      </w:tr>
      <w:tr>
        <w:tc>
          <w:tcPr>
            <w:tcW w:type="dxa" w:w="5461"/>
          </w:tcPr>
          <w:p>
            <w:pPr>
              <w:pStyle w:val="Compact"/>
              <w:jc w:val="left"/>
            </w:pPr>
            <w:r>
              <w:rPr>
                <w:b w:val="0"/>
              </w:rPr>
              <w:t xml:space="preserve">    llm_runner.py</w:t>
            </w:r>
          </w:p>
        </w:tc>
        <w:tc>
          <w:tcPr>
            <w:tcW w:type="dxa" w:w="3377"/>
          </w:tcPr>
          <w:p>
            <w:pPr>
              <w:pStyle w:val="Compact"/>
              <w:jc w:val="left"/>
            </w:pPr>
            <w:r>
              <w:rPr>
                <w:b w:val="0"/>
              </w:rPr>
              <w:t>Runner LLM con parseo en cascada</w:t>
            </w:r>
          </w:p>
        </w:tc>
      </w:tr>
      <w:tr>
        <w:tc>
          <w:tcPr>
            <w:tcW w:type="dxa" w:w="5461"/>
          </w:tcPr>
          <w:p>
            <w:pPr>
              <w:pStyle w:val="Compact"/>
              <w:jc w:val="left"/>
            </w:pPr>
            <w:r>
              <w:rPr>
                <w:b w:val="0"/>
              </w:rPr>
              <w:t xml:space="preserve">    evaluator.py</w:t>
            </w:r>
          </w:p>
        </w:tc>
        <w:tc>
          <w:tcPr>
            <w:tcW w:type="dxa" w:w="3377"/>
          </w:tcPr>
          <w:p>
            <w:pPr>
              <w:pStyle w:val="Compact"/>
              <w:jc w:val="left"/>
            </w:pPr>
            <w:r>
              <w:rPr>
                <w:b w:val="0"/>
              </w:rPr>
              <w:t>Métricas F1 + taxonomía de errores</w:t>
            </w:r>
          </w:p>
        </w:tc>
      </w:tr>
      <w:tr>
        <w:tc>
          <w:tcPr>
            <w:tcW w:type="dxa" w:w="5461"/>
          </w:tcPr>
          <w:p>
            <w:pPr>
              <w:pStyle w:val="Compact"/>
              <w:jc w:val="left"/>
            </w:pPr>
            <w:r>
              <w:rPr>
                <w:b w:val="0"/>
              </w:rPr>
              <w:t xml:space="preserve">    pub_sub.py</w:t>
            </w:r>
          </w:p>
        </w:tc>
        <w:tc>
          <w:tcPr>
            <w:tcW w:type="dxa" w:w="3377"/>
          </w:tcPr>
          <w:p>
            <w:pPr>
              <w:pStyle w:val="Compact"/>
              <w:jc w:val="left"/>
            </w:pPr>
            <w:r>
              <w:rPr>
                <w:b w:val="0"/>
              </w:rPr>
              <w:t>Cola Pub/Sub multithreading</w:t>
            </w:r>
          </w:p>
        </w:tc>
      </w:tr>
      <w:tr>
        <w:tc>
          <w:tcPr>
            <w:tcW w:type="dxa" w:w="5461"/>
          </w:tcPr>
          <w:p>
            <w:pPr>
              <w:pStyle w:val="Compact"/>
              <w:jc w:val="left"/>
            </w:pPr>
            <w:r>
              <w:rPr>
                <w:b w:val="0"/>
              </w:rPr>
              <w:t xml:space="preserve">    adaptive_workers.py</w:t>
            </w:r>
          </w:p>
        </w:tc>
        <w:tc>
          <w:tcPr>
            <w:tcW w:type="dxa" w:w="3377"/>
          </w:tcPr>
          <w:p>
            <w:pPr>
              <w:pStyle w:val="Compact"/>
              <w:jc w:val="left"/>
            </w:pPr>
            <w:r>
              <w:rPr>
                <w:b w:val="0"/>
              </w:rPr>
              <w:t>Controlador AIMD</w:t>
            </w:r>
          </w:p>
        </w:tc>
      </w:tr>
      <w:tr>
        <w:tc>
          <w:tcPr>
            <w:tcW w:type="dxa" w:w="5461"/>
          </w:tcPr>
          <w:p>
            <w:pPr>
              <w:pStyle w:val="Compact"/>
              <w:jc w:val="left"/>
            </w:pPr>
            <w:r>
              <w:rPr>
                <w:b w:val="0"/>
              </w:rPr>
              <w:t xml:space="preserve">    checkpoint.py</w:t>
            </w:r>
          </w:p>
        </w:tc>
        <w:tc>
          <w:tcPr>
            <w:tcW w:type="dxa" w:w="3377"/>
          </w:tcPr>
          <w:p>
            <w:pPr>
              <w:pStyle w:val="Compact"/>
              <w:jc w:val="left"/>
            </w:pPr>
            <w:r>
              <w:rPr>
                <w:b w:val="0"/>
              </w:rPr>
              <w:t>Persistencia de estado</w:t>
            </w:r>
          </w:p>
        </w:tc>
      </w:tr>
      <w:tr>
        <w:tc>
          <w:tcPr>
            <w:tcW w:type="dxa" w:w="5461"/>
          </w:tcPr>
          <w:p>
            <w:pPr>
              <w:pStyle w:val="Compact"/>
              <w:jc w:val="left"/>
            </w:pPr>
            <w:r>
              <w:rPr>
                <w:b w:val="0"/>
              </w:rPr>
              <w:t xml:space="preserve">    rag_manager.py</w:t>
            </w:r>
          </w:p>
        </w:tc>
        <w:tc>
          <w:tcPr>
            <w:tcW w:type="dxa" w:w="3377"/>
          </w:tcPr>
          <w:p>
            <w:pPr>
              <w:pStyle w:val="Compact"/>
              <w:jc w:val="left"/>
            </w:pPr>
            <w:r>
              <w:rPr>
                <w:b w:val="0"/>
              </w:rPr>
              <w:t>RAGManager: Dict-RAG legacy (v1.0)</w:t>
            </w:r>
          </w:p>
        </w:tc>
      </w:tr>
      <w:tr>
        <w:tc>
          <w:tcPr>
            <w:tcW w:type="dxa" w:w="5461"/>
          </w:tcPr>
          <w:p>
            <w:pPr>
              <w:pStyle w:val="Compact"/>
              <w:jc w:val="left"/>
            </w:pPr>
            <w:r>
              <w:rPr>
                <w:b w:val="0"/>
              </w:rPr>
              <w:t xml:space="preserve">    kb_rag_manager.py</w:t>
            </w:r>
          </w:p>
        </w:tc>
        <w:tc>
          <w:tcPr>
            <w:tcW w:type="dxa" w:w="3377"/>
          </w:tcPr>
          <w:p>
            <w:pPr>
              <w:pStyle w:val="Compact"/>
              <w:jc w:val="left"/>
            </w:pPr>
            <w:r>
              <w:rPr>
                <w:b w:val="0"/>
              </w:rPr>
              <w:t>KBRAGManager: KB RAG contextual (v1.1, NUEVO)</w:t>
            </w:r>
          </w:p>
        </w:tc>
      </w:tr>
      <w:tr>
        <w:tc>
          <w:tcPr>
            <w:tcW w:type="dxa" w:w="5461"/>
          </w:tcPr>
          <w:p>
            <w:pPr>
              <w:pStyle w:val="Compact"/>
              <w:jc w:val="left"/>
            </w:pPr>
            <w:r>
              <w:rPr>
                <w:b w:val="0"/>
              </w:rPr>
              <w:t xml:space="preserve">    dashboard.py</w:t>
            </w:r>
          </w:p>
        </w:tc>
        <w:tc>
          <w:tcPr>
            <w:tcW w:type="dxa" w:w="3377"/>
          </w:tcPr>
          <w:p>
            <w:pPr>
              <w:pStyle w:val="Compact"/>
              <w:jc w:val="left"/>
            </w:pPr>
            <w:r>
              <w:rPr>
                <w:b w:val="0"/>
              </w:rPr>
              <w:t>Interfaz Streamlit (7 pestañas)</w:t>
            </w:r>
          </w:p>
        </w:tc>
      </w:tr>
      <w:tr>
        <w:tc>
          <w:tcPr>
            <w:tcW w:type="dxa" w:w="5461"/>
          </w:tcPr>
          <w:p>
            <w:pPr>
              <w:pStyle w:val="Compact"/>
              <w:jc w:val="left"/>
            </w:pPr>
            <w:r>
              <w:rPr>
                <w:b w:val="0"/>
              </w:rPr>
              <w:t xml:space="preserve">    statistics.py</w:t>
            </w:r>
          </w:p>
        </w:tc>
        <w:tc>
          <w:tcPr>
            <w:tcW w:type="dxa" w:w="3377"/>
          </w:tcPr>
          <w:p>
            <w:pPr>
              <w:pStyle w:val="Compact"/>
              <w:jc w:val="left"/>
            </w:pPr>
            <w:r>
              <w:rPr>
                <w:b w:val="0"/>
              </w:rPr>
              <w:t>ANOVA + Tukey HSD + IC95</w:t>
            </w:r>
          </w:p>
        </w:tc>
      </w:tr>
      <w:tr>
        <w:tc>
          <w:tcPr>
            <w:tcW w:type="dxa" w:w="5461"/>
          </w:tcPr>
          <w:p>
            <w:pPr>
              <w:pStyle w:val="Compact"/>
              <w:jc w:val="left"/>
            </w:pPr>
            <w:r>
              <w:rPr>
                <w:b w:val="0"/>
              </w:rPr>
              <w:t xml:space="preserve">    providers/</w:t>
            </w:r>
          </w:p>
        </w:tc>
        <w:tc>
          <w:tcPr>
            <w:tcW w:type="dxa" w:w="3377"/>
          </w:tcPr>
          <w:p>
            <w:pPr>
              <w:pStyle w:val="Compact"/>
              <w:jc w:val="left"/>
            </w:pPr>
            <w:r>
              <w:rPr>
                <w:b w:val="0"/>
              </w:rPr>
            </w:r>
          </w:p>
        </w:tc>
      </w:tr>
      <w:tr>
        <w:tc>
          <w:tcPr>
            <w:tcW w:type="dxa" w:w="5461"/>
          </w:tcPr>
          <w:p>
            <w:pPr>
              <w:pStyle w:val="Compact"/>
              <w:jc w:val="left"/>
            </w:pPr>
            <w:r>
              <w:rPr>
                <w:b w:val="0"/>
              </w:rPr>
              <w:t xml:space="preserve">        base.py</w:t>
            </w:r>
          </w:p>
        </w:tc>
        <w:tc>
          <w:tcPr>
            <w:tcW w:type="dxa" w:w="3377"/>
          </w:tcPr>
          <w:p>
            <w:pPr>
              <w:pStyle w:val="Compact"/>
              <w:jc w:val="left"/>
            </w:pPr>
            <w:r>
              <w:rPr>
                <w:b w:val="0"/>
              </w:rPr>
              <w:t>LLMProvider ABC</w:t>
            </w:r>
          </w:p>
        </w:tc>
      </w:tr>
      <w:tr>
        <w:tc>
          <w:tcPr>
            <w:tcW w:type="dxa" w:w="5461"/>
          </w:tcPr>
          <w:p>
            <w:pPr>
              <w:pStyle w:val="Compact"/>
              <w:jc w:val="left"/>
            </w:pPr>
            <w:r>
              <w:rPr>
                <w:b w:val="0"/>
              </w:rPr>
              <w:t xml:space="preserve">        factory.py</w:t>
            </w:r>
          </w:p>
        </w:tc>
        <w:tc>
          <w:tcPr>
            <w:tcW w:type="dxa" w:w="3377"/>
          </w:tcPr>
          <w:p>
            <w:pPr>
              <w:pStyle w:val="Compact"/>
              <w:jc w:val="left"/>
            </w:pPr>
            <w:r>
              <w:rPr>
                <w:b w:val="0"/>
              </w:rPr>
              <w:t>LLMProviderFactory</w:t>
            </w:r>
          </w:p>
        </w:tc>
      </w:tr>
      <w:tr>
        <w:tc>
          <w:tcPr>
            <w:tcW w:type="dxa" w:w="5461"/>
          </w:tcPr>
          <w:p>
            <w:pPr>
              <w:pStyle w:val="Compact"/>
              <w:jc w:val="left"/>
            </w:pPr>
            <w:r>
              <w:rPr>
                <w:b w:val="0"/>
              </w:rPr>
              <w:t xml:space="preserve">        ollama_provider.py</w:t>
            </w:r>
          </w:p>
        </w:tc>
        <w:tc>
          <w:tcPr>
            <w:tcW w:type="dxa" w:w="3377"/>
          </w:tcPr>
          <w:p>
            <w:pPr>
              <w:pStyle w:val="Compact"/>
              <w:jc w:val="left"/>
            </w:pPr>
            <w:r>
              <w:rPr>
                <w:b w:val="0"/>
              </w:rPr>
              <w:t>Proveedor Ollama (+template KB RAG, v1.1)</w:t>
            </w:r>
          </w:p>
        </w:tc>
      </w:tr>
      <w:tr>
        <w:tc>
          <w:tcPr>
            <w:tcW w:type="dxa" w:w="5461"/>
          </w:tcPr>
          <w:p>
            <w:pPr>
              <w:pStyle w:val="Compact"/>
              <w:jc w:val="left"/>
            </w:pPr>
            <w:r>
              <w:rPr>
                <w:b w:val="0"/>
              </w:rPr>
              <w:t xml:space="preserve">        openai_provider.py</w:t>
            </w:r>
          </w:p>
        </w:tc>
        <w:tc>
          <w:tcPr>
            <w:tcW w:type="dxa" w:w="3377"/>
          </w:tcPr>
          <w:p>
            <w:pPr>
              <w:pStyle w:val="Compact"/>
              <w:jc w:val="left"/>
            </w:pPr>
            <w:r>
              <w:rPr>
                <w:b w:val="0"/>
              </w:rPr>
              <w:t>Proveedor OpenAI (cloud)</w:t>
            </w:r>
          </w:p>
        </w:tc>
      </w:tr>
      <w:tr>
        <w:tc>
          <w:tcPr>
            <w:tcW w:type="dxa" w:w="5461"/>
          </w:tcPr>
          <w:p>
            <w:pPr>
              <w:pStyle w:val="Compact"/>
              <w:jc w:val="left"/>
            </w:pPr>
            <w:r>
              <w:rPr>
                <w:b w:val="0"/>
              </w:rPr>
              <w:t xml:space="preserve">        __init__.py</w:t>
            </w:r>
          </w:p>
        </w:tc>
        <w:tc>
          <w:tcPr>
            <w:tcW w:type="dxa" w:w="3377"/>
          </w:tcPr>
          <w:p>
            <w:pPr>
              <w:pStyle w:val="Compact"/>
              <w:jc w:val="left"/>
            </w:pPr>
            <w:r>
              <w:rPr>
                <w:b w:val="0"/>
              </w:rPr>
              <w:t>Facade get_provider()</w:t>
            </w:r>
          </w:p>
        </w:tc>
      </w:tr>
      <w:tr>
        <w:tc>
          <w:tcPr>
            <w:tcW w:type="dxa" w:w="5461"/>
          </w:tcPr>
          <w:p>
            <w:pPr>
              <w:pStyle w:val="Compact"/>
              <w:jc w:val="left"/>
            </w:pPr>
            <w:r>
              <w:rPr>
                <w:b w:val="0"/>
              </w:rPr>
              <w:t>data/</w:t>
            </w:r>
          </w:p>
        </w:tc>
        <w:tc>
          <w:tcPr>
            <w:tcW w:type="dxa" w:w="3377"/>
          </w:tcPr>
          <w:p>
            <w:pPr>
              <w:pStyle w:val="Compact"/>
              <w:jc w:val="left"/>
            </w:pPr>
            <w:r>
              <w:rPr>
                <w:b w:val="0"/>
              </w:rPr>
            </w:r>
          </w:p>
        </w:tc>
      </w:tr>
      <w:tr>
        <w:tc>
          <w:tcPr>
            <w:tcW w:type="dxa" w:w="5461"/>
          </w:tcPr>
          <w:p>
            <w:pPr>
              <w:pStyle w:val="Compact"/>
              <w:jc w:val="left"/>
            </w:pPr>
            <w:r>
              <w:rPr>
                <w:b w:val="0"/>
              </w:rPr>
              <w:t xml:space="preserve">    benchmark_balanced_120.json</w:t>
            </w:r>
          </w:p>
        </w:tc>
        <w:tc>
          <w:tcPr>
            <w:tcW w:type="dxa" w:w="3377"/>
          </w:tcPr>
          <w:p>
            <w:pPr>
              <w:pStyle w:val="Compact"/>
              <w:jc w:val="left"/>
            </w:pPr>
            <w:r>
              <w:rPr>
                <w:b w:val="0"/>
              </w:rPr>
              <w:t>Corpus N=120 (Gold Standard real)</w:t>
            </w:r>
          </w:p>
        </w:tc>
      </w:tr>
      <w:tr>
        <w:tc>
          <w:tcPr>
            <w:tcW w:type="dxa" w:w="5461"/>
          </w:tcPr>
          <w:p>
            <w:pPr>
              <w:pStyle w:val="Compact"/>
              <w:jc w:val="left"/>
            </w:pPr>
            <w:r>
              <w:rPr>
                <w:b w:val="0"/>
              </w:rPr>
              <w:t xml:space="preserve">    dictionaries/</w:t>
            </w:r>
          </w:p>
        </w:tc>
        <w:tc>
          <w:tcPr>
            <w:tcW w:type="dxa" w:w="3377"/>
          </w:tcPr>
          <w:p>
            <w:pPr>
              <w:pStyle w:val="Compact"/>
              <w:jc w:val="left"/>
            </w:pPr>
            <w:r>
              <w:rPr>
                <w:b w:val="0"/>
              </w:rPr>
            </w:r>
          </w:p>
        </w:tc>
      </w:tr>
      <w:tr>
        <w:tc>
          <w:tcPr>
            <w:tcW w:type="dxa" w:w="5461"/>
          </w:tcPr>
          <w:p>
            <w:pPr>
              <w:pStyle w:val="Compact"/>
              <w:jc w:val="left"/>
            </w:pPr>
            <w:r>
              <w:rPr>
                <w:b w:val="0"/>
              </w:rPr>
              <w:t xml:space="preserve">        persons.json</w:t>
            </w:r>
          </w:p>
        </w:tc>
        <w:tc>
          <w:tcPr>
            <w:tcW w:type="dxa" w:w="3377"/>
          </w:tcPr>
          <w:p>
            <w:pPr>
              <w:pStyle w:val="Compact"/>
              <w:jc w:val="left"/>
            </w:pPr>
            <w:r>
              <w:rPr>
                <w:b w:val="0"/>
              </w:rPr>
              <w:t>Diccionario de personas (v1.0)</w:t>
            </w:r>
          </w:p>
        </w:tc>
      </w:tr>
      <w:tr>
        <w:tc>
          <w:tcPr>
            <w:tcW w:type="dxa" w:w="5461"/>
          </w:tcPr>
          <w:p>
            <w:pPr>
              <w:pStyle w:val="Compact"/>
              <w:jc w:val="left"/>
            </w:pPr>
            <w:r>
              <w:rPr>
                <w:b w:val="0"/>
              </w:rPr>
              <w:t xml:space="preserve">        organizations.json</w:t>
            </w:r>
          </w:p>
        </w:tc>
        <w:tc>
          <w:tcPr>
            <w:tcW w:type="dxa" w:w="3377"/>
          </w:tcPr>
          <w:p>
            <w:pPr>
              <w:pStyle w:val="Compact"/>
              <w:jc w:val="left"/>
            </w:pPr>
            <w:r>
              <w:rPr>
                <w:b w:val="0"/>
              </w:rPr>
              <w:t>Diccionario de organizaciones (v1.0)</w:t>
            </w:r>
          </w:p>
        </w:tc>
      </w:tr>
      <w:tr>
        <w:tc>
          <w:tcPr>
            <w:tcW w:type="dxa" w:w="5461"/>
          </w:tcPr>
          <w:p>
            <w:pPr>
              <w:pStyle w:val="Compact"/>
              <w:jc w:val="left"/>
            </w:pPr>
            <w:r>
              <w:rPr>
                <w:b w:val="0"/>
              </w:rPr>
              <w:t xml:space="preserve">        augmented_persons.json</w:t>
            </w:r>
          </w:p>
        </w:tc>
        <w:tc>
          <w:tcPr>
            <w:tcW w:type="dxa" w:w="3377"/>
          </w:tcPr>
          <w:p>
            <w:pPr>
              <w:pStyle w:val="Compact"/>
              <w:jc w:val="left"/>
            </w:pPr>
            <w:r>
              <w:rPr>
                <w:b w:val="0"/>
              </w:rPr>
              <w:t>Personas aumentadas (v1.0)</w:t>
            </w:r>
          </w:p>
        </w:tc>
      </w:tr>
      <w:tr>
        <w:tc>
          <w:tcPr>
            <w:tcW w:type="dxa" w:w="5461"/>
          </w:tcPr>
          <w:p>
            <w:pPr>
              <w:pStyle w:val="Compact"/>
              <w:jc w:val="left"/>
            </w:pPr>
            <w:r>
              <w:rPr>
                <w:b w:val="0"/>
              </w:rPr>
              <w:t xml:space="preserve">    knowledge_base/</w:t>
            </w:r>
          </w:p>
        </w:tc>
        <w:tc>
          <w:tcPr>
            <w:tcW w:type="dxa" w:w="3377"/>
          </w:tcPr>
          <w:p>
            <w:pPr>
              <w:pStyle w:val="Compact"/>
              <w:jc w:val="left"/>
            </w:pPr>
            <w:r>
              <w:rPr>
                <w:b w:val="0"/>
              </w:rPr>
              <w:t>Base de Conocimientos KB RAG (v1.1, NUEVO)</w:t>
            </w:r>
          </w:p>
        </w:tc>
      </w:tr>
      <w:tr>
        <w:tc>
          <w:tcPr>
            <w:tcW w:type="dxa" w:w="5461"/>
          </w:tcPr>
          <w:p>
            <w:pPr>
              <w:pStyle w:val="Compact"/>
              <w:jc w:val="left"/>
            </w:pPr>
            <w:r>
              <w:rPr>
                <w:b w:val="0"/>
              </w:rPr>
              <w:t xml:space="preserve">        domain_guidelines.json</w:t>
            </w:r>
          </w:p>
        </w:tc>
        <w:tc>
          <w:tcPr>
            <w:tcW w:type="dxa" w:w="3377"/>
          </w:tcPr>
          <w:p>
            <w:pPr>
              <w:pStyle w:val="Compact"/>
              <w:jc w:val="left"/>
            </w:pPr>
            <w:r>
              <w:rPr>
                <w:b w:val="0"/>
              </w:rPr>
              <w:t>5 dominios con reglas NER tipológicas</w:t>
            </w:r>
          </w:p>
        </w:tc>
      </w:tr>
      <w:tr>
        <w:tc>
          <w:tcPr>
            <w:tcW w:type="dxa" w:w="5461"/>
          </w:tcPr>
          <w:p>
            <w:pPr>
              <w:pStyle w:val="Compact"/>
              <w:jc w:val="left"/>
            </w:pPr>
            <w:r>
              <w:rPr>
                <w:b w:val="0"/>
              </w:rPr>
              <w:t xml:space="preserve">        few_shot_exemplars.json</w:t>
            </w:r>
          </w:p>
        </w:tc>
        <w:tc>
          <w:tcPr>
            <w:tcW w:type="dxa" w:w="3377"/>
          </w:tcPr>
          <w:p>
            <w:pPr>
              <w:pStyle w:val="Compact"/>
              <w:jc w:val="left"/>
            </w:pPr>
            <w:r>
              <w:rPr>
                <w:b w:val="0"/>
              </w:rPr>
              <w:t>7 ejemplares anotados (artículos reales)</w:t>
            </w:r>
          </w:p>
        </w:tc>
      </w:tr>
      <w:tr>
        <w:tc>
          <w:tcPr>
            <w:tcW w:type="dxa" w:w="5461"/>
          </w:tcPr>
          <w:p>
            <w:pPr>
              <w:pStyle w:val="Compact"/>
              <w:jc w:val="left"/>
            </w:pPr>
            <w:r>
              <w:rPr>
                <w:b w:val="0"/>
              </w:rPr>
              <w:t>results/</w:t>
            </w:r>
          </w:p>
        </w:tc>
        <w:tc>
          <w:tcPr>
            <w:tcW w:type="dxa" w:w="3377"/>
          </w:tcPr>
          <w:p>
            <w:pPr>
              <w:pStyle w:val="Compact"/>
              <w:jc w:val="left"/>
            </w:pPr>
            <w:r>
              <w:rPr>
                <w:b w:val="0"/>
              </w:rPr>
              <w:t>Salidas del benchmark</w:t>
            </w:r>
          </w:p>
        </w:tc>
      </w:tr>
      <w:tr>
        <w:tc>
          <w:tcPr>
            <w:tcW w:type="dxa" w:w="5461"/>
          </w:tcPr>
          <w:p>
            <w:pPr>
              <w:pStyle w:val="Compact"/>
              <w:jc w:val="left"/>
            </w:pPr>
            <w:r>
              <w:rPr>
                <w:b w:val="0"/>
              </w:rPr>
              <w:t xml:space="preserve">    benchmark_results.csv</w:t>
            </w:r>
          </w:p>
        </w:tc>
        <w:tc>
          <w:tcPr>
            <w:tcW w:type="dxa" w:w="3377"/>
          </w:tcPr>
          <w:p>
            <w:pPr>
              <w:pStyle w:val="Compact"/>
              <w:jc w:val="left"/>
            </w:pPr>
            <w:r>
              <w:rPr>
                <w:b w:val="0"/>
              </w:rPr>
            </w:r>
          </w:p>
        </w:tc>
      </w:tr>
      <w:tr>
        <w:tc>
          <w:tcPr>
            <w:tcW w:type="dxa" w:w="5461"/>
          </w:tcPr>
          <w:p>
            <w:pPr>
              <w:pStyle w:val="Compact"/>
              <w:jc w:val="left"/>
            </w:pPr>
            <w:r>
              <w:rPr>
                <w:b w:val="0"/>
              </w:rPr>
              <w:t xml:space="preserve">    statistical_report.md</w:t>
            </w:r>
          </w:p>
        </w:tc>
        <w:tc>
          <w:tcPr>
            <w:tcW w:type="dxa" w:w="3377"/>
          </w:tcPr>
          <w:p>
            <w:pPr>
              <w:pStyle w:val="Compact"/>
              <w:jc w:val="left"/>
            </w:pPr>
            <w:r>
              <w:rPr>
                <w:b w:val="0"/>
              </w:rPr>
            </w:r>
          </w:p>
        </w:tc>
      </w:tr>
      <w:tr>
        <w:tc>
          <w:tcPr>
            <w:tcW w:type="dxa" w:w="5461"/>
          </w:tcPr>
          <w:p>
            <w:pPr>
              <w:pStyle w:val="Compact"/>
              <w:jc w:val="left"/>
            </w:pPr>
            <w:r>
              <w:rPr>
                <w:b w:val="0"/>
              </w:rPr>
              <w:t xml:space="preserve">    benchmark_balanced_120_&lt;timestamp&gt;/</w:t>
            </w:r>
          </w:p>
        </w:tc>
        <w:tc>
          <w:tcPr>
            <w:tcW w:type="dxa" w:w="3377"/>
          </w:tcPr>
          <w:p>
            <w:pPr>
              <w:pStyle w:val="Compact"/>
              <w:jc w:val="left"/>
            </w:pPr>
            <w:r>
              <w:rPr>
                <w:b w:val="0"/>
              </w:rPr>
              <w:t>Resultados por ejecución</w:t>
            </w:r>
          </w:p>
        </w:tc>
      </w:tr>
      <w:tr>
        <w:tc>
          <w:tcPr>
            <w:tcW w:type="dxa" w:w="5461"/>
          </w:tcPr>
          <w:p>
            <w:pPr>
              <w:pStyle w:val="Compact"/>
              <w:jc w:val="left"/>
            </w:pPr>
            <w:r>
              <w:rPr>
                <w:b w:val="0"/>
              </w:rPr>
              <w:t>research/</w:t>
            </w:r>
          </w:p>
        </w:tc>
        <w:tc>
          <w:tcPr>
            <w:tcW w:type="dxa" w:w="3377"/>
          </w:tcPr>
          <w:p>
            <w:pPr>
              <w:pStyle w:val="Compact"/>
              <w:jc w:val="left"/>
            </w:pPr>
            <w:r>
              <w:rPr>
                <w:b w:val="0"/>
              </w:rPr>
            </w:r>
          </w:p>
        </w:tc>
      </w:tr>
      <w:tr>
        <w:tc>
          <w:tcPr>
            <w:tcW w:type="dxa" w:w="5461"/>
          </w:tcPr>
          <w:p>
            <w:pPr>
              <w:pStyle w:val="Compact"/>
              <w:jc w:val="left"/>
            </w:pPr>
            <w:r>
              <w:rPr>
                <w:b w:val="0"/>
              </w:rPr>
              <w:t xml:space="preserve">    rag/</w:t>
            </w:r>
          </w:p>
        </w:tc>
        <w:tc>
          <w:tcPr>
            <w:tcW w:type="dxa" w:w="3377"/>
          </w:tcPr>
          <w:p>
            <w:pPr>
              <w:pStyle w:val="Compact"/>
              <w:jc w:val="left"/>
            </w:pPr>
            <w:r>
              <w:rPr>
                <w:b w:val="0"/>
              </w:rPr>
            </w:r>
          </w:p>
        </w:tc>
      </w:tr>
      <w:tr>
        <w:tc>
          <w:tcPr>
            <w:tcW w:type="dxa" w:w="5461"/>
          </w:tcPr>
          <w:p>
            <w:pPr>
              <w:pStyle w:val="Compact"/>
              <w:jc w:val="left"/>
            </w:pPr>
            <w:r>
              <w:rPr>
                <w:b w:val="0"/>
              </w:rPr>
              <w:t xml:space="preserve">        2026-08-31_analisis_contenido_rag_base_conocimientos.md</w:t>
            </w:r>
          </w:p>
        </w:tc>
        <w:tc>
          <w:tcPr>
            <w:tcW w:type="dxa" w:w="3377"/>
          </w:tcPr>
          <w:p>
            <w:pPr>
              <w:pStyle w:val="Compact"/>
              <w:jc w:val="left"/>
            </w:pPr>
            <w:r>
              <w:rPr>
                <w:b w:val="0"/>
              </w:rPr>
              <w:t>Investigación RAG</w:t>
            </w:r>
          </w:p>
        </w:tc>
      </w:tr>
      <w:tr>
        <w:tc>
          <w:tcPr>
            <w:tcW w:type="dxa" w:w="5461"/>
          </w:tcPr>
          <w:p>
            <w:pPr>
              <w:pStyle w:val="Compact"/>
              <w:jc w:val="left"/>
            </w:pPr>
            <w:r>
              <w:rPr>
                <w:b w:val="0"/>
              </w:rPr>
              <w:t xml:space="preserve">        TODO-RAG-20260901.md</w:t>
            </w:r>
          </w:p>
        </w:tc>
        <w:tc>
          <w:tcPr>
            <w:tcW w:type="dxa" w:w="3377"/>
          </w:tcPr>
          <w:p>
            <w:pPr>
              <w:pStyle w:val="Compact"/>
              <w:jc w:val="left"/>
            </w:pPr>
            <w:r>
              <w:rPr>
                <w:b w:val="0"/>
              </w:rPr>
              <w:t>Tracking implementación</w:t>
            </w:r>
          </w:p>
        </w:tc>
      </w:tr>
      <w:tr>
        <w:tc>
          <w:tcPr>
            <w:tcW w:type="dxa" w:w="5461"/>
          </w:tcPr>
          <w:p>
            <w:pPr>
              <w:pStyle w:val="Compact"/>
              <w:jc w:val="left"/>
            </w:pPr>
            <w:r>
              <w:rPr>
                <w:b w:val="0"/>
              </w:rPr>
              <w:t xml:space="preserve">        WORKLOG.md</w:t>
            </w:r>
          </w:p>
        </w:tc>
        <w:tc>
          <w:tcPr>
            <w:tcW w:type="dxa" w:w="3377"/>
          </w:tcPr>
          <w:p>
            <w:pPr>
              <w:pStyle w:val="Compact"/>
              <w:jc w:val="left"/>
            </w:pPr>
            <w:r>
              <w:rPr>
                <w:b w:val="0"/>
              </w:rPr>
              <w:t>Bitácora de trabajo</w:t>
            </w:r>
          </w:p>
        </w:tc>
      </w:tr>
      <w:tr>
        <w:tc>
          <w:tcPr>
            <w:tcW w:type="dxa" w:w="5461"/>
          </w:tcPr>
          <w:p>
            <w:pPr>
              <w:pStyle w:val="Compact"/>
              <w:jc w:val="left"/>
            </w:pPr>
            <w:r>
              <w:rPr>
                <w:b w:val="0"/>
              </w:rPr>
              <w:t>SYSTEM_PROMPT.md</w:t>
            </w:r>
          </w:p>
        </w:tc>
        <w:tc>
          <w:tcPr>
            <w:tcW w:type="dxa" w:w="3377"/>
          </w:tcPr>
          <w:p>
            <w:pPr>
              <w:pStyle w:val="Compact"/>
              <w:jc w:val="left"/>
            </w:pPr>
            <w:r>
              <w:rPr>
                <w:b w:val="0"/>
              </w:rPr>
              <w:t>Prompt del sistema (few-shot español)</w:t>
            </w:r>
          </w:p>
        </w:tc>
      </w:tr>
      <w:tr>
        <w:tc>
          <w:tcPr>
            <w:tcW w:type="dxa" w:w="5461"/>
          </w:tcPr>
          <w:p>
            <w:pPr>
              <w:pStyle w:val="Compact"/>
              <w:jc w:val="left"/>
            </w:pPr>
            <w:r>
              <w:rPr>
                <w:b w:val="0"/>
              </w:rPr>
              <w:t>SYSTEM_PROMPT_EN.md</w:t>
            </w:r>
          </w:p>
        </w:tc>
        <w:tc>
          <w:tcPr>
            <w:tcW w:type="dxa" w:w="3377"/>
          </w:tcPr>
          <w:p>
            <w:pPr>
              <w:pStyle w:val="Compact"/>
              <w:jc w:val="left"/>
            </w:pPr>
            <w:r>
              <w:rPr>
                <w:b w:val="0"/>
              </w:rPr>
              <w:t>Prompt del sistema (inglés)</w:t>
            </w:r>
          </w:p>
        </w:tc>
      </w:tr>
      <w:tr>
        <w:tc>
          <w:tcPr>
            <w:tcW w:type="dxa" w:w="5461"/>
          </w:tcPr>
          <w:p>
            <w:pPr>
              <w:pStyle w:val="Compact"/>
              <w:jc w:val="left"/>
            </w:pPr>
            <w:r>
              <w:rPr>
                <w:b w:val="0"/>
              </w:rPr>
              <w:t>SYSTEM_PROMPT_ES.md</w:t>
            </w:r>
          </w:p>
        </w:tc>
        <w:tc>
          <w:tcPr>
            <w:tcW w:type="dxa" w:w="3377"/>
          </w:tcPr>
          <w:p>
            <w:pPr>
              <w:pStyle w:val="Compact"/>
              <w:jc w:val="left"/>
            </w:pPr>
            <w:r>
              <w:rPr>
                <w:b w:val="0"/>
              </w:rPr>
              <w:t>Prompt del sistema (español)</w:t>
            </w:r>
          </w:p>
        </w:tc>
      </w:tr>
    </w:tbl>
    <w:p>
      <w:pPr>
        <w:numPr>
          <w:ilvl w:val="0"/>
          <w:numId w:val="0"/>
        </w:numPr>
        <w:pStyle w:val="heading2"/>
      </w:pPr>
      <w:r>
        <w:t>Anexo B — Prompt del Sistema (Versión Few-Shot Español)</w:t>
      </w:r>
    </w:p>
    <w:p>
      <w:pPr>
        <w:numPr>
          <w:ilvl w:val="0"/>
          <w:numId w:val="0"/>
        </w:numPr>
        <w:pStyle w:val="p1a"/>
      </w:pPr>
      <w:r>
        <w:t>El prompt de sistema en español (few-shot) incluye: (1) instrucciones de rol (analista de cumplimiento normativo), (2) formato de salida JSON estricto con tipos de entidades, (3) 3 ejemplos completos de artículo → extracción correcta, y (4) reglas de comportamiento ante ambigüedad (no alucinar, preferir omisión a invención).</w:t>
      </w:r>
    </w:p>
    <w:p>
      <w:pPr>
        <w:numPr>
          <w:ilvl w:val="0"/>
          <w:numId w:val="0"/>
        </w:numPr>
        <w:pStyle w:val="p1a"/>
      </w:pPr>
      <w:r>
        <w:rPr>
          <w:b/>
        </w:rPr>
        <w:t>Ejemplos few-shot de la configuración FS-ES</w:t>
      </w:r>
      <w:r>
        <w:t xml:space="preserve"> (§4.3):</w:t>
      </w:r>
    </w:p>
    <w:p>
      <w:pPr>
        <w:numPr>
          <w:ilvl w:val="0"/>
          <w:numId w:val="0"/>
        </w:numPr>
        <w:pStyle w:val="p1a"/>
      </w:pPr>
      <w:r>
        <w:rPr>
          <w:b/>
        </w:rPr>
        <w:t>Ejemplo few-shot 1 (caso persona sancionada):</w:t>
      </w:r>
    </w:p>
    <w:p>
      <w:pPr>
        <w:numPr>
          <w:ilvl w:val="0"/>
          <w:numId w:val="0"/>
        </w:numPr>
        <w:pStyle w:val="programcode"/>
      </w:pPr>
      <w:r>
        <w:t>Texto: "El empresario ruso Roman Abramovich fue incluido en las listas de sanciones de la Unión Europea por sus vínculos con el régimen del Kremlin a través de su empresa Evraz PLC."</w:t>
      </w:r>
      <w:r>
        <w:br/>
      </w:r>
      <w:r>
        <w:t>Respuesta: {"Persons": ["Roman Abramovich"], "Organizations": ["Evraz PLC"]}</w:t>
      </w:r>
    </w:p>
    <w:p>
      <w:pPr>
        <w:numPr>
          <w:ilvl w:val="0"/>
          <w:numId w:val="0"/>
        </w:numPr>
        <w:pStyle w:val="p1a"/>
      </w:pPr>
      <w:r>
        <w:rPr>
          <w:b/>
        </w:rPr>
        <w:t>Ejemplo few-shot 2 (caso organización sancionada):</w:t>
      </w:r>
    </w:p>
    <w:p>
      <w:pPr>
        <w:numPr>
          <w:ilvl w:val="0"/>
          <w:numId w:val="0"/>
        </w:numPr>
        <w:pStyle w:val="programcode"/>
      </w:pPr>
      <w:r>
        <w:t>Texto: "El Departamento del Tesoro de los Estados Unidos sancionó al banco Rossiya, señalándolo como banco personal de altos funcionarios del gobierno ruso."</w:t>
      </w:r>
      <w:r>
        <w:br/>
      </w:r>
      <w:r>
        <w:t>Respuesta: {"Persons": [], "Organizations": ["Banco Rossiya", "Departamento del Tesoro"]}</w:t>
      </w:r>
    </w:p>
    <w:p>
      <w:pPr>
        <w:numPr>
          <w:ilvl w:val="0"/>
          <w:numId w:val="0"/>
        </w:numPr>
        <w:pStyle w:val="p1a"/>
      </w:pPr>
      <w:r>
        <w:rPr>
          <w:b/>
        </w:rPr>
        <w:t>Ejemplo few-shot 3 (caso PEP complejo):</w:t>
      </w:r>
    </w:p>
    <w:p>
      <w:pPr>
        <w:numPr>
          <w:ilvl w:val="0"/>
          <w:numId w:val="0"/>
        </w:numPr>
        <w:pStyle w:val="programcode"/>
      </w:pPr>
      <w:r>
        <w:t>Texto: "Isabel dos Santos, hija del expresidente angoleño José Eduardo dos Santos, figura en investigaciones de la empresa estatal Sonangol por presunto desvío de fondos."</w:t>
      </w:r>
      <w:r>
        <w:br/>
      </w:r>
      <w:r>
        <w:t>Respuesta: {"Persons": ["Isabel dos Santos", "José Eduardo dos Santos"], "Organizations": ["Sonangol"]}</w:t>
      </w:r>
    </w:p>
    <w:p>
      <w:pPr>
        <w:numPr>
          <w:ilvl w:val="0"/>
          <w:numId w:val="0"/>
        </w:numPr>
        <w:pStyle w:val="p1a"/>
      </w:pPr>
      <w:r>
        <w:rPr>
          <w:b/>
        </w:rPr>
        <w:t>Prompt de generación del corpus sintético N=30</w:t>
      </w:r>
      <w:r>
        <w:t xml:space="preserve"> (§4.1.1), ejecutado sobre </w:t>
      </w:r>
      <w:r>
        <w:t>gemma4:31b</w:t>
      </w:r>
      <w:r>
        <w:t>:</w:t>
      </w:r>
    </w:p>
    <w:p>
      <w:pPr>
        <w:numPr>
          <w:ilvl w:val="0"/>
          <w:numId w:val="0"/>
        </w:numPr>
        <w:pStyle w:val="program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tablecaption"/>
      </w:pPr>
      <w:r>
        <w:t>Tabla 11. Anexo C — Configuración del Entorno de Pruebas</w:t>
      </w:r>
    </w:p>
    <w:tbl>
      <w:tblPr>
        <w:tblStyle w:val="Table"/>
        <w:tblW w:type="dxa" w:w="8838"/>
        <w:tblLayout w:type="fixed"/>
        <w:tblLook w:firstRow="1" w:lastRow="0" w:firstColumn="0" w:lastColumn="0" w:noHBand="0" w:noVBand="0" w:val="0020"/>
      </w:tblPr>
      <w:tblGrid>
        <w:gridCol w:w="4419"/>
        <w:gridCol w:w="4419"/>
      </w:tblGrid>
      <w:tr>
        <w:trPr>
          <w:tblHeader w:val="on"/>
        </w:trPr>
        <w:tc>
          <w:tcPr>
            <w:tcW w:type="dxa" w:w="4419"/>
          </w:tcPr>
          <w:p>
            <w:pPr>
              <w:pStyle w:val="Compact"/>
              <w:jc w:val="left"/>
            </w:pPr>
            <w:r>
              <w:rPr>
                <w:b/>
              </w:rPr>
              <w:t>Componente</w:t>
            </w:r>
          </w:p>
        </w:tc>
        <w:tc>
          <w:tcPr>
            <w:tcW w:type="dxa" w:w="4419"/>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 (5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heading2"/>
      </w:pPr>
      <w:r>
        <w:t>Anexo D — Detalle Técnico de la Optimización del Módulo RAG Contextual (KB RAG)</w:t>
      </w:r>
    </w:p>
    <w:p>
      <w:pPr>
        <w:numPr>
          <w:ilvl w:val="0"/>
          <w:numId w:val="0"/>
        </w:numPr>
        <w:pStyle w:val="p1a"/>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3"/>
      </w:pPr>
      <w:r>
        <w:t>D.1 Implementación técnica del módulo KB RAG (src/kb_rag_manager.py)</w:t>
      </w:r>
    </w:p>
    <w:p>
      <w:pPr>
        <w:numPr>
          <w:ilvl w:val="0"/>
          <w:numId w:val="0"/>
        </w:numPr>
        <w:pStyle w:val="p1a"/>
      </w:pPr>
      <w:r>
        <w:t>El módulo src/kb_rag_manager.py (KBRAGManager) implementa cuatro modos de operación configurables:</w:t>
      </w:r>
    </w:p>
    <w:p>
      <w:pPr>
        <w:numPr>
          <w:ilvl w:val="0"/>
          <w:numId w:val="0"/>
        </w:numPr>
        <w:pStyle w:val="tablecaption"/>
      </w:pPr>
      <w:r>
        <w:t xml:space="preserve">Tabla 12. Configuración CLI del Módulo KB RAG</w:t>
      </w:r>
    </w:p>
    <w:tbl>
      <w:tblPr>
        <w:tblStyle w:val="Table"/>
        <w:tblW w:type="dxa" w:w="8838"/>
        <w:tblLayout w:type="fixed"/>
        <w:tblLook w:firstRow="1" w:lastRow="0" w:firstColumn="0" w:lastColumn="0" w:noHBand="0" w:noVBand="0" w:val="0020"/>
      </w:tblPr>
      <w:tblGrid>
        <w:gridCol w:w="1148"/>
        <w:gridCol w:w="2121"/>
        <w:gridCol w:w="3004"/>
        <w:gridCol w:w="2565"/>
      </w:tblGrid>
      <w:tr>
        <w:trPr>
          <w:tblHeader w:val="on"/>
        </w:trPr>
        <w:tc>
          <w:tcPr>
            <w:tcW w:type="dxa" w:w="1148"/>
          </w:tcPr>
          <w:p>
            <w:pPr>
              <w:pStyle w:val="Compact"/>
              <w:jc w:val="left"/>
            </w:pPr>
            <w:r>
              <w:rPr>
                <w:b/>
              </w:rPr>
              <w:t>Modo</w:t>
            </w:r>
          </w:p>
        </w:tc>
        <w:tc>
          <w:tcPr>
            <w:tcW w:type="dxa" w:w="2121"/>
          </w:tcPr>
          <w:p>
            <w:pPr>
              <w:pStyle w:val="Compact"/>
              <w:jc w:val="left"/>
            </w:pPr>
            <w:r>
              <w:rPr>
                <w:b/>
              </w:rPr>
              <w:t>Flag CLI</w:t>
            </w:r>
          </w:p>
        </w:tc>
        <w:tc>
          <w:tcPr>
            <w:tcW w:type="dxa" w:w="3004"/>
          </w:tcPr>
          <w:p>
            <w:pPr>
              <w:pStyle w:val="Compact"/>
              <w:jc w:val="left"/>
            </w:pPr>
            <w:r>
              <w:rPr>
                <w:b/>
              </w:rPr>
              <w:t>Descripción</w:t>
            </w:r>
          </w:p>
        </w:tc>
        <w:tc>
          <w:tcPr>
            <w:tcW w:type="dxa" w:w="2565"/>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p1a"/>
      </w:pPr>
      <w:r>
        <w:t>La base de conocimientos se organiza en dos colecciones ChromaDB separadas para garantizar compatibilidad con el sistema preexistente:</w:t>
      </w:r>
    </w:p>
    <w:p>
      <w:pPr>
        <w:numPr>
          <w:ilvl w:val="0"/>
          <w:numId w:val="0"/>
        </w:numPr>
        <w:pStyle w:val="p1a"/>
      </w:pPr>
      <w:r>
        <w:t>ner_dictionaries: Colección legacy (diccionarios de entidades, preservada)</w:t>
      </w:r>
    </w:p>
    <w:p>
      <w:pPr>
        <w:numPr>
          <w:ilvl w:val="0"/>
          <w:numId w:val="0"/>
        </w:numPr>
        <w:pStyle w:val="p1a"/>
      </w:pPr>
      <w:r>
        <w:t>ner_knowledge_base: Nueva colección (guías + ejemplares, 12 documentos)</w:t>
      </w:r>
    </w:p>
    <w:p>
      <w:pPr>
        <w:numPr>
          <w:ilvl w:val="0"/>
          <w:numId w:val="0"/>
        </w:numPr>
        <w:pStyle w:val="p1a"/>
      </w:pPr>
      <w:r>
        <w:t>Configurabilidad garantizada: El sistema es activable/desactivable mediante flags CLI sin modificar código:</w:t>
      </w:r>
    </w:p>
    <w:p>
      <w:pPr>
        <w:numPr>
          <w:ilvl w:val="0"/>
          <w:numId w:val="0"/>
        </w:numPr>
        <w:pStyle w:val="program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p1a"/>
      </w:pPr>
      <w:r>
        <w:t>Template de inyección diferenciado: El módulo ollama_provider.py detecta automáticamente el tipo de contexto RAG y aplica el template apropiado:</w:t>
      </w:r>
    </w:p>
    <w:p>
      <w:pPr>
        <w:numPr>
          <w:ilvl w:val="0"/>
          <w:numId w:val="0"/>
        </w:numPr>
        <w:pStyle w:val="p1a"/>
      </w:pPr>
      <w:r>
        <w:t>Entity-dict RAG (legacy): Template restrictivo — "DO NOT extract unless they explicitly appear..." — previene alucinaciones de entidades ausentes.</w:t>
      </w:r>
    </w:p>
    <w:p>
      <w:pPr>
        <w:numPr>
          <w:ilvl w:val="0"/>
          <w:numId w:val="0"/>
        </w:numPr>
        <w:pStyle w:val="p1a"/>
      </w:pPr>
      <w:r>
        <w:t>KB RAG (nuevo): Template positivo — "[EXTRACTION GUIDANCE] Apply these rules to the news text" — instruye activamente al LLM sin suprimir su capacidad de extracción.</w:t>
      </w:r>
    </w:p>
    <w:p>
      <w:pPr>
        <w:numPr>
          <w:ilvl w:val="0"/>
          <w:numId w:val="0"/>
        </w:numPr>
        <w:pStyle w:val="heading3"/>
      </w:pPr>
      <w:r>
        <w:t>D.2 Catálogo de guías tipológicas y ejemplares de la base de Conocimientos</w:t>
      </w:r>
    </w:p>
    <w:p>
      <w:pPr>
        <w:numPr>
          <w:ilvl w:val="0"/>
          <w:numId w:val="0"/>
        </w:numPr>
        <w:pStyle w:val="tablecaption"/>
      </w:pPr>
      <w:r>
        <w:t xml:space="preserve">Tabla 13. Guías Tipológicas de Dominio de la Base de Conocimientos</w:t>
      </w:r>
    </w:p>
    <w:tbl>
      <w:tblPr>
        <w:tblStyle w:val="Table"/>
        <w:tblW w:type="dxa" w:w="8838"/>
        <w:tblLayout w:type="fixed"/>
        <w:tblLook w:firstRow="1" w:lastRow="0" w:firstColumn="0" w:lastColumn="0" w:noHBand="0" w:noVBand="0" w:val="0020"/>
      </w:tblPr>
      <w:tblGrid>
        <w:gridCol w:w="2513"/>
        <w:gridCol w:w="2211"/>
        <w:gridCol w:w="693"/>
        <w:gridCol w:w="3421"/>
      </w:tblGrid>
      <w:tr>
        <w:trPr>
          <w:tblHeader w:val="on"/>
        </w:trPr>
        <w:tc>
          <w:tcPr>
            <w:tcW w:type="dxa" w:w="2513"/>
          </w:tcPr>
          <w:p>
            <w:pPr>
              <w:pStyle w:val="Compact"/>
              <w:jc w:val="left"/>
            </w:pPr>
            <w:r>
              <w:rPr>
                <w:b/>
              </w:rPr>
              <w:t>Dominio</w:t>
            </w:r>
          </w:p>
        </w:tc>
        <w:tc>
          <w:tcPr>
            <w:tcW w:type="dxa" w:w="2211"/>
          </w:tcPr>
          <w:p>
            <w:pPr>
              <w:pStyle w:val="Compact"/>
              <w:jc w:val="left"/>
            </w:pPr>
            <w:r>
              <w:rPr>
                <w:b/>
              </w:rPr>
              <w:t>ID</w:t>
            </w:r>
          </w:p>
        </w:tc>
        <w:tc>
          <w:tcPr>
            <w:tcW w:type="dxa" w:w="693"/>
          </w:tcPr>
          <w:p>
            <w:pPr>
              <w:pStyle w:val="Compact"/>
              <w:jc w:val="left"/>
            </w:pPr>
            <w:r>
              <w:rPr>
                <w:b/>
              </w:rPr>
              <w:t>Idioma</w:t>
            </w:r>
          </w:p>
        </w:tc>
        <w:tc>
          <w:tcPr>
            <w:tcW w:type="dxa" w:w="3421"/>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693"/>
          </w:tcPr>
          <w:p>
            <w:pPr>
              <w:pStyle w:val="Compact"/>
              <w:jc w:val="left"/>
            </w:pPr>
            <w:r>
              <w:rPr>
                <w:b w:val="0"/>
              </w:rPr>
              <w:t>ES</w:t>
            </w:r>
          </w:p>
        </w:tc>
        <w:tc>
          <w:tcPr>
            <w:tcW w:type="dxa" w:w="3421"/>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693"/>
          </w:tcPr>
          <w:p>
            <w:pPr>
              <w:pStyle w:val="Compact"/>
              <w:jc w:val="left"/>
            </w:pPr>
            <w:r>
              <w:rPr>
                <w:b w:val="0"/>
              </w:rPr>
              <w:t>ES</w:t>
            </w:r>
          </w:p>
        </w:tc>
        <w:tc>
          <w:tcPr>
            <w:tcW w:type="dxa" w:w="3421"/>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693"/>
          </w:tcPr>
          <w:p>
            <w:pPr>
              <w:pStyle w:val="Compact"/>
              <w:jc w:val="left"/>
            </w:pPr>
            <w:r>
              <w:rPr>
                <w:b w:val="0"/>
              </w:rPr>
              <w:t>EN</w:t>
            </w:r>
          </w:p>
        </w:tc>
        <w:tc>
          <w:tcPr>
            <w:tcW w:type="dxa" w:w="3421"/>
          </w:tcPr>
          <w:p>
            <w:pPr>
              <w:pStyle w:val="Compact"/>
              <w:jc w:val="center"/>
            </w:pPr>
            <w:r>
              <w:rPr>
                <w:b w:val="0"/>
              </w:rPr>
              <w:t>OFAC, indictment, money laundering, IEEPA</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693"/>
          </w:tcPr>
          <w:p>
            <w:pPr>
              <w:pStyle w:val="Compact"/>
              <w:jc w:val="left"/>
            </w:pPr>
            <w:r>
              <w:rPr>
                <w:b w:val="0"/>
              </w:rPr>
              <w:t>ES</w:t>
            </w:r>
          </w:p>
        </w:tc>
        <w:tc>
          <w:tcPr>
            <w:tcW w:type="dxa" w:w="3421"/>
          </w:tcPr>
          <w:p>
            <w:pPr>
              <w:pStyle w:val="Compact"/>
              <w:jc w:val="center"/>
            </w:pPr>
            <w:r>
              <w:rPr>
                <w:b w:val="0"/>
              </w:rPr>
              <w:t>tribunal, fiscal, audiencia nacional</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693"/>
          </w:tcPr>
          <w:p>
            <w:pPr>
              <w:pStyle w:val="Compact"/>
              <w:jc w:val="left"/>
            </w:pPr>
            <w:r>
              <w:rPr>
                <w:b w:val="0"/>
              </w:rPr>
              <w:t>ES</w:t>
            </w:r>
          </w:p>
        </w:tc>
        <w:tc>
          <w:tcPr>
            <w:tcW w:type="dxa" w:w="3421"/>
          </w:tcPr>
          <w:p>
            <w:pPr>
              <w:pStyle w:val="Compact"/>
              <w:jc w:val="center"/>
            </w:pPr>
            <w:r>
              <w:rPr>
                <w:b w:val="0"/>
              </w:rPr>
              <w:t>liga, federación, club</w:t>
            </w:r>
          </w:p>
        </w:tc>
      </w:tr>
    </w:tbl>
    <w:p>
      <w:pPr>
        <w:numPr>
          <w:ilvl w:val="0"/>
          <w:numId w:val="0"/>
        </w:numPr>
        <w:pStyle w:val="tablecaption"/>
      </w:pPr>
      <w:r>
        <w:t xml:space="preserve">Tabla 14. Ejemplares Few-Shot de la Base de Conocimientos</w:t>
      </w:r>
    </w:p>
    <w:tbl>
      <w:tblPr>
        <w:tblStyle w:val="Table"/>
        <w:tblW w:type="dxa" w:w="8838"/>
        <w:tblLayout w:type="fixed"/>
        <w:tblLook w:firstRow="1" w:lastRow="0" w:firstColumn="0" w:lastColumn="0" w:noHBand="0" w:noVBand="0" w:val="0020"/>
      </w:tblPr>
      <w:tblGrid>
        <w:gridCol w:w="4344"/>
        <w:gridCol w:w="2396"/>
        <w:gridCol w:w="2098"/>
      </w:tblGrid>
      <w:tr>
        <w:trPr>
          <w:tblHeader w:val="on"/>
        </w:trPr>
        <w:tc>
          <w:tcPr>
            <w:tcW w:type="dxa" w:w="4344"/>
          </w:tcPr>
          <w:p>
            <w:pPr>
              <w:pStyle w:val="Compact"/>
              <w:jc w:val="left"/>
            </w:pPr>
            <w:r>
              <w:rPr>
                <w:b/>
              </w:rPr>
              <w:t>ID Ejemplar</w:t>
            </w:r>
          </w:p>
        </w:tc>
        <w:tc>
          <w:tcPr>
            <w:tcW w:type="dxa" w:w="2396"/>
          </w:tcPr>
          <w:p>
            <w:pPr>
              <w:pStyle w:val="Compact"/>
              <w:jc w:val="left"/>
            </w:pPr>
            <w:r>
              <w:rPr>
                <w:b/>
              </w:rPr>
              <w:t>Dominio</w:t>
            </w:r>
          </w:p>
        </w:tc>
        <w:tc>
          <w:tcPr>
            <w:tcW w:type="dxa" w:w="2098"/>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3"/>
      </w:pPr>
      <w:r>
        <w:t>D.3 Reglas de la base de conocimientos contextual</w:t>
      </w:r>
    </w:p>
    <w:p>
      <w:pPr>
        <w:numPr>
          <w:ilvl w:val="0"/>
          <w:numId w:val="0"/>
        </w:numPr>
        <w:pStyle w:val="tablecaption"/>
      </w:pPr>
      <w:r>
        <w:t xml:space="preserve">Tabla 15. Reglas de la Base de Conocimientos Contextual</w:t>
      </w:r>
    </w:p>
    <w:tbl>
      <w:tblPr>
        <w:tblStyle w:val="Table"/>
        <w:tblW w:type="dxa" w:w="8838"/>
        <w:tblLayout w:type="fixed"/>
        <w:tblLook w:firstRow="1" w:lastRow="0" w:firstColumn="0" w:lastColumn="0" w:noHBand="0" w:noVBand="0" w:val="0020"/>
      </w:tblPr>
      <w:tblGrid>
        <w:gridCol w:w="3130"/>
        <w:gridCol w:w="5708"/>
      </w:tblGrid>
      <w:tr>
        <w:trPr>
          <w:tblHeader w:val="on"/>
        </w:trPr>
        <w:tc>
          <w:tcPr>
            <w:tcW w:type="dxa" w:w="3130"/>
          </w:tcPr>
          <w:p>
            <w:pPr>
              <w:pStyle w:val="Compact"/>
              <w:jc w:val="left"/>
            </w:pPr>
            <w:r>
              <w:rPr>
                <w:b/>
              </w:rPr>
              <w:t>Regla</w:t>
            </w:r>
          </w:p>
        </w:tc>
        <w:tc>
          <w:tcPr>
            <w:tcW w:type="dxa" w:w="5708"/>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tablecaption"/>
      </w:pPr>
      <w:r>
        <w:t xml:space="preserve">Tabla 16. Resultados Completos del Benchmark General (13 Configuraciones, N=15)</w:t>
      </w:r>
    </w:p>
    <w:tbl>
      <w:tblPr>
        <w:tblStyle w:val="Table"/>
        <w:tblW w:type="dxa" w:w="8838"/>
        <w:tblLayout w:type="fixed"/>
        <w:tblLook w:firstRow="1" w:lastRow="0" w:firstColumn="0" w:lastColumn="0" w:noHBand="0" w:noVBand="0" w:val="0020"/>
      </w:tblPr>
      <w:tblGrid>
        <w:gridCol w:w="4215"/>
        <w:gridCol w:w="4623"/>
      </w:tblGrid>
      <w:tr>
        <w:trPr>
          <w:tblHeader w:val="on"/>
        </w:trPr>
        <w:tc>
          <w:tcPr>
            <w:tcW w:type="dxa" w:w="4215"/>
          </w:tcPr>
          <w:p>
            <w:pPr>
              <w:pStyle w:val="Compact"/>
              <w:jc w:val="left"/>
            </w:pPr>
            <w:r>
              <w:rPr>
                <w:b/>
              </w:rPr>
              <w:t>Filas de la Tabla 5</w:t>
            </w:r>
          </w:p>
        </w:tc>
        <w:tc>
          <w:tcPr>
            <w:tcW w:type="dxa" w:w="4623"/>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r>
        <w:tc>
          <w:tcPr>
            <w:tcW w:type="dxa" w:w="4215"/>
          </w:tcPr>
          <w:p>
            <w:pPr>
              <w:pStyle w:val="Compact"/>
              <w:jc w:val="left"/>
            </w:pPr>
            <w:r>
              <w:rPr>
                <w:b w:val="0"/>
              </w:rPr>
              <w:t>Excluidos del estudio</w:t>
            </w:r>
          </w:p>
        </w:tc>
        <w:tc>
          <w:tcPr>
            <w:tcW w:type="dxa" w:w="4623"/>
          </w:tcPr>
          <w:p>
            <w:pPr>
              <w:pStyle w:val="Compact"/>
              <w:jc w:val="left"/>
            </w:pPr>
            <w:r>
              <w:rPr>
                <w:b w:val="0"/>
              </w:rPr>
              <w:t>nuextract:latest, gemini-3.1-flash-lite, minimax-m3</w:t>
            </w:r>
          </w:p>
        </w:tc>
      </w:tr>
    </w:tbl>
    <w:p>
      <w:pPr>
        <w:numPr>
          <w:ilvl w:val="0"/>
          <w:numId w:val="0"/>
        </w:numPr>
        <w:pStyle w:val="heading2"/>
      </w:pPr>
      <w:r>
        <w:t>Anexo F — Metodología Detallada de Generación del Corpus Sintético N=30</w:t>
      </w:r>
    </w:p>
    <w:p>
      <w:pPr>
        <w:numPr>
          <w:ilvl w:val="0"/>
          <w:numId w:val="0"/>
        </w:numPr>
        <w:pStyle w:val="p1a"/>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p1a"/>
      </w:pPr>
      <w:r>
        <w:t>Paso 2 — Generación controlada por plantillas de entidad: Para cada artículo sintético se definió a priori un par {entidad_PER, entidad_ORG} que debía aparecer en el texto, actuando como ground truth objetivo. Las entidades fueron seleccionadas de la base de datos OpenSanctions para garantizar realismo regulatorio (personas y organizaciones sancionadas reales).</w:t>
      </w:r>
    </w:p>
    <w:p>
      <w:pPr>
        <w:numPr>
          <w:ilvl w:val="0"/>
          <w:numId w:val="0"/>
        </w:numPr>
        <w:pStyle w:val="p1a"/>
      </w:pPr>
      <w:r>
        <w:t>Paso 3 — Instrucción al LLM generador: El modelo gemma4:31b recibió el siguiente prompt de generación:</w:t>
      </w:r>
    </w:p>
    <w:p>
      <w:pPr>
        <w:numPr>
          <w:ilvl w:val="0"/>
          <w:numId w:val="0"/>
        </w:numPr>
        <w:pStyle w:val="program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p1a"/>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p1a"/>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p1a"/>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(20 commits entre el 29 de junio y el 1 de septiembre de 2026), los registros de trabajo WORKLOG.md (raíz del repositorio y research/rag/), y los informes de investigación asociados.</w:t>
      </w:r>
    </w:p>
    <w:p>
      <w:pPr>
        <w:numPr>
          <w:ilvl w:val="0"/>
          <w:numId w:val="0"/>
        </w:numPr>
        <w:pStyle w:val="heading3"/>
      </w:pPr>
      <w:r>
        <w:t>G.1 Trabajo realizado por el autor de la tesina</w:t>
      </w:r>
    </w:p>
    <w:p>
      <w:pPr>
        <w:numPr>
          <w:ilvl w:val="0"/>
          <w:numId w:val="0"/>
        </w:numPr>
        <w:pStyle w:val="p1a"/>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p1a"/>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3"/>
      </w:pPr>
      <w:r>
        <w:t>G.2 Apoyo de IA en la elaboración de artefactos de prueba</w:t>
      </w:r>
    </w:p>
    <w:p>
      <w:pPr>
        <w:numPr>
          <w:ilvl w:val="0"/>
          <w:numId w:val="0"/>
        </w:numPr>
        <w:pStyle w:val="p1a"/>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OpenSanctions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3"/>
      </w:pPr>
      <w:r>
        <w:t>G.3 Apoyo de IA en implementación, documentación y formato</w:t>
      </w:r>
    </w:p>
    <w:p>
      <w:pPr>
        <w:numPr>
          <w:ilvl w:val="0"/>
          <w:numId w:val="0"/>
        </w:numPr>
        <w:pStyle w:val="p1a"/>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3"/>
      </w:pPr>
      <w:r>
        <w:t>G.4 Límites y verificación</w:t>
      </w:r>
    </w:p>
    <w:p>
      <w:pPr>
        <w:numPr>
          <w:ilvl w:val="0"/>
          <w:numId w:val="0"/>
        </w:numPr>
        <w:pStyle w:val="p1a"/>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que la validación complementaria sobre el corpus real N=120 (§5.3.5) cubre un subconjunto de cinco modelos y que la re-evaluación de los modelos restantes queda como trabajo futuro (§7.2). El autor asume la responsabilidad final sobre el contenido, la exactitud y la integridad académica de este documento.</w:t>
      </w:r>
    </w:p>
    <w:p>
      <w:pPr>
        <w:numPr>
          <w:ilvl w:val="0"/>
          <w:numId w:val="0"/>
        </w:numPr>
        <w:pStyle w:val="heading2"/>
      </w:pPr>
      <w:r>
        <w:t xml:space="preserve">Anexo H — Codificación del corpus: análisis del </w:t>
      </w:r>
      <w:r>
        <w:rPr>
          <w:i/>
        </w:rPr>
        <w:t>mojibake</w:t>
      </w:r>
      <w:r>
        <w:t xml:space="preserve"> y su efecto sobre la medición</w:t>
      </w:r>
    </w:p>
    <w:p>
      <w:pPr>
        <w:numPr>
          <w:ilvl w:val="0"/>
          <w:numId w:val="0"/>
        </w:numPr>
        <w:pStyle w:val="heading3"/>
      </w:pPr>
      <w:r>
        <w:t>H.1 Naturaleza y alcance del defecto</w:t>
      </w:r>
    </w:p>
    <w:p>
      <w:pPr>
        <w:numPr>
          <w:ilvl w:val="0"/>
          <w:numId w:val="0"/>
        </w:numPr>
        <w:pStyle w:val="p1a"/>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w:t>
      </w:r>
    </w:p>
    <w:p>
      <w:pPr>
        <w:numPr>
          <w:ilvl w:val="0"/>
          <w:numId w:val="0"/>
        </w:numPr>
        <w:pStyle w:val="tablecaption"/>
      </w:pPr>
      <w:r>
        <w:t>Tabla 17. H.1 Naturaleza y alcance del defecto</w:t>
      </w:r>
    </w:p>
    <w:tbl>
      <w:tblPr>
        <w:tblStyle w:val="Table"/>
        <w:tblW w:type="dxa" w:w="8838"/>
        <w:tblLayout w:type="fixed"/>
        <w:tblLook w:firstRow="1" w:lastRow="0" w:firstColumn="0" w:lastColumn="0" w:noHBand="0" w:noVBand="0" w:val="0020"/>
      </w:tblPr>
      <w:tblGrid>
        <w:gridCol w:w="5077"/>
        <w:gridCol w:w="3761"/>
      </w:tblGrid>
      <w:tr>
        <w:trPr>
          <w:tblHeader w:val="on"/>
        </w:trPr>
        <w:tc>
          <w:tcPr>
            <w:tcW w:type="dxa" w:w="5077"/>
          </w:tcPr>
          <w:p>
            <w:pPr>
              <w:pStyle w:val="Compact"/>
              <w:jc w:val="left"/>
            </w:pPr>
            <w:r>
              <w:rPr>
                <w:b/>
              </w:rPr>
              <w:t>Forma almacenada (corrupta)</w:t>
            </w:r>
          </w:p>
        </w:tc>
        <w:tc>
          <w:tcPr>
            <w:tcW w:type="dxa" w:w="3761"/>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p1a"/>
      </w:pPr>
      <w:r>
        <w:t xml:space="preserve">La reparación consiste en deshacer el paso erróneo: </w:t>
      </w:r>
      <w:r>
        <w:t>s.encode('latin-1').decode('utf-8')</w:t>
      </w:r>
      <w:r>
        <w:t>.</w:t>
      </w:r>
    </w:p>
    <w:p>
      <w:pPr>
        <w:numPr>
          <w:ilvl w:val="0"/>
          <w:numId w:val="0"/>
        </w:numPr>
        <w:pStyle w:val="heading3"/>
      </w:pPr>
      <w:r>
        <w:t>H.2 Alcance medido y consecuencia sobre la comparación</w:t>
      </w:r>
    </w:p>
    <w:p>
      <w:pPr>
        <w:numPr>
          <w:ilvl w:val="0"/>
          <w:numId w:val="0"/>
        </w:numPr>
        <w:pStyle w:val="tablecaption"/>
      </w:pPr>
      <w:r>
        <w:t>Tabla 18. H.2 Alcance medido y consecuencia sobre la comparación</w:t>
      </w:r>
    </w:p>
    <w:tbl>
      <w:tblPr>
        <w:tblStyle w:val="Table"/>
        <w:tblW w:type="dxa" w:w="8838"/>
        <w:tblLayout w:type="fixed"/>
        <w:tblLook w:firstRow="1" w:lastRow="0" w:firstColumn="0" w:lastColumn="0" w:noHBand="0" w:noVBand="0" w:val="0020"/>
      </w:tblPr>
      <w:tblGrid>
        <w:gridCol w:w="5564"/>
        <w:gridCol w:w="3274"/>
      </w:tblGrid>
      <w:tr>
        <w:trPr>
          <w:tblHeader w:val="on"/>
        </w:trPr>
        <w:tc>
          <w:tcPr>
            <w:tcW w:type="dxa" w:w="5564"/>
          </w:tcPr>
          <w:p>
            <w:pPr>
              <w:pStyle w:val="Compact"/>
              <w:jc w:val="left"/>
            </w:pPr>
            <w:r>
              <w:rPr>
                <w:b/>
              </w:rPr>
              <w:t>Comprobación sobre data/benchmark_balanced_120.json</w:t>
            </w:r>
          </w:p>
        </w:tc>
        <w:tc>
          <w:tcPr>
            <w:tcW w:type="dxa" w:w="3274"/>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Entidades con *mojibake*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Artículos con *mojibake*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p1a"/>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p1a"/>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3"/>
      </w:pPr>
      <w:r>
        <w:t>H.3 Evidencia empírica del efecto diferencial</w:t>
      </w:r>
    </w:p>
    <w:p>
      <w:pPr>
        <w:numPr>
          <w:ilvl w:val="0"/>
          <w:numId w:val="0"/>
        </w:numPr>
        <w:pStyle w:val="p1a"/>
      </w:pPr>
      <w:r>
        <w:t>Diferencia de F1 entre los 88 artículos afectados y los 31 no afectados, sobre los mismos registros para todos los modelos:</w:t>
      </w:r>
    </w:p>
    <w:p>
      <w:pPr>
        <w:numPr>
          <w:ilvl w:val="0"/>
          <w:numId w:val="0"/>
        </w:numPr>
        <w:pStyle w:val="tablecaption"/>
      </w:pPr>
      <w:r>
        <w:t>Tabla 19. H.3 Evidencia empírica del efecto diferencial</w:t>
      </w:r>
    </w:p>
    <w:tbl>
      <w:tblPr>
        <w:tblStyle w:val="Table"/>
        <w:tblW w:type="dxa" w:w="8838"/>
        <w:tblLayout w:type="fixed"/>
        <w:tblLook w:firstRow="1" w:lastRow="0" w:firstColumn="0" w:lastColumn="0" w:noHBand="0" w:noVBand="0" w:val="0020"/>
      </w:tblPr>
      <w:tblGrid>
        <w:gridCol w:w="4499"/>
        <w:gridCol w:w="4339"/>
      </w:tblGrid>
      <w:tr>
        <w:trPr>
          <w:tblHeader w:val="on"/>
        </w:trPr>
        <w:tc>
          <w:tcPr>
            <w:tcW w:type="dxa" w:w="4499"/>
          </w:tcPr>
          <w:p>
            <w:pPr>
              <w:pStyle w:val="Compact"/>
              <w:jc w:val="left"/>
            </w:pPr>
            <w:r>
              <w:rPr>
                <w:b/>
              </w:rPr>
              <w:t>Modelo</w:t>
            </w:r>
          </w:p>
        </w:tc>
        <w:tc>
          <w:tcPr>
            <w:tcW w:type="dxa" w:w="4339"/>
          </w:tcPr>
          <w:p>
            <w:pPr>
              <w:pStyle w:val="Compact"/>
              <w:jc w:val="left"/>
            </w:pPr>
            <w:r>
              <w:rPr>
                <w:b/>
              </w:rPr>
              <w:t>Δ F1 (con *mojibake* − sin)</w:t>
            </w:r>
          </w:p>
        </w:tc>
      </w:tr>
      <w:tr>
        <w:tc>
          <w:tcPr>
            <w:tcW w:type="dxa" w:w="4499"/>
          </w:tcPr>
          <w:p>
            <w:pPr>
              <w:pStyle w:val="Compact"/>
              <w:jc w:val="left"/>
            </w:pPr>
            <w:r>
              <w:rPr>
                <w:b w:val="0"/>
              </w:rPr>
              <w:t>gemma4:latest (baseline)</w:t>
            </w:r>
          </w:p>
        </w:tc>
        <w:tc>
          <w:tcPr>
            <w:tcW w:type="dxa" w:w="4339"/>
          </w:tcPr>
          <w:p>
            <w:pPr>
              <w:pStyle w:val="Compact"/>
              <w:jc w:val="left"/>
            </w:pPr>
            <w:r>
              <w:rPr>
                <w:b/>
              </w:rPr>
              <w:t>−0.0695</w:t>
            </w:r>
          </w:p>
        </w:tc>
      </w:tr>
      <w:tr>
        <w:tc>
          <w:tcPr>
            <w:tcW w:type="dxa" w:w="4499"/>
          </w:tcPr>
          <w:p>
            <w:pPr>
              <w:pStyle w:val="Compact"/>
              <w:jc w:val="left"/>
            </w:pPr>
            <w:r>
              <w:rPr>
                <w:b w:val="0"/>
              </w:rPr>
              <w:t>gemma4:12b-mlx (baseline)</w:t>
            </w:r>
          </w:p>
        </w:tc>
        <w:tc>
          <w:tcPr>
            <w:tcW w:type="dxa" w:w="4339"/>
          </w:tcPr>
          <w:p>
            <w:pPr>
              <w:pStyle w:val="Compact"/>
              <w:jc w:val="left"/>
            </w:pPr>
            <w:r>
              <w:rPr>
                <w:b w:val="0"/>
              </w:rPr>
              <w:t>−0.0422</w:t>
            </w:r>
          </w:p>
        </w:tc>
      </w:tr>
      <w:tr>
        <w:tc>
          <w:tcPr>
            <w:tcW w:type="dxa" w:w="4499"/>
          </w:tcPr>
          <w:p>
            <w:pPr>
              <w:pStyle w:val="Compact"/>
              <w:jc w:val="left"/>
            </w:pPr>
            <w:r>
              <w:rPr>
                <w:b w:val="0"/>
              </w:rPr>
              <w:t>gemma4:31b-mlx (baseline)</w:t>
            </w:r>
          </w:p>
        </w:tc>
        <w:tc>
          <w:tcPr>
            <w:tcW w:type="dxa" w:w="4339"/>
          </w:tcPr>
          <w:p>
            <w:pPr>
              <w:pStyle w:val="Compact"/>
              <w:jc w:val="left"/>
            </w:pPr>
            <w:r>
              <w:rPr>
                <w:b w:val="0"/>
              </w:rPr>
              <w:t>−0.0395</w:t>
            </w:r>
          </w:p>
        </w:tc>
      </w:tr>
      <w:tr>
        <w:tc>
          <w:tcPr>
            <w:tcW w:type="dxa" w:w="4499"/>
          </w:tcPr>
          <w:p>
            <w:pPr>
              <w:pStyle w:val="Compact"/>
              <w:jc w:val="left"/>
            </w:pPr>
            <w:r>
              <w:rPr>
                <w:b w:val="0"/>
              </w:rPr>
              <w:t>llama3.1:8b (KB RAG)</w:t>
            </w:r>
          </w:p>
        </w:tc>
        <w:tc>
          <w:tcPr>
            <w:tcW w:type="dxa" w:w="4339"/>
          </w:tcPr>
          <w:p>
            <w:pPr>
              <w:pStyle w:val="Compact"/>
              <w:jc w:val="left"/>
            </w:pPr>
            <w:r>
              <w:rPr>
                <w:b w:val="0"/>
              </w:rPr>
              <w:t>−0.0004</w:t>
            </w:r>
          </w:p>
        </w:tc>
      </w:tr>
      <w:tr>
        <w:tc>
          <w:tcPr>
            <w:tcW w:type="dxa" w:w="4499"/>
          </w:tcPr>
          <w:p>
            <w:pPr>
              <w:pStyle w:val="Compact"/>
              <w:jc w:val="left"/>
            </w:pPr>
            <w:r>
              <w:rPr>
                <w:b w:val="0"/>
              </w:rPr>
              <w:t>mistral-nemo:latest (KB RAG)</w:t>
            </w:r>
          </w:p>
        </w:tc>
        <w:tc>
          <w:tcPr>
            <w:tcW w:type="dxa" w:w="4339"/>
          </w:tcPr>
          <w:p>
            <w:pPr>
              <w:pStyle w:val="Compact"/>
              <w:jc w:val="left"/>
            </w:pPr>
            <w:r>
              <w:rPr>
                <w:b w:val="0"/>
              </w:rPr>
              <w:t>+0.0122</w:t>
            </w:r>
          </w:p>
        </w:tc>
      </w:tr>
      <w:tr>
        <w:tc>
          <w:tcPr>
            <w:tcW w:type="dxa" w:w="4499"/>
          </w:tcPr>
          <w:p>
            <w:pPr>
              <w:pStyle w:val="Compact"/>
              <w:jc w:val="left"/>
            </w:pPr>
            <w:r>
              <w:rPr>
                <w:b w:val="0"/>
              </w:rPr>
              <w:t>deepseek-r1:1.5b (baseline)</w:t>
            </w:r>
          </w:p>
        </w:tc>
        <w:tc>
          <w:tcPr>
            <w:tcW w:type="dxa" w:w="4339"/>
          </w:tcPr>
          <w:p>
            <w:pPr>
              <w:pStyle w:val="Compact"/>
              <w:jc w:val="left"/>
            </w:pPr>
            <w:r>
              <w:rPr>
                <w:b w:val="0"/>
              </w:rPr>
              <w:t>+0.0199</w:t>
            </w:r>
          </w:p>
        </w:tc>
      </w:tr>
      <w:tr>
        <w:tc>
          <w:tcPr>
            <w:tcW w:type="dxa" w:w="4499"/>
          </w:tcPr>
          <w:p>
            <w:pPr>
              <w:pStyle w:val="Compact"/>
              <w:jc w:val="left"/>
            </w:pPr>
            <w:r>
              <w:rPr>
                <w:b w:val="0"/>
              </w:rPr>
              <w:t>gemma:latest (KB RAG)</w:t>
            </w:r>
          </w:p>
        </w:tc>
        <w:tc>
          <w:tcPr>
            <w:tcW w:type="dxa" w:w="4339"/>
          </w:tcPr>
          <w:p>
            <w:pPr>
              <w:pStyle w:val="Compact"/>
              <w:jc w:val="left"/>
            </w:pPr>
            <w:r>
              <w:rPr>
                <w:b/>
              </w:rPr>
              <w:t>+0.0249</w:t>
            </w:r>
          </w:p>
        </w:tc>
      </w:tr>
    </w:tbl>
    <w:p>
      <w:pPr>
        <w:numPr>
          <w:ilvl w:val="0"/>
          <w:numId w:val="0"/>
        </w:numPr>
        <w:pStyle w:val="p1a"/>
      </w:pPr>
      <w:r>
        <w:t xml:space="preserve">El rango entre extremos alcanza </w:t>
      </w:r>
      <w:r>
        <w:rPr>
          <w:b/>
        </w:rPr>
        <w:t>9,4 puntos porcentuales</w:t>
      </w:r>
      <w:r>
        <w:t>.</w:t>
      </w:r>
    </w:p>
    <w:p>
      <w:pPr>
        <w:numPr>
          <w:ilvl w:val="0"/>
          <w:numId w:val="0"/>
        </w:numPr>
        <w:pStyle w:val="p1a"/>
      </w:pPr>
      <w:r>
        <w:rPr>
          <w:b/>
        </w:rPr>
        <w:t>Cautela metodológica.</w:t>
      </w:r>
      <w:r>
        <w:t xml:space="preserve"> Los artículos afectados podrían ser además más largos o intrínsecamente más difíciles, lo que confundiría la magnitud absoluta de cada Δ. Sin embargo, la dificultad desplazaría a todos los modelos en la misma dirección; </w:t>
      </w:r>
      <w:r>
        <w:rPr>
          <w:b/>
        </w:rPr>
        <w:t>la dispersión entre modelos sobre registros idénticos</w:t>
      </w:r>
      <w:r>
        <w:t xml:space="preserve"> es lo que acredita una interacción específica de cada modelo. Una versión previa de esta tabla situaba a </w:t>
      </w:r>
      <w:r>
        <w:t>gpt-oss:20b</w:t>
      </w:r>
      <w:r>
        <w:t xml:space="preserve"> en el extremo positivo con +0,091, y se advirtió entonces que esa fila era la menos fiable por estar dominada por un artefacto del arnés. Corregido el artefacto y repetida la medición, su valor real es </w:t>
      </w:r>
      <w:r>
        <w:rPr>
          <w:b/>
        </w:rPr>
        <w:t>−0,034</w:t>
      </w:r>
      <w:r>
        <w:t>, dentro del rango del resto. El episodio ilustra la necesidad de descartar defectos de ejecución antes de interpretar un valor extremo.</w:t>
      </w:r>
    </w:p>
    <w:p>
      <w:pPr>
        <w:numPr>
          <w:ilvl w:val="0"/>
          <w:numId w:val="0"/>
        </w:numPr>
        <w:pStyle w:val="heading3"/>
      </w:pPr>
      <w:r>
        <w:t>H.4 Cómo debe repararse</w:t>
      </w:r>
    </w:p>
    <w:p>
      <w:pPr>
        <w:numPr>
          <w:ilvl w:val="0"/>
          <w:numId w:val="0"/>
        </w:numPr>
        <w:pStyle w:val="p1a"/>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p1a"/>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(§5.3.5) y como línea de trabajo futuro (§7.2, punto 7).</w:t>
      </w:r>
    </w:p>
    <w:p>
      <w:pPr>
        <w:numPr>
          <w:ilvl w:val="0"/>
          <w:numId w:val="0"/>
        </w:numPr>
        <w:pStyle w:val="heading3"/>
      </w:pPr>
      <w:r>
        <w:t>H.5 Implicaciones para la evaluación de sistemas NER</w:t>
      </w:r>
    </w:p>
    <w:p>
      <w:pPr>
        <w:numPr>
          <w:ilvl w:val="0"/>
          <w:numId w:val="0"/>
        </w:numPr>
        <w:pStyle w:val="numbereditem"/>
      </w:pPr>
      <w:r>
        <w:rPr>
          <w:b/>
        </w:rPr>
        <w:t>Verificar la codificación de la entrada, no solo la de la referencia.</w:t>
      </w:r>
      <w:r>
        <w:t xml:space="preserve"> Un defecto presente en ambas no se comporta como el mismo defecto presente en una sola.</w:t>
      </w:r>
    </w:p>
    <w:p>
      <w:pPr>
        <w:numPr>
          <w:ilvl w:val="0"/>
          <w:numId w:val="0"/>
        </w:numPr>
        <w:pStyle w:val="numbereditem"/>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numbereditem"/>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numbereditem"/>
      </w:pPr>
      <w:r>
        <w:rPr>
          <w:b/>
        </w:rPr>
        <w:t>Aplicar toda corrección de forma uniforme.</w:t>
      </w:r>
      <w:r>
        <w:t xml:space="preserve"> Reparar el corpus para un solo modelo lo mediría con una vara distinta de la del resto e invalidaría la comparación.</w:t>
      </w:r>
    </w:p>
    <w:p>
      <w:pPr>
        <w:numPr>
          <w:ilvl w:val="0"/>
          <w:numId w:val="0"/>
        </w:numPr>
        <w:pStyle w:val="p1a"/>
      </w:pPr>
      <w:r>
        <w:rPr>
          <w:i/>
        </w:rPr>
        <w:t>Informe Final de Tesina — Magíster en Tecnologías de la Información (MTI)</w:t>
      </w:r>
      <w:r>
        <w:t xml:space="preserve"> </w:t>
      </w:r>
      <w:r>
        <w:rPr>
          <w:i/>
        </w:rPr>
        <w:t>Universidad Técnica Federico Santa María — Valparaíso, Chile</w:t>
      </w:r>
      <w:r>
        <w:t xml:space="preserve"> </w:t>
      </w:r>
      <w:r>
        <w:rPr>
          <w:i/>
        </w:rPr>
        <w:t>Septiembre de 2026</w:t>
      </w:r>
    </w:p>
    <w:sectPr w:rsidR="00AD2E51" w:rsidRPr="00302DE4" w:rsidSect="003B35BB">
      <w:headerReference w:type="even" r:id="rId9"/>
      <w:headerReference w:type="default" r:id="rId10"/>
      <w:footerReference w:type="even" r:id="rId11"/>
      <w:footerReference w:type="default" r:id="rId12"/>
      <w:headerReference w:type="first" r:id="rId13"/>
      <w:pgSz w:w="12240" w:h="15840" w:code="1"/>
      <w:pgMar w:top="1871" w:right="1701"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7A39F" w14:textId="77777777" w:rsidR="00124D96" w:rsidRDefault="00124D96">
      <w:r>
        <w:separator/>
      </w:r>
    </w:p>
  </w:endnote>
  <w:endnote w:type="continuationSeparator" w:id="0">
    <w:p w14:paraId="45888D19" w14:textId="77777777" w:rsidR="00124D96" w:rsidRDefault="00124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4D"/>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3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Light">
    <w:altName w:val="Calibri"/>
    <w:panose1 w:val="02000604030000020004"/>
    <w:charset w:val="00"/>
    <w:family w:val="auto"/>
    <w:pitch w:val="variable"/>
    <w:sig w:usb0="80000067" w:usb1="00000000" w:usb2="00000000" w:usb3="00000000" w:csb0="000001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6"/>
      <w:docPartObj>
        <w:docPartGallery w:val="Page Numbers (Bottom of Page)"/>
        <w:docPartUnique/>
      </w:docPartObj>
    </w:sdtPr>
    <w:sdtContent>
      <w:p w14:paraId="55201DF0" w14:textId="39DC08F2" w:rsidR="000D1C00" w:rsidRDefault="000D1C00" w:rsidP="009C54F1">
        <w:pPr>
          <w:pStyle w:val="Piedepgina"/>
          <w:ind w:firstLine="0"/>
        </w:pPr>
        <w:r>
          <w:fldChar w:fldCharType="begin"/>
        </w:r>
        <w:r>
          <w:instrText xml:space="preserve"> PAGE   \* MERGEFORMAT </w:instrText>
        </w:r>
        <w:r>
          <w:fldChar w:fldCharType="separate"/>
        </w:r>
        <w:r w:rsidR="00ED3273">
          <w:rPr>
            <w:noProof/>
          </w:rPr>
          <w:t>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8"/>
      <w:docPartObj>
        <w:docPartGallery w:val="Page Numbers (Bottom of Page)"/>
        <w:docPartUnique/>
      </w:docPartObj>
    </w:sdtPr>
    <w:sdtContent>
      <w:p w14:paraId="6D71C20B" w14:textId="77777777" w:rsidR="000D1C00" w:rsidRDefault="000D1C00">
        <w:pPr>
          <w:pStyle w:val="Piedepgina"/>
          <w:jc w:val="right"/>
        </w:pPr>
        <w:r>
          <w:fldChar w:fldCharType="begin"/>
        </w:r>
        <w:r>
          <w:instrText xml:space="preserve"> PAGE   \* MERGEFORMAT </w:instrText>
        </w:r>
        <w:r>
          <w:fldChar w:fldCharType="separate"/>
        </w:r>
        <w:r w:rsidR="00ED3273">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4392D" w14:textId="77777777" w:rsidR="00124D96" w:rsidRDefault="00124D96" w:rsidP="00895F20">
      <w:pPr>
        <w:ind w:firstLine="0"/>
      </w:pPr>
      <w:r>
        <w:separator/>
      </w:r>
    </w:p>
  </w:footnote>
  <w:footnote w:type="continuationSeparator" w:id="0">
    <w:p w14:paraId="4A6E383B" w14:textId="77777777" w:rsidR="00124D96" w:rsidRDefault="00124D96" w:rsidP="00895F20">
      <w:pPr>
        <w:ind w:firstLine="0"/>
      </w:pPr>
      <w:r>
        <w:continuationSeparator/>
      </w:r>
    </w:p>
  </w:footnote>
  <w:footnote w:id="1">
    <w:p w14:paraId="63B15674" w14:textId="3DC13C73" w:rsidR="000D1C00" w:rsidRPr="00D014AB" w:rsidRDefault="000D1C00">
      <w:pPr>
        <w:pStyle w:val="Textonotapie"/>
      </w:pPr>
      <w:r w:rsidRPr="00D014AB">
        <w:rPr>
          <w:rStyle w:val="Refdenotaalpie"/>
        </w:rPr>
        <w:footnoteRef/>
      </w:r>
      <w:r w:rsidRPr="00D014AB">
        <w:t xml:space="preserve"> </w:t>
      </w:r>
      <w:r>
        <w:t xml:space="preserve">Título profesional y grado académico no se colocan en el nombre y dirección del autor. </w:t>
      </w:r>
      <w:r w:rsidRPr="00302DE4">
        <w:rPr>
          <w:u w:val="single"/>
        </w:rPr>
        <w:t>Opci</w:t>
      </w:r>
      <w:r>
        <w:rPr>
          <w:u w:val="single"/>
        </w:rPr>
        <w:t>o</w:t>
      </w:r>
      <w:r w:rsidRPr="00302DE4">
        <w:rPr>
          <w:u w:val="single"/>
        </w:rPr>
        <w:t>nalmente</w:t>
      </w:r>
      <w:r>
        <w:t xml:space="preserve"> si desea agregar este tipo de información, se podría poner como nota al pie de página.</w:t>
      </w:r>
    </w:p>
  </w:footnote>
  <w:footnote w:id="2">
    <w:p w14:paraId="48E2089E" w14:textId="3AE71C72" w:rsidR="00EB4F62" w:rsidRPr="00EB4F62" w:rsidRDefault="00EB4F62">
      <w:pPr>
        <w:pStyle w:val="Textonotapie"/>
        <w:rPr>
          <w:lang w:val="es-ES"/>
        </w:rPr>
      </w:pPr>
      <w:r>
        <w:rPr>
          <w:rStyle w:val="Refdenotaalpie"/>
        </w:rPr>
        <w:footnoteRef/>
      </w:r>
      <w:r>
        <w:t xml:space="preserve"> </w:t>
      </w:r>
      <w:r w:rsidRPr="00EB4F62">
        <w:t>https://www.springer.com/gp/computer-science/lncs/conference-proceedings-guidelines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AAC3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9CEBF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E4FC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9EE6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4AA93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1E8D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421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27C1FB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F0AE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2EC4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FA23158"/>
    <w:lvl w:ilvl="0">
      <w:numFmt w:val="none"/>
      <w:lvlText w:val=""/>
      <w:lvlJc w:val="left"/>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1" w15:restartNumberingAfterBreak="0">
    <w:nsid w:val="FFFFFFFE"/>
    <w:multiLevelType w:val="singleLevel"/>
    <w:tmpl w:val="4F3865D4"/>
    <w:lvl w:ilvl="0">
      <w:numFmt w:val="decimal"/>
      <w:lvlText w:val="*"/>
      <w:lvlJc w:val="left"/>
    </w:lvl>
  </w:abstractNum>
  <w:abstractNum w:abstractNumId="12" w15:restartNumberingAfterBreak="0">
    <w:nsid w:val="02D55B6C"/>
    <w:multiLevelType w:val="singleLevel"/>
    <w:tmpl w:val="81EC9844"/>
    <w:lvl w:ilvl="0">
      <w:start w:val="1"/>
      <w:numFmt w:val="decimal"/>
      <w:lvlText w:val="%1."/>
      <w:legacy w:legacy="1" w:legacySpace="0" w:legacyIndent="227"/>
      <w:lvlJc w:val="left"/>
      <w:pPr>
        <w:ind w:left="227" w:hanging="227"/>
      </w:pPr>
    </w:lvl>
  </w:abstractNum>
  <w:abstractNum w:abstractNumId="13" w15:restartNumberingAfterBreak="0">
    <w:nsid w:val="053E4D3F"/>
    <w:multiLevelType w:val="singleLevel"/>
    <w:tmpl w:val="81EC9844"/>
    <w:lvl w:ilvl="0">
      <w:start w:val="1"/>
      <w:numFmt w:val="decimal"/>
      <w:lvlText w:val="%1."/>
      <w:legacy w:legacy="1" w:legacySpace="0" w:legacyIndent="227"/>
      <w:lvlJc w:val="left"/>
      <w:pPr>
        <w:ind w:left="227" w:hanging="227"/>
      </w:pPr>
    </w:lvl>
  </w:abstractNum>
  <w:abstractNum w:abstractNumId="14" w15:restartNumberingAfterBreak="0">
    <w:nsid w:val="05D43929"/>
    <w:multiLevelType w:val="hybridMultilevel"/>
    <w:tmpl w:val="E32E169C"/>
    <w:lvl w:ilvl="0" w:tplc="69C65DD4">
      <w:start w:val="1"/>
      <w:numFmt w:val="bullet"/>
      <w:pStyle w:val="dashitem"/>
      <w:lvlText w:val="─"/>
      <w:lvlJc w:val="left"/>
      <w:pPr>
        <w:tabs>
          <w:tab w:val="num" w:pos="454"/>
        </w:tabs>
        <w:ind w:left="454" w:hanging="227"/>
      </w:pPr>
      <w:rPr>
        <w:rFonts w:ascii="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C7C2E30"/>
    <w:multiLevelType w:val="hybridMultilevel"/>
    <w:tmpl w:val="5D5E74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0E55254"/>
    <w:multiLevelType w:val="multilevel"/>
    <w:tmpl w:val="32DA4DBC"/>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052F1B"/>
    <w:multiLevelType w:val="singleLevel"/>
    <w:tmpl w:val="81EC9844"/>
    <w:lvl w:ilvl="0">
      <w:start w:val="1"/>
      <w:numFmt w:val="decimal"/>
      <w:lvlText w:val="%1."/>
      <w:legacy w:legacy="1" w:legacySpace="0" w:legacyIndent="227"/>
      <w:lvlJc w:val="left"/>
      <w:pPr>
        <w:ind w:left="227" w:hanging="227"/>
      </w:pPr>
    </w:lvl>
  </w:abstractNum>
  <w:abstractNum w:abstractNumId="18" w15:restartNumberingAfterBreak="0">
    <w:nsid w:val="15917E03"/>
    <w:multiLevelType w:val="multilevel"/>
    <w:tmpl w:val="6EE0EBAA"/>
    <w:lvl w:ilvl="0">
      <w:start w:val="1"/>
      <w:numFmt w:val="decimal"/>
      <w:lvlText w:val="%1"/>
      <w:lvlJc w:val="left"/>
      <w:pPr>
        <w:tabs>
          <w:tab w:val="num" w:pos="454"/>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751252D"/>
    <w:multiLevelType w:val="hybridMultilevel"/>
    <w:tmpl w:val="B02E4590"/>
    <w:lvl w:ilvl="0" w:tplc="E0943A4E">
      <w:start w:val="1"/>
      <w:numFmt w:val="decimal"/>
      <w:pStyle w:val="numbereditem"/>
      <w:lvlText w:val="%1."/>
      <w:lvlJc w:val="left"/>
      <w:pPr>
        <w:tabs>
          <w:tab w:val="num" w:pos="227"/>
        </w:tabs>
        <w:ind w:left="227" w:hanging="22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19881F8B"/>
    <w:multiLevelType w:val="hybridMultilevel"/>
    <w:tmpl w:val="1CD67CEE"/>
    <w:lvl w:ilvl="0" w:tplc="79844764">
      <w:start w:val="1"/>
      <w:numFmt w:val="decimal"/>
      <w:lvlText w:val="[%1]"/>
      <w:lvlJc w:val="left"/>
      <w:pPr>
        <w:tabs>
          <w:tab w:val="num" w:pos="454"/>
        </w:tabs>
        <w:ind w:left="454" w:hanging="454"/>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1" w15:restartNumberingAfterBreak="0">
    <w:nsid w:val="1A590811"/>
    <w:multiLevelType w:val="multilevel"/>
    <w:tmpl w:val="514647BC"/>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1C0D4426"/>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1DAF76D9"/>
    <w:multiLevelType w:val="singleLevel"/>
    <w:tmpl w:val="81EC9844"/>
    <w:lvl w:ilvl="0">
      <w:start w:val="1"/>
      <w:numFmt w:val="decimal"/>
      <w:lvlText w:val="%1."/>
      <w:legacy w:legacy="1" w:legacySpace="0" w:legacyIndent="227"/>
      <w:lvlJc w:val="left"/>
      <w:pPr>
        <w:ind w:left="227" w:hanging="227"/>
      </w:pPr>
    </w:lvl>
  </w:abstractNum>
  <w:abstractNum w:abstractNumId="24" w15:restartNumberingAfterBreak="0">
    <w:nsid w:val="2B2603BC"/>
    <w:multiLevelType w:val="hybridMultilevel"/>
    <w:tmpl w:val="F120FB80"/>
    <w:lvl w:ilvl="0" w:tplc="1BD62FAA">
      <w:start w:val="1"/>
      <w:numFmt w:val="bullet"/>
      <w:lvlText w:val=""/>
      <w:lvlJc w:val="left"/>
      <w:pPr>
        <w:tabs>
          <w:tab w:val="num" w:pos="814"/>
        </w:tabs>
        <w:ind w:left="737" w:hanging="283"/>
      </w:pPr>
      <w:rPr>
        <w:rFonts w:ascii="Symbol" w:hAnsi="Symbol" w:hint="default"/>
      </w:rPr>
    </w:lvl>
    <w:lvl w:ilvl="1" w:tplc="7E68C14E">
      <w:start w:val="1"/>
      <w:numFmt w:val="bullet"/>
      <w:lvlText w:val=""/>
      <w:lvlJc w:val="left"/>
      <w:pPr>
        <w:tabs>
          <w:tab w:val="num" w:pos="1440"/>
        </w:tabs>
        <w:ind w:left="1364" w:hanging="284"/>
      </w:pPr>
      <w:rPr>
        <w:rFonts w:ascii="Symbol" w:hAnsi="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025C32"/>
    <w:multiLevelType w:val="hybridMultilevel"/>
    <w:tmpl w:val="D6DE813A"/>
    <w:lvl w:ilvl="0" w:tplc="5AA87014">
      <w:start w:val="1"/>
      <w:numFmt w:val="bullet"/>
      <w:lvlText w:val=""/>
      <w:lvlJc w:val="left"/>
      <w:pPr>
        <w:tabs>
          <w:tab w:val="num" w:pos="927"/>
        </w:tabs>
        <w:ind w:left="284" w:firstLine="283"/>
      </w:pPr>
      <w:rPr>
        <w:rFonts w:ascii="Symbol" w:hAnsi="Symbol" w:hint="default"/>
      </w:rPr>
    </w:lvl>
    <w:lvl w:ilvl="1" w:tplc="04070003" w:tentative="1">
      <w:start w:val="1"/>
      <w:numFmt w:val="bullet"/>
      <w:lvlText w:val="o"/>
      <w:lvlJc w:val="left"/>
      <w:pPr>
        <w:tabs>
          <w:tab w:val="num" w:pos="873"/>
        </w:tabs>
        <w:ind w:left="873" w:hanging="360"/>
      </w:pPr>
      <w:rPr>
        <w:rFonts w:ascii="Courier New" w:hAnsi="Courier New" w:hint="default"/>
      </w:rPr>
    </w:lvl>
    <w:lvl w:ilvl="2" w:tplc="04070005" w:tentative="1">
      <w:start w:val="1"/>
      <w:numFmt w:val="bullet"/>
      <w:lvlText w:val=""/>
      <w:lvlJc w:val="left"/>
      <w:pPr>
        <w:tabs>
          <w:tab w:val="num" w:pos="1593"/>
        </w:tabs>
        <w:ind w:left="1593" w:hanging="360"/>
      </w:pPr>
      <w:rPr>
        <w:rFonts w:ascii="Wingdings" w:hAnsi="Wingdings" w:hint="default"/>
      </w:rPr>
    </w:lvl>
    <w:lvl w:ilvl="3" w:tplc="04070001" w:tentative="1">
      <w:start w:val="1"/>
      <w:numFmt w:val="bullet"/>
      <w:lvlText w:val=""/>
      <w:lvlJc w:val="left"/>
      <w:pPr>
        <w:tabs>
          <w:tab w:val="num" w:pos="2313"/>
        </w:tabs>
        <w:ind w:left="2313" w:hanging="360"/>
      </w:pPr>
      <w:rPr>
        <w:rFonts w:ascii="Symbol" w:hAnsi="Symbol" w:hint="default"/>
      </w:rPr>
    </w:lvl>
    <w:lvl w:ilvl="4" w:tplc="04070003" w:tentative="1">
      <w:start w:val="1"/>
      <w:numFmt w:val="bullet"/>
      <w:lvlText w:val="o"/>
      <w:lvlJc w:val="left"/>
      <w:pPr>
        <w:tabs>
          <w:tab w:val="num" w:pos="3033"/>
        </w:tabs>
        <w:ind w:left="3033" w:hanging="360"/>
      </w:pPr>
      <w:rPr>
        <w:rFonts w:ascii="Courier New" w:hAnsi="Courier New" w:hint="default"/>
      </w:rPr>
    </w:lvl>
    <w:lvl w:ilvl="5" w:tplc="04070005" w:tentative="1">
      <w:start w:val="1"/>
      <w:numFmt w:val="bullet"/>
      <w:lvlText w:val=""/>
      <w:lvlJc w:val="left"/>
      <w:pPr>
        <w:tabs>
          <w:tab w:val="num" w:pos="3753"/>
        </w:tabs>
        <w:ind w:left="3753" w:hanging="360"/>
      </w:pPr>
      <w:rPr>
        <w:rFonts w:ascii="Wingdings" w:hAnsi="Wingdings" w:hint="default"/>
      </w:rPr>
    </w:lvl>
    <w:lvl w:ilvl="6" w:tplc="04070001" w:tentative="1">
      <w:start w:val="1"/>
      <w:numFmt w:val="bullet"/>
      <w:lvlText w:val=""/>
      <w:lvlJc w:val="left"/>
      <w:pPr>
        <w:tabs>
          <w:tab w:val="num" w:pos="4473"/>
        </w:tabs>
        <w:ind w:left="4473" w:hanging="360"/>
      </w:pPr>
      <w:rPr>
        <w:rFonts w:ascii="Symbol" w:hAnsi="Symbol" w:hint="default"/>
      </w:rPr>
    </w:lvl>
    <w:lvl w:ilvl="7" w:tplc="04070003" w:tentative="1">
      <w:start w:val="1"/>
      <w:numFmt w:val="bullet"/>
      <w:lvlText w:val="o"/>
      <w:lvlJc w:val="left"/>
      <w:pPr>
        <w:tabs>
          <w:tab w:val="num" w:pos="5193"/>
        </w:tabs>
        <w:ind w:left="5193" w:hanging="360"/>
      </w:pPr>
      <w:rPr>
        <w:rFonts w:ascii="Courier New" w:hAnsi="Courier New" w:hint="default"/>
      </w:rPr>
    </w:lvl>
    <w:lvl w:ilvl="8" w:tplc="04070005" w:tentative="1">
      <w:start w:val="1"/>
      <w:numFmt w:val="bullet"/>
      <w:lvlText w:val=""/>
      <w:lvlJc w:val="left"/>
      <w:pPr>
        <w:tabs>
          <w:tab w:val="num" w:pos="5913"/>
        </w:tabs>
        <w:ind w:left="5913" w:hanging="360"/>
      </w:pPr>
      <w:rPr>
        <w:rFonts w:ascii="Wingdings" w:hAnsi="Wingdings" w:hint="default"/>
      </w:rPr>
    </w:lvl>
  </w:abstractNum>
  <w:abstractNum w:abstractNumId="26" w15:restartNumberingAfterBreak="0">
    <w:nsid w:val="30E9101C"/>
    <w:multiLevelType w:val="multilevel"/>
    <w:tmpl w:val="3E54AE9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253626E"/>
    <w:multiLevelType w:val="hybridMultilevel"/>
    <w:tmpl w:val="5BEC08B2"/>
    <w:lvl w:ilvl="0" w:tplc="F872F310">
      <w:start w:val="1"/>
      <w:numFmt w:val="bullet"/>
      <w:pStyle w:val="bulletitem"/>
      <w:lvlText w:val=""/>
      <w:lvlJc w:val="left"/>
      <w:pPr>
        <w:tabs>
          <w:tab w:val="num" w:pos="227"/>
        </w:tabs>
        <w:ind w:left="227" w:hanging="22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C72B9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5D77DF3"/>
    <w:multiLevelType w:val="hybridMultilevel"/>
    <w:tmpl w:val="412240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B42760C"/>
    <w:multiLevelType w:val="multilevel"/>
    <w:tmpl w:val="A17A625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4F995541"/>
    <w:multiLevelType w:val="singleLevel"/>
    <w:tmpl w:val="81EC9844"/>
    <w:lvl w:ilvl="0">
      <w:start w:val="1"/>
      <w:numFmt w:val="decimal"/>
      <w:lvlText w:val="%1."/>
      <w:legacy w:legacy="1" w:legacySpace="0" w:legacyIndent="227"/>
      <w:lvlJc w:val="left"/>
      <w:pPr>
        <w:ind w:left="227" w:hanging="227"/>
      </w:pPr>
    </w:lvl>
  </w:abstractNum>
  <w:abstractNum w:abstractNumId="32" w15:restartNumberingAfterBreak="0">
    <w:nsid w:val="514513F3"/>
    <w:multiLevelType w:val="multilevel"/>
    <w:tmpl w:val="6EE0EBAA"/>
    <w:lvl w:ilvl="0">
      <w:start w:val="1"/>
      <w:numFmt w:val="decimal"/>
      <w:pStyle w:val="Ttulo1"/>
      <w:lvlText w:val="%1"/>
      <w:lvlJc w:val="left"/>
      <w:pPr>
        <w:tabs>
          <w:tab w:val="num" w:pos="454"/>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3" w15:restartNumberingAfterBreak="0">
    <w:nsid w:val="518B12A0"/>
    <w:multiLevelType w:val="singleLevel"/>
    <w:tmpl w:val="81EC9844"/>
    <w:lvl w:ilvl="0">
      <w:start w:val="1"/>
      <w:numFmt w:val="decimal"/>
      <w:lvlText w:val="%1."/>
      <w:legacy w:legacy="1" w:legacySpace="0" w:legacyIndent="227"/>
      <w:lvlJc w:val="left"/>
      <w:pPr>
        <w:ind w:left="227" w:hanging="227"/>
      </w:pPr>
    </w:lvl>
  </w:abstractNum>
  <w:abstractNum w:abstractNumId="34" w15:restartNumberingAfterBreak="0">
    <w:nsid w:val="53F769B9"/>
    <w:multiLevelType w:val="multilevel"/>
    <w:tmpl w:val="7F3A4E1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C35ACD"/>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F461BA7"/>
    <w:multiLevelType w:val="multilevel"/>
    <w:tmpl w:val="E020E450"/>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FA0C55"/>
    <w:multiLevelType w:val="hybridMultilevel"/>
    <w:tmpl w:val="709C8C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44378E6"/>
    <w:multiLevelType w:val="hybridMultilevel"/>
    <w:tmpl w:val="DE04CA64"/>
    <w:lvl w:ilvl="0" w:tplc="D1DA2662">
      <w:start w:val="1"/>
      <w:numFmt w:val="bullet"/>
      <w:lvlText w:val="•"/>
      <w:lvlJc w:val="left"/>
      <w:pPr>
        <w:tabs>
          <w:tab w:val="num" w:pos="720"/>
        </w:tabs>
        <w:ind w:left="720" w:hanging="360"/>
      </w:pPr>
      <w:rPr>
        <w:rFonts w:ascii="Arial" w:hAnsi="Arial" w:hint="default"/>
      </w:rPr>
    </w:lvl>
    <w:lvl w:ilvl="1" w:tplc="F560F336" w:tentative="1">
      <w:start w:val="1"/>
      <w:numFmt w:val="bullet"/>
      <w:lvlText w:val="•"/>
      <w:lvlJc w:val="left"/>
      <w:pPr>
        <w:tabs>
          <w:tab w:val="num" w:pos="1440"/>
        </w:tabs>
        <w:ind w:left="1440" w:hanging="360"/>
      </w:pPr>
      <w:rPr>
        <w:rFonts w:ascii="Arial" w:hAnsi="Arial" w:hint="default"/>
      </w:rPr>
    </w:lvl>
    <w:lvl w:ilvl="2" w:tplc="1270C952" w:tentative="1">
      <w:start w:val="1"/>
      <w:numFmt w:val="bullet"/>
      <w:lvlText w:val="•"/>
      <w:lvlJc w:val="left"/>
      <w:pPr>
        <w:tabs>
          <w:tab w:val="num" w:pos="2160"/>
        </w:tabs>
        <w:ind w:left="2160" w:hanging="360"/>
      </w:pPr>
      <w:rPr>
        <w:rFonts w:ascii="Arial" w:hAnsi="Arial" w:hint="default"/>
      </w:rPr>
    </w:lvl>
    <w:lvl w:ilvl="3" w:tplc="CD5E25FE" w:tentative="1">
      <w:start w:val="1"/>
      <w:numFmt w:val="bullet"/>
      <w:lvlText w:val="•"/>
      <w:lvlJc w:val="left"/>
      <w:pPr>
        <w:tabs>
          <w:tab w:val="num" w:pos="2880"/>
        </w:tabs>
        <w:ind w:left="2880" w:hanging="360"/>
      </w:pPr>
      <w:rPr>
        <w:rFonts w:ascii="Arial" w:hAnsi="Arial" w:hint="default"/>
      </w:rPr>
    </w:lvl>
    <w:lvl w:ilvl="4" w:tplc="0452245E" w:tentative="1">
      <w:start w:val="1"/>
      <w:numFmt w:val="bullet"/>
      <w:lvlText w:val="•"/>
      <w:lvlJc w:val="left"/>
      <w:pPr>
        <w:tabs>
          <w:tab w:val="num" w:pos="3600"/>
        </w:tabs>
        <w:ind w:left="3600" w:hanging="360"/>
      </w:pPr>
      <w:rPr>
        <w:rFonts w:ascii="Arial" w:hAnsi="Arial" w:hint="default"/>
      </w:rPr>
    </w:lvl>
    <w:lvl w:ilvl="5" w:tplc="8BEEC588" w:tentative="1">
      <w:start w:val="1"/>
      <w:numFmt w:val="bullet"/>
      <w:lvlText w:val="•"/>
      <w:lvlJc w:val="left"/>
      <w:pPr>
        <w:tabs>
          <w:tab w:val="num" w:pos="4320"/>
        </w:tabs>
        <w:ind w:left="4320" w:hanging="360"/>
      </w:pPr>
      <w:rPr>
        <w:rFonts w:ascii="Arial" w:hAnsi="Arial" w:hint="default"/>
      </w:rPr>
    </w:lvl>
    <w:lvl w:ilvl="6" w:tplc="9B1E617E" w:tentative="1">
      <w:start w:val="1"/>
      <w:numFmt w:val="bullet"/>
      <w:lvlText w:val="•"/>
      <w:lvlJc w:val="left"/>
      <w:pPr>
        <w:tabs>
          <w:tab w:val="num" w:pos="5040"/>
        </w:tabs>
        <w:ind w:left="5040" w:hanging="360"/>
      </w:pPr>
      <w:rPr>
        <w:rFonts w:ascii="Arial" w:hAnsi="Arial" w:hint="default"/>
      </w:rPr>
    </w:lvl>
    <w:lvl w:ilvl="7" w:tplc="ADBC9B84" w:tentative="1">
      <w:start w:val="1"/>
      <w:numFmt w:val="bullet"/>
      <w:lvlText w:val="•"/>
      <w:lvlJc w:val="left"/>
      <w:pPr>
        <w:tabs>
          <w:tab w:val="num" w:pos="5760"/>
        </w:tabs>
        <w:ind w:left="5760" w:hanging="360"/>
      </w:pPr>
      <w:rPr>
        <w:rFonts w:ascii="Arial" w:hAnsi="Arial" w:hint="default"/>
      </w:rPr>
    </w:lvl>
    <w:lvl w:ilvl="8" w:tplc="850C916E" w:tentative="1">
      <w:start w:val="1"/>
      <w:numFmt w:val="bullet"/>
      <w:lvlText w:val="•"/>
      <w:lvlJc w:val="left"/>
      <w:pPr>
        <w:tabs>
          <w:tab w:val="num" w:pos="6480"/>
        </w:tabs>
        <w:ind w:left="6480" w:hanging="360"/>
      </w:pPr>
      <w:rPr>
        <w:rFonts w:ascii="Arial" w:hAnsi="Arial" w:hint="default"/>
      </w:rPr>
    </w:lvl>
  </w:abstractNum>
  <w:num w:numId="1" w16cid:durableId="1589079088">
    <w:abstractNumId w:val="1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610770344">
    <w:abstractNumId w:val="25"/>
  </w:num>
  <w:num w:numId="3" w16cid:durableId="1422414946">
    <w:abstractNumId w:val="24"/>
  </w:num>
  <w:num w:numId="4" w16cid:durableId="1460107734">
    <w:abstractNumId w:val="20"/>
  </w:num>
  <w:num w:numId="5" w16cid:durableId="1676608286">
    <w:abstractNumId w:val="30"/>
  </w:num>
  <w:num w:numId="6" w16cid:durableId="1955483448">
    <w:abstractNumId w:val="30"/>
  </w:num>
  <w:num w:numId="7" w16cid:durableId="244917176">
    <w:abstractNumId w:val="30"/>
  </w:num>
  <w:num w:numId="8" w16cid:durableId="1936015476">
    <w:abstractNumId w:val="10"/>
  </w:num>
  <w:num w:numId="9" w16cid:durableId="1892691430">
    <w:abstractNumId w:val="10"/>
  </w:num>
  <w:num w:numId="10" w16cid:durableId="309409698">
    <w:abstractNumId w:val="10"/>
  </w:num>
  <w:num w:numId="11" w16cid:durableId="984119172">
    <w:abstractNumId w:val="10"/>
  </w:num>
  <w:num w:numId="12" w16cid:durableId="665867542">
    <w:abstractNumId w:val="10"/>
  </w:num>
  <w:num w:numId="13" w16cid:durableId="1158963998">
    <w:abstractNumId w:val="10"/>
  </w:num>
  <w:num w:numId="14" w16cid:durableId="216278847">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15" w16cid:durableId="173762763">
    <w:abstractNumId w:val="9"/>
  </w:num>
  <w:num w:numId="16" w16cid:durableId="676881682">
    <w:abstractNumId w:val="7"/>
  </w:num>
  <w:num w:numId="17" w16cid:durableId="1190991558">
    <w:abstractNumId w:val="6"/>
  </w:num>
  <w:num w:numId="18" w16cid:durableId="195314436">
    <w:abstractNumId w:val="5"/>
  </w:num>
  <w:num w:numId="19" w16cid:durableId="909773615">
    <w:abstractNumId w:val="4"/>
  </w:num>
  <w:num w:numId="20" w16cid:durableId="758217798">
    <w:abstractNumId w:val="8"/>
  </w:num>
  <w:num w:numId="21" w16cid:durableId="2094663600">
    <w:abstractNumId w:val="3"/>
  </w:num>
  <w:num w:numId="22" w16cid:durableId="183524832">
    <w:abstractNumId w:val="2"/>
  </w:num>
  <w:num w:numId="23" w16cid:durableId="1090009488">
    <w:abstractNumId w:val="1"/>
  </w:num>
  <w:num w:numId="24" w16cid:durableId="673141990">
    <w:abstractNumId w:val="0"/>
  </w:num>
  <w:num w:numId="25" w16cid:durableId="1270090057">
    <w:abstractNumId w:val="28"/>
  </w:num>
  <w:num w:numId="26" w16cid:durableId="986477376">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27" w16cid:durableId="43332462">
    <w:abstractNumId w:val="14"/>
  </w:num>
  <w:num w:numId="28" w16cid:durableId="1824421035">
    <w:abstractNumId w:val="31"/>
  </w:num>
  <w:num w:numId="29" w16cid:durableId="1137408769">
    <w:abstractNumId w:val="16"/>
  </w:num>
  <w:num w:numId="30" w16cid:durableId="724529789">
    <w:abstractNumId w:val="27"/>
  </w:num>
  <w:num w:numId="31" w16cid:durableId="752434601">
    <w:abstractNumId w:val="36"/>
  </w:num>
  <w:num w:numId="32" w16cid:durableId="917785646">
    <w:abstractNumId w:val="17"/>
  </w:num>
  <w:num w:numId="33" w16cid:durableId="1242523880">
    <w:abstractNumId w:val="13"/>
  </w:num>
  <w:num w:numId="34" w16cid:durableId="256329309">
    <w:abstractNumId w:val="12"/>
  </w:num>
  <w:num w:numId="35" w16cid:durableId="805854051">
    <w:abstractNumId w:val="23"/>
  </w:num>
  <w:num w:numId="36" w16cid:durableId="619189255">
    <w:abstractNumId w:val="33"/>
  </w:num>
  <w:num w:numId="37" w16cid:durableId="697438028">
    <w:abstractNumId w:val="19"/>
  </w:num>
  <w:num w:numId="38" w16cid:durableId="1743066885">
    <w:abstractNumId w:val="32"/>
  </w:num>
  <w:num w:numId="39" w16cid:durableId="376517412">
    <w:abstractNumId w:val="22"/>
  </w:num>
  <w:num w:numId="40" w16cid:durableId="1096943130">
    <w:abstractNumId w:val="35"/>
  </w:num>
  <w:num w:numId="41" w16cid:durableId="805706334">
    <w:abstractNumId w:val="21"/>
  </w:num>
  <w:num w:numId="42" w16cid:durableId="503515442">
    <w:abstractNumId w:val="26"/>
  </w:num>
  <w:num w:numId="43" w16cid:durableId="1797210382">
    <w:abstractNumId w:val="34"/>
  </w:num>
  <w:num w:numId="44" w16cid:durableId="1147866492">
    <w:abstractNumId w:val="18"/>
  </w:num>
  <w:num w:numId="45" w16cid:durableId="1449008553">
    <w:abstractNumId w:val="15"/>
  </w:num>
  <w:num w:numId="46" w16cid:durableId="231427768">
    <w:abstractNumId w:val="27"/>
  </w:num>
  <w:num w:numId="47" w16cid:durableId="530730062">
    <w:abstractNumId w:val="38"/>
  </w:num>
  <w:num w:numId="48" w16cid:durableId="802307557">
    <w:abstractNumId w:val="29"/>
  </w:num>
  <w:num w:numId="49" w16cid:durableId="1380327084">
    <w:abstractNumId w:val="37"/>
  </w:num>
  <w:num w:numId="50" w16cid:durableId="400640198">
    <w:abstractNumId w:val="27"/>
  </w: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0C3C"/>
    <w:rsid w:val="0000056A"/>
    <w:rsid w:val="00001D94"/>
    <w:rsid w:val="000058CD"/>
    <w:rsid w:val="00006405"/>
    <w:rsid w:val="00007F40"/>
    <w:rsid w:val="00011C8D"/>
    <w:rsid w:val="00015441"/>
    <w:rsid w:val="00025D8F"/>
    <w:rsid w:val="000309B7"/>
    <w:rsid w:val="00030E3E"/>
    <w:rsid w:val="0003135A"/>
    <w:rsid w:val="00034555"/>
    <w:rsid w:val="00040402"/>
    <w:rsid w:val="0004696A"/>
    <w:rsid w:val="00053018"/>
    <w:rsid w:val="0005696A"/>
    <w:rsid w:val="000569E7"/>
    <w:rsid w:val="00067568"/>
    <w:rsid w:val="000740BE"/>
    <w:rsid w:val="0007498B"/>
    <w:rsid w:val="0008374A"/>
    <w:rsid w:val="00090710"/>
    <w:rsid w:val="00090731"/>
    <w:rsid w:val="000927C5"/>
    <w:rsid w:val="00092FA6"/>
    <w:rsid w:val="000934BA"/>
    <w:rsid w:val="00094656"/>
    <w:rsid w:val="000A2E55"/>
    <w:rsid w:val="000B1E82"/>
    <w:rsid w:val="000B2266"/>
    <w:rsid w:val="000B7E4C"/>
    <w:rsid w:val="000C006D"/>
    <w:rsid w:val="000C04F0"/>
    <w:rsid w:val="000C4C8F"/>
    <w:rsid w:val="000D033E"/>
    <w:rsid w:val="000D16FA"/>
    <w:rsid w:val="000D1C00"/>
    <w:rsid w:val="000D3597"/>
    <w:rsid w:val="000D6D27"/>
    <w:rsid w:val="000E071F"/>
    <w:rsid w:val="000F0DC5"/>
    <w:rsid w:val="000F4747"/>
    <w:rsid w:val="000F782C"/>
    <w:rsid w:val="00117CC9"/>
    <w:rsid w:val="00120D79"/>
    <w:rsid w:val="00124D96"/>
    <w:rsid w:val="0013193E"/>
    <w:rsid w:val="001362F0"/>
    <w:rsid w:val="0013666A"/>
    <w:rsid w:val="00145AF7"/>
    <w:rsid w:val="00162CC8"/>
    <w:rsid w:val="00163AF4"/>
    <w:rsid w:val="00164D7E"/>
    <w:rsid w:val="0016678D"/>
    <w:rsid w:val="00172752"/>
    <w:rsid w:val="00172A1B"/>
    <w:rsid w:val="0018408E"/>
    <w:rsid w:val="00185973"/>
    <w:rsid w:val="00187D64"/>
    <w:rsid w:val="00187E43"/>
    <w:rsid w:val="00190935"/>
    <w:rsid w:val="00197686"/>
    <w:rsid w:val="001A0E09"/>
    <w:rsid w:val="001B255B"/>
    <w:rsid w:val="001B4547"/>
    <w:rsid w:val="001B4A7C"/>
    <w:rsid w:val="001D3E27"/>
    <w:rsid w:val="001D53EB"/>
    <w:rsid w:val="001E21AD"/>
    <w:rsid w:val="001F45CE"/>
    <w:rsid w:val="001F5439"/>
    <w:rsid w:val="0020457A"/>
    <w:rsid w:val="00204E89"/>
    <w:rsid w:val="00210248"/>
    <w:rsid w:val="00210DB8"/>
    <w:rsid w:val="0021134D"/>
    <w:rsid w:val="00213A7D"/>
    <w:rsid w:val="00214AC2"/>
    <w:rsid w:val="002224E1"/>
    <w:rsid w:val="00226E54"/>
    <w:rsid w:val="00227960"/>
    <w:rsid w:val="0023086D"/>
    <w:rsid w:val="00230C00"/>
    <w:rsid w:val="0023104F"/>
    <w:rsid w:val="00231803"/>
    <w:rsid w:val="002354AE"/>
    <w:rsid w:val="0024075B"/>
    <w:rsid w:val="00240D33"/>
    <w:rsid w:val="0024174C"/>
    <w:rsid w:val="0024529B"/>
    <w:rsid w:val="002542EE"/>
    <w:rsid w:val="002639D9"/>
    <w:rsid w:val="00264407"/>
    <w:rsid w:val="00270386"/>
    <w:rsid w:val="0027411A"/>
    <w:rsid w:val="0027506C"/>
    <w:rsid w:val="00281FDA"/>
    <w:rsid w:val="002823FC"/>
    <w:rsid w:val="00293043"/>
    <w:rsid w:val="002974C4"/>
    <w:rsid w:val="002A0162"/>
    <w:rsid w:val="002A4602"/>
    <w:rsid w:val="002A4A69"/>
    <w:rsid w:val="002A56B5"/>
    <w:rsid w:val="002B406E"/>
    <w:rsid w:val="002B53C3"/>
    <w:rsid w:val="002B66F5"/>
    <w:rsid w:val="002B7863"/>
    <w:rsid w:val="002C110C"/>
    <w:rsid w:val="002D34CD"/>
    <w:rsid w:val="002E323E"/>
    <w:rsid w:val="002E36AF"/>
    <w:rsid w:val="002E5AD3"/>
    <w:rsid w:val="002E6BA4"/>
    <w:rsid w:val="002F3CD1"/>
    <w:rsid w:val="002F3D2A"/>
    <w:rsid w:val="00302DE4"/>
    <w:rsid w:val="00305345"/>
    <w:rsid w:val="00307282"/>
    <w:rsid w:val="00307D1B"/>
    <w:rsid w:val="0031466D"/>
    <w:rsid w:val="00316E8F"/>
    <w:rsid w:val="0032462A"/>
    <w:rsid w:val="00330F5E"/>
    <w:rsid w:val="00334C04"/>
    <w:rsid w:val="00341AEA"/>
    <w:rsid w:val="00341F67"/>
    <w:rsid w:val="0035112D"/>
    <w:rsid w:val="003606CA"/>
    <w:rsid w:val="0036104B"/>
    <w:rsid w:val="00362269"/>
    <w:rsid w:val="003633D4"/>
    <w:rsid w:val="003655E1"/>
    <w:rsid w:val="00371063"/>
    <w:rsid w:val="00372CA7"/>
    <w:rsid w:val="00376180"/>
    <w:rsid w:val="00377276"/>
    <w:rsid w:val="00377424"/>
    <w:rsid w:val="00394942"/>
    <w:rsid w:val="003949F3"/>
    <w:rsid w:val="003A3A01"/>
    <w:rsid w:val="003B0216"/>
    <w:rsid w:val="003B13D1"/>
    <w:rsid w:val="003B2F07"/>
    <w:rsid w:val="003B33F7"/>
    <w:rsid w:val="003B35BB"/>
    <w:rsid w:val="003B7599"/>
    <w:rsid w:val="003C1A34"/>
    <w:rsid w:val="003C4911"/>
    <w:rsid w:val="003C5BCA"/>
    <w:rsid w:val="003D6DAC"/>
    <w:rsid w:val="003E2A5E"/>
    <w:rsid w:val="003E3032"/>
    <w:rsid w:val="003E5997"/>
    <w:rsid w:val="003E5A23"/>
    <w:rsid w:val="003F185F"/>
    <w:rsid w:val="003F1DCF"/>
    <w:rsid w:val="003F4765"/>
    <w:rsid w:val="003F65A6"/>
    <w:rsid w:val="00414563"/>
    <w:rsid w:val="0041626B"/>
    <w:rsid w:val="00423551"/>
    <w:rsid w:val="00423F1B"/>
    <w:rsid w:val="00426C62"/>
    <w:rsid w:val="0042772B"/>
    <w:rsid w:val="00433441"/>
    <w:rsid w:val="00435214"/>
    <w:rsid w:val="00435D07"/>
    <w:rsid w:val="00436948"/>
    <w:rsid w:val="0043737C"/>
    <w:rsid w:val="00442A6C"/>
    <w:rsid w:val="004435BA"/>
    <w:rsid w:val="00444190"/>
    <w:rsid w:val="00453C76"/>
    <w:rsid w:val="00454DD4"/>
    <w:rsid w:val="00456287"/>
    <w:rsid w:val="004705AF"/>
    <w:rsid w:val="00471B63"/>
    <w:rsid w:val="0047305E"/>
    <w:rsid w:val="00473617"/>
    <w:rsid w:val="00476386"/>
    <w:rsid w:val="00477F90"/>
    <w:rsid w:val="00484DD3"/>
    <w:rsid w:val="00486D71"/>
    <w:rsid w:val="004918B5"/>
    <w:rsid w:val="004956C3"/>
    <w:rsid w:val="00495761"/>
    <w:rsid w:val="00497AD6"/>
    <w:rsid w:val="004A65D2"/>
    <w:rsid w:val="004C20E7"/>
    <w:rsid w:val="004C2656"/>
    <w:rsid w:val="004C2812"/>
    <w:rsid w:val="004D189F"/>
    <w:rsid w:val="004D49E8"/>
    <w:rsid w:val="004D4E83"/>
    <w:rsid w:val="004D6665"/>
    <w:rsid w:val="004E0C9D"/>
    <w:rsid w:val="004F16B4"/>
    <w:rsid w:val="00500895"/>
    <w:rsid w:val="005010B4"/>
    <w:rsid w:val="00501B8C"/>
    <w:rsid w:val="0050369B"/>
    <w:rsid w:val="00504743"/>
    <w:rsid w:val="0050621E"/>
    <w:rsid w:val="00511908"/>
    <w:rsid w:val="00512421"/>
    <w:rsid w:val="00514982"/>
    <w:rsid w:val="0051658B"/>
    <w:rsid w:val="00521BC8"/>
    <w:rsid w:val="0052599C"/>
    <w:rsid w:val="00531942"/>
    <w:rsid w:val="00531E07"/>
    <w:rsid w:val="00532F36"/>
    <w:rsid w:val="00535B82"/>
    <w:rsid w:val="0053704E"/>
    <w:rsid w:val="0053710F"/>
    <w:rsid w:val="005377DD"/>
    <w:rsid w:val="00564ED7"/>
    <w:rsid w:val="00571515"/>
    <w:rsid w:val="005808CB"/>
    <w:rsid w:val="005846B6"/>
    <w:rsid w:val="00584C20"/>
    <w:rsid w:val="00585F4C"/>
    <w:rsid w:val="00591219"/>
    <w:rsid w:val="005A2E29"/>
    <w:rsid w:val="005A5F79"/>
    <w:rsid w:val="005B0EF1"/>
    <w:rsid w:val="005B32AC"/>
    <w:rsid w:val="005B3D33"/>
    <w:rsid w:val="005C70FB"/>
    <w:rsid w:val="005D172C"/>
    <w:rsid w:val="005E026B"/>
    <w:rsid w:val="005E18E0"/>
    <w:rsid w:val="005E316C"/>
    <w:rsid w:val="005F4EB3"/>
    <w:rsid w:val="005F793A"/>
    <w:rsid w:val="00604BA8"/>
    <w:rsid w:val="006052E9"/>
    <w:rsid w:val="0061213E"/>
    <w:rsid w:val="0061522E"/>
    <w:rsid w:val="00616817"/>
    <w:rsid w:val="00620E18"/>
    <w:rsid w:val="006258CB"/>
    <w:rsid w:val="00625C35"/>
    <w:rsid w:val="00625C3B"/>
    <w:rsid w:val="00627D6A"/>
    <w:rsid w:val="00631A9F"/>
    <w:rsid w:val="00637DFE"/>
    <w:rsid w:val="00642073"/>
    <w:rsid w:val="006469B8"/>
    <w:rsid w:val="00650CEB"/>
    <w:rsid w:val="00653A1B"/>
    <w:rsid w:val="0065405B"/>
    <w:rsid w:val="00656155"/>
    <w:rsid w:val="0066250C"/>
    <w:rsid w:val="006713CE"/>
    <w:rsid w:val="00673747"/>
    <w:rsid w:val="00674B8D"/>
    <w:rsid w:val="00674CEB"/>
    <w:rsid w:val="006750C2"/>
    <w:rsid w:val="006778FD"/>
    <w:rsid w:val="00680016"/>
    <w:rsid w:val="0068057D"/>
    <w:rsid w:val="006856F2"/>
    <w:rsid w:val="00690F07"/>
    <w:rsid w:val="006A1D3F"/>
    <w:rsid w:val="006A5D0F"/>
    <w:rsid w:val="006A645F"/>
    <w:rsid w:val="006B184A"/>
    <w:rsid w:val="006C0AD3"/>
    <w:rsid w:val="006C74CC"/>
    <w:rsid w:val="006D63CD"/>
    <w:rsid w:val="006E031A"/>
    <w:rsid w:val="006F1F04"/>
    <w:rsid w:val="006F257F"/>
    <w:rsid w:val="006F3C87"/>
    <w:rsid w:val="00700C3C"/>
    <w:rsid w:val="007027E6"/>
    <w:rsid w:val="0070371D"/>
    <w:rsid w:val="00706A12"/>
    <w:rsid w:val="0070709B"/>
    <w:rsid w:val="007111A3"/>
    <w:rsid w:val="00712089"/>
    <w:rsid w:val="00712F94"/>
    <w:rsid w:val="00714E9D"/>
    <w:rsid w:val="00722FCD"/>
    <w:rsid w:val="00726A40"/>
    <w:rsid w:val="00726F80"/>
    <w:rsid w:val="0073443D"/>
    <w:rsid w:val="00735682"/>
    <w:rsid w:val="0074633C"/>
    <w:rsid w:val="0074741C"/>
    <w:rsid w:val="00750E7D"/>
    <w:rsid w:val="00753629"/>
    <w:rsid w:val="007608F0"/>
    <w:rsid w:val="007626F0"/>
    <w:rsid w:val="0076605E"/>
    <w:rsid w:val="00775796"/>
    <w:rsid w:val="00780F47"/>
    <w:rsid w:val="00791F63"/>
    <w:rsid w:val="007A08F7"/>
    <w:rsid w:val="007A3249"/>
    <w:rsid w:val="007A52AC"/>
    <w:rsid w:val="007C1B8F"/>
    <w:rsid w:val="007C7941"/>
    <w:rsid w:val="007D0A21"/>
    <w:rsid w:val="007D1350"/>
    <w:rsid w:val="007E0352"/>
    <w:rsid w:val="007F3BF6"/>
    <w:rsid w:val="00807BBC"/>
    <w:rsid w:val="00810F00"/>
    <w:rsid w:val="0081281B"/>
    <w:rsid w:val="008141F8"/>
    <w:rsid w:val="008175BD"/>
    <w:rsid w:val="00831B2C"/>
    <w:rsid w:val="008338A5"/>
    <w:rsid w:val="0083409A"/>
    <w:rsid w:val="00837AB8"/>
    <w:rsid w:val="0084618C"/>
    <w:rsid w:val="0084658F"/>
    <w:rsid w:val="00850810"/>
    <w:rsid w:val="00852E68"/>
    <w:rsid w:val="00871A19"/>
    <w:rsid w:val="00872347"/>
    <w:rsid w:val="00873A48"/>
    <w:rsid w:val="008940AB"/>
    <w:rsid w:val="008946C9"/>
    <w:rsid w:val="00895F20"/>
    <w:rsid w:val="008A281F"/>
    <w:rsid w:val="008A7007"/>
    <w:rsid w:val="008A7B46"/>
    <w:rsid w:val="008B1558"/>
    <w:rsid w:val="008B225D"/>
    <w:rsid w:val="008B25C8"/>
    <w:rsid w:val="008B40E2"/>
    <w:rsid w:val="008B42D1"/>
    <w:rsid w:val="008B4C1F"/>
    <w:rsid w:val="008B50BD"/>
    <w:rsid w:val="008B50BF"/>
    <w:rsid w:val="008C1CDA"/>
    <w:rsid w:val="008C511A"/>
    <w:rsid w:val="008C6347"/>
    <w:rsid w:val="008C6548"/>
    <w:rsid w:val="008D00D5"/>
    <w:rsid w:val="008D3C6F"/>
    <w:rsid w:val="008D6649"/>
    <w:rsid w:val="008E0765"/>
    <w:rsid w:val="008E3A00"/>
    <w:rsid w:val="008E47AE"/>
    <w:rsid w:val="008F00F6"/>
    <w:rsid w:val="008F43AB"/>
    <w:rsid w:val="008F60DC"/>
    <w:rsid w:val="0090289B"/>
    <w:rsid w:val="00904402"/>
    <w:rsid w:val="00905DD2"/>
    <w:rsid w:val="009079EF"/>
    <w:rsid w:val="00912D08"/>
    <w:rsid w:val="009236C9"/>
    <w:rsid w:val="00927042"/>
    <w:rsid w:val="0093247D"/>
    <w:rsid w:val="00933633"/>
    <w:rsid w:val="00933AD3"/>
    <w:rsid w:val="00942F71"/>
    <w:rsid w:val="009459F1"/>
    <w:rsid w:val="00950D0B"/>
    <w:rsid w:val="00957940"/>
    <w:rsid w:val="00960D65"/>
    <w:rsid w:val="00963282"/>
    <w:rsid w:val="00963FCB"/>
    <w:rsid w:val="009702E3"/>
    <w:rsid w:val="00984E32"/>
    <w:rsid w:val="0098549F"/>
    <w:rsid w:val="0098555B"/>
    <w:rsid w:val="00990BBC"/>
    <w:rsid w:val="00991EFC"/>
    <w:rsid w:val="00993021"/>
    <w:rsid w:val="009935A9"/>
    <w:rsid w:val="00995A25"/>
    <w:rsid w:val="00997385"/>
    <w:rsid w:val="00997C09"/>
    <w:rsid w:val="009A1677"/>
    <w:rsid w:val="009A2666"/>
    <w:rsid w:val="009A3855"/>
    <w:rsid w:val="009A411B"/>
    <w:rsid w:val="009A5950"/>
    <w:rsid w:val="009C1123"/>
    <w:rsid w:val="009C1481"/>
    <w:rsid w:val="009C3E60"/>
    <w:rsid w:val="009C411C"/>
    <w:rsid w:val="009C54F1"/>
    <w:rsid w:val="009D5432"/>
    <w:rsid w:val="009D627C"/>
    <w:rsid w:val="009E0616"/>
    <w:rsid w:val="009E2957"/>
    <w:rsid w:val="009E4E69"/>
    <w:rsid w:val="009E649D"/>
    <w:rsid w:val="00A03CD2"/>
    <w:rsid w:val="00A06578"/>
    <w:rsid w:val="00A10B22"/>
    <w:rsid w:val="00A12702"/>
    <w:rsid w:val="00A13BEE"/>
    <w:rsid w:val="00A24F12"/>
    <w:rsid w:val="00A2627C"/>
    <w:rsid w:val="00A26846"/>
    <w:rsid w:val="00A32D1E"/>
    <w:rsid w:val="00A33255"/>
    <w:rsid w:val="00A3516F"/>
    <w:rsid w:val="00A35229"/>
    <w:rsid w:val="00A37FEA"/>
    <w:rsid w:val="00A42D6A"/>
    <w:rsid w:val="00A442F2"/>
    <w:rsid w:val="00A504B6"/>
    <w:rsid w:val="00A52DF4"/>
    <w:rsid w:val="00A57525"/>
    <w:rsid w:val="00A652A7"/>
    <w:rsid w:val="00A82F18"/>
    <w:rsid w:val="00A83872"/>
    <w:rsid w:val="00A85F41"/>
    <w:rsid w:val="00A97265"/>
    <w:rsid w:val="00AA19EB"/>
    <w:rsid w:val="00AA4B05"/>
    <w:rsid w:val="00AB2269"/>
    <w:rsid w:val="00AB2CDF"/>
    <w:rsid w:val="00AB5273"/>
    <w:rsid w:val="00AC01DC"/>
    <w:rsid w:val="00AC456C"/>
    <w:rsid w:val="00AC683B"/>
    <w:rsid w:val="00AD2E51"/>
    <w:rsid w:val="00AE0CA7"/>
    <w:rsid w:val="00AE7146"/>
    <w:rsid w:val="00AF2CE7"/>
    <w:rsid w:val="00AF5E1A"/>
    <w:rsid w:val="00B02D5D"/>
    <w:rsid w:val="00B06354"/>
    <w:rsid w:val="00B07D10"/>
    <w:rsid w:val="00B13B2F"/>
    <w:rsid w:val="00B16A67"/>
    <w:rsid w:val="00B2046F"/>
    <w:rsid w:val="00B22932"/>
    <w:rsid w:val="00B2350A"/>
    <w:rsid w:val="00B31C27"/>
    <w:rsid w:val="00B33058"/>
    <w:rsid w:val="00B34E02"/>
    <w:rsid w:val="00B372A9"/>
    <w:rsid w:val="00B37D11"/>
    <w:rsid w:val="00B40B82"/>
    <w:rsid w:val="00B41F94"/>
    <w:rsid w:val="00B469AD"/>
    <w:rsid w:val="00B47023"/>
    <w:rsid w:val="00B4764D"/>
    <w:rsid w:val="00B52C8F"/>
    <w:rsid w:val="00B55008"/>
    <w:rsid w:val="00B55961"/>
    <w:rsid w:val="00B573E7"/>
    <w:rsid w:val="00B57C98"/>
    <w:rsid w:val="00B725D1"/>
    <w:rsid w:val="00B752BF"/>
    <w:rsid w:val="00B754A2"/>
    <w:rsid w:val="00B75A88"/>
    <w:rsid w:val="00B8034A"/>
    <w:rsid w:val="00B86301"/>
    <w:rsid w:val="00B90577"/>
    <w:rsid w:val="00B9219B"/>
    <w:rsid w:val="00B927C6"/>
    <w:rsid w:val="00BA0EDB"/>
    <w:rsid w:val="00BA485F"/>
    <w:rsid w:val="00BA5679"/>
    <w:rsid w:val="00BA6773"/>
    <w:rsid w:val="00BA705B"/>
    <w:rsid w:val="00BB483F"/>
    <w:rsid w:val="00BC02E5"/>
    <w:rsid w:val="00BC0E60"/>
    <w:rsid w:val="00BC26A5"/>
    <w:rsid w:val="00BC69FA"/>
    <w:rsid w:val="00BD55E1"/>
    <w:rsid w:val="00BD7183"/>
    <w:rsid w:val="00BE0FFB"/>
    <w:rsid w:val="00BE1517"/>
    <w:rsid w:val="00BE18BA"/>
    <w:rsid w:val="00BF4592"/>
    <w:rsid w:val="00BF6409"/>
    <w:rsid w:val="00C0016F"/>
    <w:rsid w:val="00C00CEB"/>
    <w:rsid w:val="00C04C3A"/>
    <w:rsid w:val="00C05153"/>
    <w:rsid w:val="00C064A4"/>
    <w:rsid w:val="00C20A4B"/>
    <w:rsid w:val="00C22642"/>
    <w:rsid w:val="00C2501E"/>
    <w:rsid w:val="00C315CF"/>
    <w:rsid w:val="00C43226"/>
    <w:rsid w:val="00C43737"/>
    <w:rsid w:val="00C44013"/>
    <w:rsid w:val="00C453BD"/>
    <w:rsid w:val="00C45C81"/>
    <w:rsid w:val="00C46EFA"/>
    <w:rsid w:val="00C51C56"/>
    <w:rsid w:val="00C60104"/>
    <w:rsid w:val="00C6285A"/>
    <w:rsid w:val="00C62E7B"/>
    <w:rsid w:val="00C64E7D"/>
    <w:rsid w:val="00C70E71"/>
    <w:rsid w:val="00C73FE1"/>
    <w:rsid w:val="00C8067F"/>
    <w:rsid w:val="00C837A2"/>
    <w:rsid w:val="00C91263"/>
    <w:rsid w:val="00CA4564"/>
    <w:rsid w:val="00CB2916"/>
    <w:rsid w:val="00CD0021"/>
    <w:rsid w:val="00CD0BD7"/>
    <w:rsid w:val="00CD4538"/>
    <w:rsid w:val="00CE223C"/>
    <w:rsid w:val="00CF3131"/>
    <w:rsid w:val="00CF3BE1"/>
    <w:rsid w:val="00D00243"/>
    <w:rsid w:val="00D014AB"/>
    <w:rsid w:val="00D05ECD"/>
    <w:rsid w:val="00D073CB"/>
    <w:rsid w:val="00D24964"/>
    <w:rsid w:val="00D30140"/>
    <w:rsid w:val="00D36EBA"/>
    <w:rsid w:val="00D40AC2"/>
    <w:rsid w:val="00D4100E"/>
    <w:rsid w:val="00D43437"/>
    <w:rsid w:val="00D53522"/>
    <w:rsid w:val="00D54466"/>
    <w:rsid w:val="00D63A3C"/>
    <w:rsid w:val="00D6724D"/>
    <w:rsid w:val="00D6791A"/>
    <w:rsid w:val="00D707E2"/>
    <w:rsid w:val="00D75A83"/>
    <w:rsid w:val="00D87891"/>
    <w:rsid w:val="00D96B09"/>
    <w:rsid w:val="00D96C7F"/>
    <w:rsid w:val="00DB0063"/>
    <w:rsid w:val="00DB03EE"/>
    <w:rsid w:val="00DC198D"/>
    <w:rsid w:val="00DC1E99"/>
    <w:rsid w:val="00DC72BF"/>
    <w:rsid w:val="00DD0149"/>
    <w:rsid w:val="00DE09DF"/>
    <w:rsid w:val="00DE2420"/>
    <w:rsid w:val="00DE7B95"/>
    <w:rsid w:val="00DF110D"/>
    <w:rsid w:val="00DF1892"/>
    <w:rsid w:val="00DF45D3"/>
    <w:rsid w:val="00E02E86"/>
    <w:rsid w:val="00E14595"/>
    <w:rsid w:val="00E15CDF"/>
    <w:rsid w:val="00E213DC"/>
    <w:rsid w:val="00E24197"/>
    <w:rsid w:val="00E323DF"/>
    <w:rsid w:val="00E44646"/>
    <w:rsid w:val="00E46F15"/>
    <w:rsid w:val="00E50599"/>
    <w:rsid w:val="00E5102D"/>
    <w:rsid w:val="00E51A46"/>
    <w:rsid w:val="00E5254C"/>
    <w:rsid w:val="00E60F8C"/>
    <w:rsid w:val="00E76629"/>
    <w:rsid w:val="00E774B9"/>
    <w:rsid w:val="00E92398"/>
    <w:rsid w:val="00E95C19"/>
    <w:rsid w:val="00EA69A4"/>
    <w:rsid w:val="00EB0717"/>
    <w:rsid w:val="00EB4F62"/>
    <w:rsid w:val="00EB4F99"/>
    <w:rsid w:val="00EB5DD7"/>
    <w:rsid w:val="00EB6167"/>
    <w:rsid w:val="00EC2435"/>
    <w:rsid w:val="00EC5065"/>
    <w:rsid w:val="00EC76EB"/>
    <w:rsid w:val="00ED3273"/>
    <w:rsid w:val="00ED4B90"/>
    <w:rsid w:val="00ED6091"/>
    <w:rsid w:val="00ED7231"/>
    <w:rsid w:val="00EE1957"/>
    <w:rsid w:val="00EE516F"/>
    <w:rsid w:val="00F061A0"/>
    <w:rsid w:val="00F070EE"/>
    <w:rsid w:val="00F07CC8"/>
    <w:rsid w:val="00F1253E"/>
    <w:rsid w:val="00F14F53"/>
    <w:rsid w:val="00F1693C"/>
    <w:rsid w:val="00F201E5"/>
    <w:rsid w:val="00F225D2"/>
    <w:rsid w:val="00F314E2"/>
    <w:rsid w:val="00F33250"/>
    <w:rsid w:val="00F342C5"/>
    <w:rsid w:val="00F3520B"/>
    <w:rsid w:val="00F356C3"/>
    <w:rsid w:val="00F41EE4"/>
    <w:rsid w:val="00F43471"/>
    <w:rsid w:val="00F4449B"/>
    <w:rsid w:val="00F44FF9"/>
    <w:rsid w:val="00F52239"/>
    <w:rsid w:val="00F56CEA"/>
    <w:rsid w:val="00F60976"/>
    <w:rsid w:val="00F6216E"/>
    <w:rsid w:val="00F63D29"/>
    <w:rsid w:val="00F67D52"/>
    <w:rsid w:val="00F70102"/>
    <w:rsid w:val="00F732B6"/>
    <w:rsid w:val="00F74CE0"/>
    <w:rsid w:val="00F77CFD"/>
    <w:rsid w:val="00F829D8"/>
    <w:rsid w:val="00F83CA8"/>
    <w:rsid w:val="00F850B0"/>
    <w:rsid w:val="00F86D8E"/>
    <w:rsid w:val="00F93F65"/>
    <w:rsid w:val="00F95511"/>
    <w:rsid w:val="00F9578C"/>
    <w:rsid w:val="00FC3D76"/>
    <w:rsid w:val="00FC464E"/>
    <w:rsid w:val="00FC5481"/>
    <w:rsid w:val="00FD0A36"/>
    <w:rsid w:val="00FD146B"/>
    <w:rsid w:val="00FE08C7"/>
    <w:rsid w:val="00FE0F5C"/>
    <w:rsid w:val="00FE1DA6"/>
    <w:rsid w:val="00FE7AC7"/>
    <w:rsid w:val="00FF06DB"/>
    <w:rsid w:val="00FF2928"/>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60766C"/>
  <w15:docId w15:val="{DFAA7382-0238-4841-8542-58D4940B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5D1"/>
    <w:pPr>
      <w:overflowPunct w:val="0"/>
      <w:autoSpaceDE w:val="0"/>
      <w:autoSpaceDN w:val="0"/>
      <w:adjustRightInd w:val="0"/>
      <w:spacing w:line="240" w:lineRule="exact"/>
      <w:ind w:firstLine="227"/>
      <w:jc w:val="both"/>
      <w:textAlignment w:val="baseline"/>
    </w:pPr>
    <w:rPr>
      <w:lang w:val="es-ES_tradnl"/>
    </w:rPr>
  </w:style>
  <w:style w:type="paragraph" w:styleId="Ttulo1">
    <w:name w:val="heading 1"/>
    <w:basedOn w:val="Normal"/>
    <w:next w:val="Normal"/>
    <w:qFormat/>
    <w:rsid w:val="002B66F5"/>
    <w:pPr>
      <w:keepNext/>
      <w:keepLines/>
      <w:numPr>
        <w:numId w:val="38"/>
      </w:numPr>
      <w:tabs>
        <w:tab w:val="clear" w:pos="454"/>
        <w:tab w:val="left" w:pos="567"/>
      </w:tabs>
      <w:suppressAutoHyphens/>
      <w:spacing w:before="300" w:after="160" w:line="280" w:lineRule="exact"/>
      <w:jc w:val="left"/>
      <w:outlineLvl w:val="0"/>
    </w:pPr>
    <w:rPr>
      <w:b/>
      <w:sz w:val="24"/>
    </w:rPr>
  </w:style>
  <w:style w:type="paragraph" w:styleId="Ttulo2">
    <w:name w:val="heading 2"/>
    <w:basedOn w:val="Normal"/>
    <w:next w:val="Normal"/>
    <w:qFormat/>
    <w:rsid w:val="002B66F5"/>
    <w:pPr>
      <w:keepNext/>
      <w:keepLines/>
      <w:numPr>
        <w:ilvl w:val="1"/>
        <w:numId w:val="38"/>
      </w:numPr>
      <w:suppressAutoHyphens/>
      <w:spacing w:before="220" w:after="120"/>
      <w:outlineLvl w:val="1"/>
    </w:pPr>
    <w:rPr>
      <w:b/>
    </w:rPr>
  </w:style>
  <w:style w:type="paragraph" w:styleId="Ttulo3">
    <w:name w:val="heading 3"/>
    <w:basedOn w:val="Normal"/>
    <w:next w:val="Normal"/>
    <w:qFormat/>
    <w:rsid w:val="002B66F5"/>
    <w:pPr>
      <w:keepNext/>
      <w:keepLines/>
      <w:numPr>
        <w:ilvl w:val="2"/>
        <w:numId w:val="38"/>
      </w:numPr>
      <w:suppressAutoHyphens/>
      <w:spacing w:before="200" w:after="100"/>
      <w:outlineLvl w:val="2"/>
    </w:pPr>
    <w:rPr>
      <w:b/>
    </w:rPr>
  </w:style>
  <w:style w:type="paragraph" w:styleId="Ttulo4">
    <w:name w:val="heading 4"/>
    <w:basedOn w:val="Normal"/>
    <w:next w:val="Normal"/>
    <w:qFormat/>
    <w:rsid w:val="002B66F5"/>
    <w:pPr>
      <w:keepNext/>
      <w:tabs>
        <w:tab w:val="left" w:pos="680"/>
      </w:tabs>
      <w:spacing w:before="200" w:after="80"/>
      <w:ind w:firstLine="0"/>
      <w:jc w:val="left"/>
      <w:outlineLvl w:val="3"/>
    </w:pPr>
    <w:rPr>
      <w:i/>
      <w:sz w:val="18"/>
    </w:rPr>
  </w:style>
  <w:style w:type="paragraph" w:styleId="Ttulo5">
    <w:name w:val="heading 5"/>
    <w:basedOn w:val="Normal"/>
    <w:next w:val="Normal"/>
    <w:qFormat/>
    <w:rsid w:val="002B66F5"/>
    <w:pPr>
      <w:numPr>
        <w:ilvl w:val="4"/>
        <w:numId w:val="38"/>
      </w:numPr>
      <w:spacing w:before="240" w:after="60"/>
      <w:outlineLvl w:val="4"/>
    </w:pPr>
    <w:rPr>
      <w:rFonts w:ascii="Arial" w:hAnsi="Arial"/>
      <w:sz w:val="22"/>
    </w:rPr>
  </w:style>
  <w:style w:type="paragraph" w:styleId="Ttulo6">
    <w:name w:val="heading 6"/>
    <w:basedOn w:val="Normal"/>
    <w:next w:val="Normal"/>
    <w:qFormat/>
    <w:rsid w:val="002B66F5"/>
    <w:pPr>
      <w:numPr>
        <w:ilvl w:val="5"/>
        <w:numId w:val="38"/>
      </w:numPr>
      <w:spacing w:before="240" w:after="60"/>
      <w:outlineLvl w:val="5"/>
    </w:pPr>
    <w:rPr>
      <w:i/>
      <w:sz w:val="22"/>
    </w:rPr>
  </w:style>
  <w:style w:type="paragraph" w:styleId="Ttulo7">
    <w:name w:val="heading 7"/>
    <w:basedOn w:val="Normal"/>
    <w:next w:val="Normal"/>
    <w:qFormat/>
    <w:rsid w:val="002B66F5"/>
    <w:pPr>
      <w:numPr>
        <w:ilvl w:val="6"/>
        <w:numId w:val="38"/>
      </w:numPr>
      <w:spacing w:before="240" w:after="60"/>
      <w:outlineLvl w:val="6"/>
    </w:pPr>
    <w:rPr>
      <w:rFonts w:ascii="Arial" w:hAnsi="Arial"/>
    </w:rPr>
  </w:style>
  <w:style w:type="paragraph" w:styleId="Ttulo8">
    <w:name w:val="heading 8"/>
    <w:basedOn w:val="Normal"/>
    <w:next w:val="Normal"/>
    <w:qFormat/>
    <w:rsid w:val="002B66F5"/>
    <w:pPr>
      <w:numPr>
        <w:ilvl w:val="7"/>
        <w:numId w:val="38"/>
      </w:numPr>
      <w:spacing w:before="240" w:after="60"/>
      <w:outlineLvl w:val="7"/>
    </w:pPr>
    <w:rPr>
      <w:rFonts w:ascii="Arial" w:hAnsi="Arial"/>
      <w:i/>
    </w:rPr>
  </w:style>
  <w:style w:type="paragraph" w:styleId="Ttulo9">
    <w:name w:val="heading 9"/>
    <w:basedOn w:val="Normal"/>
    <w:next w:val="Normal"/>
    <w:qFormat/>
    <w:rsid w:val="002B66F5"/>
    <w:pPr>
      <w:numPr>
        <w:ilvl w:val="8"/>
        <w:numId w:val="38"/>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1a">
    <w:name w:val="p1a"/>
    <w:basedOn w:val="Normal"/>
    <w:next w:val="Normal"/>
    <w:rsid w:val="0053704E"/>
    <w:pPr>
      <w:ind w:firstLine="0"/>
    </w:pPr>
  </w:style>
  <w:style w:type="paragraph" w:customStyle="1" w:styleId="abstract">
    <w:name w:val="abstract"/>
    <w:basedOn w:val="p1a"/>
    <w:rsid w:val="00C91263"/>
    <w:pPr>
      <w:spacing w:before="160" w:after="120" w:line="220" w:lineRule="exact"/>
      <w:ind w:left="567" w:right="567"/>
      <w:contextualSpacing/>
    </w:pPr>
    <w:rPr>
      <w:sz w:val="18"/>
    </w:rPr>
  </w:style>
  <w:style w:type="paragraph" w:customStyle="1" w:styleId="address">
    <w:name w:val="address"/>
    <w:basedOn w:val="p1a"/>
    <w:rsid w:val="0053704E"/>
    <w:pPr>
      <w:jc w:val="center"/>
    </w:pPr>
    <w:rPr>
      <w:sz w:val="18"/>
    </w:rPr>
  </w:style>
  <w:style w:type="paragraph" w:customStyle="1" w:styleId="author">
    <w:name w:val="author"/>
    <w:basedOn w:val="p1a"/>
    <w:next w:val="address"/>
    <w:rsid w:val="0053704E"/>
    <w:pPr>
      <w:spacing w:after="220"/>
      <w:jc w:val="center"/>
    </w:pPr>
  </w:style>
  <w:style w:type="paragraph" w:styleId="Descripcin">
    <w:name w:val="caption"/>
    <w:basedOn w:val="Normal"/>
    <w:next w:val="Normal"/>
    <w:qFormat/>
    <w:rsid w:val="0053704E"/>
    <w:pPr>
      <w:spacing w:before="120" w:after="120"/>
    </w:pPr>
    <w:rPr>
      <w:b/>
    </w:rPr>
  </w:style>
  <w:style w:type="paragraph" w:customStyle="1" w:styleId="image">
    <w:name w:val="image"/>
    <w:basedOn w:val="p1a"/>
    <w:next w:val="p1a"/>
    <w:rsid w:val="008B1558"/>
    <w:pPr>
      <w:spacing w:before="240" w:after="120" w:line="240" w:lineRule="auto"/>
      <w:jc w:val="center"/>
    </w:pPr>
  </w:style>
  <w:style w:type="paragraph" w:customStyle="1" w:styleId="bulletitem">
    <w:name w:val="bullet item"/>
    <w:basedOn w:val="Normal"/>
    <w:rsid w:val="006E031A"/>
    <w:pPr>
      <w:numPr>
        <w:numId w:val="30"/>
      </w:numPr>
      <w:spacing w:before="120" w:after="120"/>
      <w:contextualSpacing/>
    </w:pPr>
  </w:style>
  <w:style w:type="paragraph" w:customStyle="1" w:styleId="dashitem">
    <w:name w:val="dash item"/>
    <w:basedOn w:val="bulletitem"/>
    <w:rsid w:val="00C6285A"/>
    <w:pPr>
      <w:numPr>
        <w:numId w:val="27"/>
      </w:numPr>
      <w:spacing w:before="80" w:after="80"/>
    </w:pPr>
  </w:style>
  <w:style w:type="paragraph" w:customStyle="1" w:styleId="equation">
    <w:name w:val="equation"/>
    <w:basedOn w:val="Normal"/>
    <w:next w:val="p1a"/>
    <w:rsid w:val="0053704E"/>
    <w:pPr>
      <w:tabs>
        <w:tab w:val="left" w:pos="6237"/>
      </w:tabs>
      <w:spacing w:before="120" w:after="120"/>
      <w:ind w:left="227"/>
      <w:jc w:val="center"/>
    </w:pPr>
  </w:style>
  <w:style w:type="paragraph" w:customStyle="1" w:styleId="figurecaption">
    <w:name w:val="figure caption"/>
    <w:basedOn w:val="Normal"/>
    <w:next w:val="p1a"/>
    <w:rsid w:val="00454DD4"/>
    <w:pPr>
      <w:keepNext/>
      <w:keepLines/>
      <w:spacing w:before="120" w:after="240" w:line="220" w:lineRule="exact"/>
      <w:ind w:firstLine="0"/>
      <w:jc w:val="center"/>
    </w:pPr>
    <w:rPr>
      <w:sz w:val="18"/>
    </w:rPr>
  </w:style>
  <w:style w:type="paragraph" w:styleId="Textonotapie">
    <w:name w:val="footnote text"/>
    <w:basedOn w:val="Normal"/>
    <w:semiHidden/>
    <w:rsid w:val="0053704E"/>
    <w:pPr>
      <w:tabs>
        <w:tab w:val="left" w:pos="170"/>
      </w:tabs>
      <w:spacing w:line="220" w:lineRule="exact"/>
      <w:ind w:left="170" w:hanging="170"/>
    </w:pPr>
    <w:rPr>
      <w:sz w:val="18"/>
    </w:rPr>
  </w:style>
  <w:style w:type="character" w:styleId="Hipervnculo">
    <w:name w:val="Hyperlink"/>
    <w:basedOn w:val="Fuentedeprrafopredeter"/>
    <w:rsid w:val="00BA5679"/>
    <w:rPr>
      <w:color w:val="0000FF"/>
      <w:u w:val="single"/>
    </w:rPr>
  </w:style>
  <w:style w:type="character" w:styleId="Refdenotaalpie">
    <w:name w:val="footnote reference"/>
    <w:basedOn w:val="Fuentedeprrafopredeter"/>
    <w:semiHidden/>
    <w:rsid w:val="0053704E"/>
    <w:rPr>
      <w:position w:val="6"/>
      <w:sz w:val="12"/>
      <w:vertAlign w:val="baseline"/>
    </w:rPr>
  </w:style>
  <w:style w:type="paragraph" w:styleId="Piedepgina">
    <w:name w:val="footer"/>
    <w:basedOn w:val="Normal"/>
    <w:link w:val="PiedepginaCar"/>
    <w:uiPriority w:val="99"/>
    <w:rsid w:val="0053704E"/>
    <w:pPr>
      <w:tabs>
        <w:tab w:val="center" w:pos="4536"/>
        <w:tab w:val="right" w:pos="9072"/>
      </w:tabs>
    </w:pPr>
  </w:style>
  <w:style w:type="paragraph" w:customStyle="1" w:styleId="heading1">
    <w:name w:val="heading1"/>
    <w:basedOn w:val="Ttulo1"/>
    <w:next w:val="p1a"/>
    <w:rsid w:val="002B66F5"/>
  </w:style>
  <w:style w:type="paragraph" w:customStyle="1" w:styleId="heading2">
    <w:name w:val="heading2"/>
    <w:basedOn w:val="Ttulo2"/>
    <w:next w:val="p1a"/>
    <w:rsid w:val="00190935"/>
  </w:style>
  <w:style w:type="paragraph" w:customStyle="1" w:styleId="heading3">
    <w:name w:val="heading3"/>
    <w:basedOn w:val="Ttulo3"/>
    <w:next w:val="p1a"/>
    <w:rsid w:val="00A504B6"/>
  </w:style>
  <w:style w:type="paragraph" w:customStyle="1" w:styleId="heading4">
    <w:name w:val="heading4"/>
    <w:basedOn w:val="Ttulo4"/>
    <w:next w:val="p1a"/>
    <w:rsid w:val="00A504B6"/>
  </w:style>
  <w:style w:type="paragraph" w:styleId="Encabezado">
    <w:name w:val="header"/>
    <w:basedOn w:val="Normal"/>
    <w:link w:val="EncabezadoCar"/>
    <w:uiPriority w:val="99"/>
    <w:rsid w:val="00210248"/>
    <w:pPr>
      <w:spacing w:line="220" w:lineRule="exact"/>
      <w:ind w:firstLine="0"/>
    </w:pPr>
    <w:rPr>
      <w:sz w:val="18"/>
    </w:rPr>
  </w:style>
  <w:style w:type="paragraph" w:customStyle="1" w:styleId="numbereditem">
    <w:name w:val="numbered item"/>
    <w:basedOn w:val="Normal"/>
    <w:rsid w:val="006E031A"/>
    <w:pPr>
      <w:numPr>
        <w:numId w:val="37"/>
      </w:numPr>
      <w:spacing w:before="120" w:after="120"/>
      <w:contextualSpacing/>
    </w:pPr>
  </w:style>
  <w:style w:type="paragraph" w:customStyle="1" w:styleId="programcode">
    <w:name w:val="programcode"/>
    <w:basedOn w:val="Normal"/>
    <w:rsid w:val="00001D94"/>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20" w:after="120" w:line="170" w:lineRule="exact"/>
      <w:ind w:left="227" w:firstLine="0"/>
      <w:contextualSpacing/>
      <w:jc w:val="left"/>
    </w:pPr>
    <w:rPr>
      <w:rFonts w:ascii="Courier" w:hAnsi="Courier"/>
      <w:sz w:val="14"/>
      <w:szCs w:val="14"/>
    </w:rPr>
  </w:style>
  <w:style w:type="paragraph" w:customStyle="1" w:styleId="referenceitem">
    <w:name w:val="referenceitem"/>
    <w:basedOn w:val="Normal"/>
    <w:rsid w:val="00F829D8"/>
    <w:pPr>
      <w:spacing w:line="220" w:lineRule="exact"/>
      <w:ind w:left="340" w:hanging="340"/>
    </w:pPr>
    <w:rPr>
      <w:sz w:val="18"/>
    </w:rPr>
  </w:style>
  <w:style w:type="paragraph" w:customStyle="1" w:styleId="runninghead-left">
    <w:name w:val="running head - left"/>
    <w:basedOn w:val="Encabezado"/>
    <w:link w:val="runninghead-leftZchn"/>
    <w:rsid w:val="007608F0"/>
    <w:rPr>
      <w:szCs w:val="18"/>
    </w:rPr>
  </w:style>
  <w:style w:type="paragraph" w:customStyle="1" w:styleId="runninghead-right">
    <w:name w:val="running head - right"/>
    <w:basedOn w:val="Encabezado"/>
    <w:rsid w:val="007608F0"/>
    <w:pPr>
      <w:jc w:val="right"/>
    </w:pPr>
    <w:rPr>
      <w:bCs/>
      <w:szCs w:val="18"/>
    </w:rPr>
  </w:style>
  <w:style w:type="character" w:styleId="Nmerodepgina">
    <w:name w:val="page number"/>
    <w:basedOn w:val="Fuentedeprrafopredeter"/>
    <w:rsid w:val="00210248"/>
    <w:rPr>
      <w:sz w:val="18"/>
    </w:rPr>
  </w:style>
  <w:style w:type="paragraph" w:customStyle="1" w:styleId="tablecaption">
    <w:name w:val="table caption"/>
    <w:basedOn w:val="Normal"/>
    <w:next w:val="Normal"/>
    <w:rsid w:val="00454DD4"/>
    <w:pPr>
      <w:keepNext/>
      <w:keepLines/>
      <w:spacing w:before="140" w:after="80" w:line="220" w:lineRule="exact"/>
      <w:ind w:firstLine="0"/>
      <w:jc w:val="center"/>
    </w:pPr>
    <w:rPr>
      <w:sz w:val="18"/>
      <w:lang w:val="de-DE"/>
    </w:rPr>
  </w:style>
  <w:style w:type="paragraph" w:customStyle="1" w:styleId="Ttulo10">
    <w:name w:val="Título1"/>
    <w:basedOn w:val="p1a"/>
    <w:next w:val="author"/>
    <w:rsid w:val="007608F0"/>
    <w:pPr>
      <w:keepNext/>
      <w:keepLines/>
      <w:pageBreakBefore/>
      <w:suppressAutoHyphens/>
      <w:spacing w:after="460" w:line="348" w:lineRule="exact"/>
      <w:jc w:val="center"/>
    </w:pPr>
    <w:rPr>
      <w:b/>
      <w:sz w:val="28"/>
    </w:rPr>
  </w:style>
  <w:style w:type="paragraph" w:customStyle="1" w:styleId="keywords">
    <w:name w:val="keywords"/>
    <w:basedOn w:val="abstract"/>
    <w:rsid w:val="00001D94"/>
    <w:pPr>
      <w:spacing w:before="240"/>
      <w:jc w:val="left"/>
    </w:pPr>
  </w:style>
  <w:style w:type="paragraph" w:customStyle="1" w:styleId="e-mail">
    <w:name w:val="e-mail"/>
    <w:basedOn w:val="address"/>
    <w:next w:val="address"/>
    <w:rsid w:val="009A411B"/>
    <w:rPr>
      <w:rFonts w:ascii="Courier" w:hAnsi="Courier"/>
    </w:rPr>
  </w:style>
  <w:style w:type="character" w:customStyle="1" w:styleId="EncabezadoCar">
    <w:name w:val="Encabezado Car"/>
    <w:basedOn w:val="Fuentedeprrafopredeter"/>
    <w:link w:val="Encabezado"/>
    <w:uiPriority w:val="99"/>
    <w:rsid w:val="007608F0"/>
    <w:rPr>
      <w:sz w:val="18"/>
      <w:lang w:val="en-US" w:eastAsia="de-DE" w:bidi="ar-SA"/>
    </w:rPr>
  </w:style>
  <w:style w:type="character" w:customStyle="1" w:styleId="runninghead-leftZchn">
    <w:name w:val="running head - left Zchn"/>
    <w:basedOn w:val="EncabezadoCar"/>
    <w:link w:val="runninghead-left"/>
    <w:rsid w:val="007608F0"/>
    <w:rPr>
      <w:sz w:val="18"/>
      <w:szCs w:val="18"/>
      <w:lang w:val="en-US" w:eastAsia="de-DE" w:bidi="ar-SA"/>
    </w:rPr>
  </w:style>
  <w:style w:type="paragraph" w:styleId="Textosinformato">
    <w:name w:val="Plain Text"/>
    <w:basedOn w:val="Normal"/>
    <w:link w:val="TextosinformatoCar"/>
    <w:rsid w:val="0035112D"/>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rsid w:val="0035112D"/>
    <w:rPr>
      <w:rFonts w:ascii="Consolas" w:hAnsi="Consolas"/>
      <w:sz w:val="21"/>
      <w:szCs w:val="21"/>
      <w:lang w:val="en-US"/>
    </w:rPr>
  </w:style>
  <w:style w:type="paragraph" w:styleId="Textodeglobo">
    <w:name w:val="Balloon Text"/>
    <w:basedOn w:val="Normal"/>
    <w:link w:val="TextodegloboCar"/>
    <w:rsid w:val="00C064A4"/>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C064A4"/>
    <w:rPr>
      <w:rFonts w:ascii="Tahoma" w:hAnsi="Tahoma" w:cs="Tahoma"/>
      <w:sz w:val="16"/>
      <w:szCs w:val="16"/>
      <w:lang w:val="en-US"/>
    </w:rPr>
  </w:style>
  <w:style w:type="table" w:styleId="Tablaconcuadrcula">
    <w:name w:val="Table Grid"/>
    <w:basedOn w:val="Tablanormal"/>
    <w:rsid w:val="00F43471"/>
    <w:rPr>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uiPriority w:val="99"/>
    <w:rsid w:val="006F3C87"/>
    <w:rPr>
      <w:lang w:val="en-US"/>
    </w:rPr>
  </w:style>
  <w:style w:type="paragraph" w:styleId="Prrafodelista">
    <w:name w:val="List Paragraph"/>
    <w:basedOn w:val="Normal"/>
    <w:uiPriority w:val="34"/>
    <w:qFormat/>
    <w:rsid w:val="00AD2E51"/>
    <w:pPr>
      <w:ind w:left="720"/>
      <w:contextualSpacing/>
    </w:p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Compact">
    <w:name w:val="Compact"/>
    <w:basedOn w:val="Normal"/>
    <w:qFormat/>
    <w:pPr>
      <w:spacing w:before="20" w:after="20" w:line="200" w:lineRule="exact"/>
      <w:ind w:firstLine="0"/>
      <w:contextualSpacing/>
    </w:pPr>
    <w:rPr>
      <w:sz w:val="16"/>
      <w:szCs w:val="16"/>
    </w:rPr>
  </w:style>
  <w:style w:type="table" w:customStyle="1" w:styleId="Table">
    <w:name w:val="Table"/>
    <w:basedOn w:val="TableNormal"/>
    <w:uiPriority w:val="59"/>
    <w:tblPr>
      <w:tblStyleRow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72" w:type="dxa"/>
        <w:bottom w:w="28" w:type="dxa"/>
        <w:right w:w="7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58529">
      <w:bodyDiv w:val="1"/>
      <w:marLeft w:val="0"/>
      <w:marRight w:val="0"/>
      <w:marTop w:val="0"/>
      <w:marBottom w:val="0"/>
      <w:divBdr>
        <w:top w:val="none" w:sz="0" w:space="0" w:color="auto"/>
        <w:left w:val="none" w:sz="0" w:space="0" w:color="auto"/>
        <w:bottom w:val="none" w:sz="0" w:space="0" w:color="auto"/>
        <w:right w:val="none" w:sz="0" w:space="0" w:color="auto"/>
      </w:divBdr>
      <w:divsChild>
        <w:div w:id="668338083">
          <w:marLeft w:val="547"/>
          <w:marRight w:val="0"/>
          <w:marTop w:val="144"/>
          <w:marBottom w:val="0"/>
          <w:divBdr>
            <w:top w:val="none" w:sz="0" w:space="0" w:color="auto"/>
            <w:left w:val="none" w:sz="0" w:space="0" w:color="auto"/>
            <w:bottom w:val="none" w:sz="0" w:space="0" w:color="auto"/>
            <w:right w:val="none" w:sz="0" w:space="0" w:color="auto"/>
          </w:divBdr>
        </w:div>
        <w:div w:id="1763448250">
          <w:marLeft w:val="547"/>
          <w:marRight w:val="0"/>
          <w:marTop w:val="144"/>
          <w:marBottom w:val="0"/>
          <w:divBdr>
            <w:top w:val="none" w:sz="0" w:space="0" w:color="auto"/>
            <w:left w:val="none" w:sz="0" w:space="0" w:color="auto"/>
            <w:bottom w:val="none" w:sz="0" w:space="0" w:color="auto"/>
            <w:right w:val="none" w:sz="0" w:space="0" w:color="auto"/>
          </w:divBdr>
        </w:div>
        <w:div w:id="340856021">
          <w:marLeft w:val="547"/>
          <w:marRight w:val="0"/>
          <w:marTop w:val="144"/>
          <w:marBottom w:val="0"/>
          <w:divBdr>
            <w:top w:val="none" w:sz="0" w:space="0" w:color="auto"/>
            <w:left w:val="none" w:sz="0" w:space="0" w:color="auto"/>
            <w:bottom w:val="none" w:sz="0" w:space="0" w:color="auto"/>
            <w:right w:val="none" w:sz="0" w:space="0" w:color="auto"/>
          </w:divBdr>
        </w:div>
        <w:div w:id="1787576473">
          <w:marLeft w:val="547"/>
          <w:marRight w:val="0"/>
          <w:marTop w:val="144"/>
          <w:marBottom w:val="0"/>
          <w:divBdr>
            <w:top w:val="none" w:sz="0" w:space="0" w:color="auto"/>
            <w:left w:val="none" w:sz="0" w:space="0" w:color="auto"/>
            <w:bottom w:val="none" w:sz="0" w:space="0" w:color="auto"/>
            <w:right w:val="none" w:sz="0" w:space="0" w:color="auto"/>
          </w:divBdr>
        </w:div>
        <w:div w:id="471213533">
          <w:marLeft w:val="547"/>
          <w:marRight w:val="0"/>
          <w:marTop w:val="144"/>
          <w:marBottom w:val="0"/>
          <w:divBdr>
            <w:top w:val="none" w:sz="0" w:space="0" w:color="auto"/>
            <w:left w:val="none" w:sz="0" w:space="0" w:color="auto"/>
            <w:bottom w:val="none" w:sz="0" w:space="0" w:color="auto"/>
            <w:right w:val="none" w:sz="0" w:space="0" w:color="auto"/>
          </w:divBdr>
        </w:div>
      </w:divsChild>
    </w:div>
    <w:div w:id="1516069049">
      <w:bodyDiv w:val="1"/>
      <w:marLeft w:val="0"/>
      <w:marRight w:val="0"/>
      <w:marTop w:val="0"/>
      <w:marBottom w:val="0"/>
      <w:divBdr>
        <w:top w:val="none" w:sz="0" w:space="0" w:color="auto"/>
        <w:left w:val="none" w:sz="0" w:space="0" w:color="auto"/>
        <w:bottom w:val="none" w:sz="0" w:space="0" w:color="auto"/>
        <w:right w:val="none" w:sz="0" w:space="0" w:color="auto"/>
      </w:divBdr>
      <w:divsChild>
        <w:div w:id="2036275013">
          <w:marLeft w:val="547"/>
          <w:marRight w:val="0"/>
          <w:marTop w:val="144"/>
          <w:marBottom w:val="0"/>
          <w:divBdr>
            <w:top w:val="none" w:sz="0" w:space="0" w:color="auto"/>
            <w:left w:val="none" w:sz="0" w:space="0" w:color="auto"/>
            <w:bottom w:val="none" w:sz="0" w:space="0" w:color="auto"/>
            <w:right w:val="none" w:sz="0" w:space="0" w:color="auto"/>
          </w:divBdr>
        </w:div>
        <w:div w:id="1664164050">
          <w:marLeft w:val="547"/>
          <w:marRight w:val="0"/>
          <w:marTop w:val="144"/>
          <w:marBottom w:val="0"/>
          <w:divBdr>
            <w:top w:val="none" w:sz="0" w:space="0" w:color="auto"/>
            <w:left w:val="none" w:sz="0" w:space="0" w:color="auto"/>
            <w:bottom w:val="none" w:sz="0" w:space="0" w:color="auto"/>
            <w:right w:val="none" w:sz="0" w:space="0" w:color="auto"/>
          </w:divBdr>
        </w:div>
        <w:div w:id="696471438">
          <w:marLeft w:val="547"/>
          <w:marRight w:val="0"/>
          <w:marTop w:val="144"/>
          <w:marBottom w:val="0"/>
          <w:divBdr>
            <w:top w:val="none" w:sz="0" w:space="0" w:color="auto"/>
            <w:left w:val="none" w:sz="0" w:space="0" w:color="auto"/>
            <w:bottom w:val="none" w:sz="0" w:space="0" w:color="auto"/>
            <w:right w:val="none" w:sz="0" w:space="0" w:color="auto"/>
          </w:divBdr>
        </w:div>
        <w:div w:id="1064178273">
          <w:marLeft w:val="547"/>
          <w:marRight w:val="0"/>
          <w:marTop w:val="144"/>
          <w:marBottom w:val="0"/>
          <w:divBdr>
            <w:top w:val="none" w:sz="0" w:space="0" w:color="auto"/>
            <w:left w:val="none" w:sz="0" w:space="0" w:color="auto"/>
            <w:bottom w:val="none" w:sz="0" w:space="0" w:color="auto"/>
            <w:right w:val="none" w:sz="0" w:space="0" w:color="auto"/>
          </w:divBdr>
        </w:div>
        <w:div w:id="881138075">
          <w:marLeft w:val="547"/>
          <w:marRight w:val="0"/>
          <w:marTop w:val="14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monge\Mis%20documentos\raul\USM\MTI\Graduacion\Graduaci&#243;n-2008-09\Final\sv-ln20090127.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0A9CF-D559-0D40-812F-5B4E5CCC6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Settings\rmonge\Mis documentos\raul\USM\MTI\Graduacion\Graduación-2008-09\Final\sv-ln20090127.dotm</Template>
  <TotalTime>248</TotalTime>
  <Pages>6</Pages>
  <Words>1646</Words>
  <Characters>9054</Characters>
  <Application>Microsoft Office Word</Application>
  <DocSecurity>0</DocSecurity>
  <Lines>75</Lines>
  <Paragraphs>21</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dataspect IT-Services, Heidelberg, Germany</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rmonge</dc:creator>
  <cp:keywords/>
  <dc:description>Formats and macros for Springer Lecture Notes</dc:description>
  <cp:lastModifiedBy>Raul Monge</cp:lastModifiedBy>
  <cp:revision>28</cp:revision>
  <dcterms:created xsi:type="dcterms:W3CDTF">2013-09-26T19:17:00Z</dcterms:created>
  <dcterms:modified xsi:type="dcterms:W3CDTF">2023-08-25T21:35:00Z</dcterms:modified>
</cp:coreProperties>
</file>