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numPr>
          <w:ilvl w:val="0"/>
          <w:numId w:val="0"/>
        </w:numPr>
        <w:pStyle w:val="Ttulo10"/>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ddress"/>
      </w:pPr>
      <w:r>
        <w:t>Austranet — Departamento de Informática, Universidad Técnica Federico Santa María, Valparaíso, Chile</w:t>
      </w:r>
    </w:p>
    <w:p>
      <w:pPr>
        <w:numPr>
          <w:ilvl w:val="0"/>
          <w:numId w:val="0"/>
        </w:numPr>
        <w:pStyle w:val="e-mail"/>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en local mediante Ollama sobre Apple Silicon, con arquitectura pub/sub multihilo, concurrencia adaptativa (AIMD) y capa Factory/Facade. La validación comparó trece modelos sobre 120 artículos, 105 en español, del corpus periodístico, y 30 artículos en inglés del corpus del dominio AML/KYC; contrastó la extracción directa con la generación aumentada por recuperación (RAG) contextual y midió las diferencias con ANOVA y Tukey HSD. El beneficio del RAG decrece con la capacidad del modelo: solo alcanza significancia en el más débil de los trece (+12,3 puntos de F1) y es marginal en los mayores. Redactar el prompt en español con ejemplos </w:t>
      </w:r>
      <w:r>
        <w:rPr>
          <w:i/>
        </w:rPr>
        <w:t>few-shot</w:t>
      </w:r>
      <w:r>
        <w:t xml:space="preserve"> aporta +10,4 puntos en el corpus de quince artículos, sin replicar sobre el corpus mayor. El mejor modelo local alcanza 81,47 % de F1 sobre el corpus periodístico y 90,16 % sobre el corpus del dominio AML/KYC, preservando la confidencialidad.</w:t>
      </w:r>
    </w:p>
    <w:p>
      <w:pPr>
        <w:numPr>
          <w:ilvl w:val="0"/>
          <w:numId w:val="0"/>
        </w:numPr>
        <w:pStyle w:val="keywords"/>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locally through Ollama on Apple Silicon hardware, with a multithreaded pub/sub architecture, adaptive concurrency control (AIMD) and a Factory/Facade layer. Validation compared thirteen models on 120 articles, 105 in Spanish, from the news corpus, and 30 English articles from the AML/KYC domain corpus; contrasted direct extraction with contextual retrieval-augmented generation (RAG) and measured the differences with ANOVA and Tukey HSD. The benefit of RAG decreases with model capacity: it reaches significance only in the weakest of the thirteen (+12.3 F1 points) and is marginal in the larger ones. Writing the prompt in Spanish with </w:t>
      </w:r>
      <w:r>
        <w:rPr>
          <w:i/>
        </w:rPr>
        <w:t>few-shot</w:t>
      </w:r>
      <w:r>
        <w:t xml:space="preserve"> examples yields +10.4 points on the fifteen-article corpus, without replicating on the larger corpus. The best local model reaches 81.47 % F1 on the news corpus and 90.16 % on the AML/KYC domain corpus, preserving confidentiality.</w:t>
      </w:r>
    </w:p>
    <w:p>
      <w:pPr>
        <w:numPr>
          <w:ilvl w:val="0"/>
          <w:numId w:val="0"/>
        </w:numPr>
        <w:pStyle w:val="keywords"/>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numbereditem"/>
      </w:pPr>
      <w:r>
        <w:t>Introducción</w:t>
      </w:r>
    </w:p>
    <w:p>
      <w:pPr>
        <w:numPr>
          <w:ilvl w:val="0"/>
          <w:numId w:val="0"/>
        </w:numPr>
        <w:pStyle w:val="numbereditem"/>
      </w:pPr>
      <w:r>
        <w:t>Marco teórico y estado del arte</w:t>
      </w:r>
    </w:p>
    <w:p>
      <w:pPr>
        <w:numPr>
          <w:ilvl w:val="0"/>
          <w:numId w:val="0"/>
        </w:numPr>
        <w:pStyle w:val="numbereditem"/>
      </w:pPr>
      <w:r>
        <w:t>Descripción del sistema propuesto</w:t>
      </w:r>
    </w:p>
    <w:p>
      <w:pPr>
        <w:numPr>
          <w:ilvl w:val="0"/>
          <w:numId w:val="0"/>
        </w:numPr>
        <w:pStyle w:val="numbereditem"/>
      </w:pPr>
      <w:r>
        <w:t>Diseño experimental</w:t>
      </w:r>
    </w:p>
    <w:p>
      <w:pPr>
        <w:numPr>
          <w:ilvl w:val="0"/>
          <w:numId w:val="0"/>
        </w:numPr>
        <w:pStyle w:val="numbereditem"/>
      </w:pPr>
      <w:r>
        <w:t>Resultados experimentales</w:t>
      </w:r>
    </w:p>
    <w:p>
      <w:pPr>
        <w:numPr>
          <w:ilvl w:val="0"/>
          <w:numId w:val="0"/>
        </w:numPr>
        <w:pStyle w:val="numbereditem"/>
      </w:pPr>
      <w:r>
        <w:t>Discusión de los resultados</w:t>
      </w:r>
    </w:p>
    <w:p>
      <w:pPr>
        <w:numPr>
          <w:ilvl w:val="0"/>
          <w:numId w:val="0"/>
        </w:numPr>
        <w:pStyle w:val="numbereditem"/>
      </w:pPr>
      <w:r>
        <w:t>Conclusiones y trabajo futuro</w:t>
      </w:r>
    </w:p>
    <w:p>
      <w:pPr>
        <w:numPr>
          <w:ilvl w:val="0"/>
          <w:numId w:val="0"/>
        </w:numPr>
        <w:pStyle w:val="bulletitem"/>
      </w:pPr>
      <w:r>
        <w:t>Referencias</w:t>
      </w:r>
    </w:p>
    <w:p>
      <w:pPr>
        <w:numPr>
          <w:ilvl w:val="0"/>
          <w:numId w:val="0"/>
        </w:numPr>
        <w:pStyle w:val="bulletitem"/>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p1a"/>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[22]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estimado a partir del proceso vigente en Austranet, asciende a unos USD 8,75 por artículo analizado (el detalle del cálculo se expone en §5.5). A nivel global, según Verified Market Research el mercado de RegTech se valoró en USD 15,68 mil millones en 2020 y se proyecta que alcance USD 87,17 mil millones hacia 2028, con una CAGR del 23,92 % durante 2021-2028, evidenciando la urgencia de soluciones automatizadas y escalables [21].</w:t>
      </w:r>
    </w:p>
    <w:p>
      <w:pPr>
        <w:numPr>
          <w:ilvl w:val="0"/>
          <w:numId w:val="0"/>
        </w:numPr>
        <w:pStyle w:val="Normal"/>
      </w:pPr>
      <w:r>
        <w:t xml:space="preserve">Dos rasgos del problema explican por qué no basta con una solución puntual. El primero es que la referencia contra la que se coteja </w:t>
      </w:r>
      <w:r>
        <w:rPr>
          <w:b/>
        </w:rPr>
        <w:t>cambia constantemente</w:t>
      </w:r>
      <w:r>
        <w:t>: la lista de Nacionales Especialmente Designados del Departamento del Tesoro de los Estados Unidos [19], que es la fuente empleada en este trabajo, incorpora y retira designaciones cada pocos días, de modo que un sistema que memorice nombres queda desactualizado por construcción y la vigilancia tiene que ser un proceso continuo y no una carga inicial. El segundo es la asimetría del error: una mención pasada por alto puede materializarse en el ingreso de un sujeto sancionado a la cartera, con consecuencias regulatorias y reputacionales que la Ley N.º 19.913 [22] atribuye a la propia institución, mientras que un falso positivo solo cuesta el tiempo del analista que lo descarta. Esa asimetría orienta todo el diseño hacia la exhaustividad, y es la razón por la que las tasas de alucinación se miden aquí con tanto detalle como el acierto.</w:t>
      </w:r>
    </w:p>
    <w:p>
      <w:pPr>
        <w:numPr>
          <w:ilvl w:val="0"/>
          <w:numId w:val="0"/>
        </w:numPr>
        <w:pStyle w:val="heading2"/>
      </w:pPr>
      <w:r>
        <w:t>1.2 Planteamiento del Problema</w:t>
      </w:r>
    </w:p>
    <w:p>
      <w:pPr>
        <w:numPr>
          <w:ilvl w:val="0"/>
          <w:numId w:val="0"/>
        </w:numPr>
        <w:pStyle w:val="p1a"/>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[2] alcanzan el mejor desempeño publicado [7], [15], pero requieren miles de ejemplos etiquetados en el dominio objetivo, inexistentes en español para cumplimiento financiero.</w:t>
      </w:r>
    </w:p>
    <w:p>
      <w:pPr>
        <w:numPr>
          <w:ilvl w:val="0"/>
          <w:numId w:val="0"/>
        </w:numPr>
        <w:pStyle w:val="Normal"/>
      </w:pPr>
      <w:r>
        <w:t>La carencia de datos etiquetados no es una suposición de partida sino una constatación de este trabajo. Al construir el material de evaluación no se encontró ningún corpus de cumplimiento financiero anotado en español, y hubo que componerlo combinando quince artículos de un conjunto europeo sobre corrupción, que están en inglés, con ciento cinco artículos de un corpus periodístico general español. Esa composición no es un atajo: es la mejor aproximación disponible, y sus consecuencias sobre la interpretación de los resultados se discuten en §4.1 y en el capítulo 6.</w:t>
      </w:r>
    </w:p>
    <w:p>
      <w:pPr>
        <w:numPr>
          <w:ilvl w:val="0"/>
          <w:numId w:val="0"/>
        </w:numPr>
        <w:pStyle w:val="Normal"/>
      </w:pPr>
      <w:r>
        <w:t>A la carencia de datos se suma una dificultad de medición que el planteamiento no puede dar por resuelta. Evaluar extracción de entidades exige decidir cuándo dos cadenas designan la misma entidad, y esa decisión no es binaria: entre «Isabel dos Santos» y «Isabel dos Santos, hija del expresidente» hay una diferencia que un cotejo literal penalizaría y un analista no. El trabajo adopta por ello un emparejamiento aproximado cuyo umbral, sus límites y los sesgos que introduce se documentan en §3.3, porque de esa elección dependen todas las cifras que siguen.</w:t>
      </w:r>
    </w:p>
    <w:p>
      <w:pPr>
        <w:numPr>
          <w:ilvl w:val="0"/>
          <w:numId w:val="0"/>
        </w:numPr>
        <w:pStyle w:val="Normal"/>
      </w:pPr>
      <w:r>
        <w:t>La brecha que este trabajo aborda se sitúa precisamente en esa intersección vacía: obtener un desempeño aprovechable sin datos etiquetados del dominio, sin ceder los datos a un tercero y con una medición cuyos límites estén declarados.</w:t>
      </w:r>
    </w:p>
    <w:p>
      <w:pPr>
        <w:numPr>
          <w:ilvl w:val="0"/>
          <w:numId w:val="0"/>
        </w:numPr>
        <w:pStyle w:val="heading2"/>
      </w:pPr>
      <w:r>
        <w:t>1.3 Hipótesis de Trabajo</w:t>
      </w:r>
    </w:p>
    <w:p>
      <w:pPr>
        <w:numPr>
          <w:ilvl w:val="0"/>
          <w:numId w:val="0"/>
        </w:numPr>
        <w:pStyle w:val="p1a"/>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p1a"/>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numbereditem"/>
      </w:pPr>
      <w:r>
        <w:t>Diseñar e implementar una arquitectura pub/sub multithreading con control adaptativo de concurrencia para la ejecución segura de LLMs de gran escala en hardware Apple Silicon.</w:t>
      </w:r>
    </w:p>
    <w:p>
      <w:pPr>
        <w:numPr>
          <w:ilvl w:val="0"/>
          <w:numId w:val="0"/>
        </w:numPr>
        <w:pStyle w:val="numbereditem"/>
      </w:pPr>
      <w:r>
        <w:t xml:space="preserve">Evaluar y comparar el desempeño de modelos de lenguaje de código abierto generativos (familias Gemma, Llama, DeepSeek, Qwen, Mistral, GPT-OSS, Nemotron) en la tarea de NER sobre corpus de sanciones financieras en inglés y de noticias en español: </w:t>
      </w:r>
      <w:r>
        <w:rPr>
          <w:b/>
        </w:rPr>
        <w:t>12 modelos</w:t>
      </w:r>
      <w:r>
        <w:t xml:space="preserve"> en el benchmark exploratorio N=15 (§5.1) y </w:t>
      </w:r>
      <w:r>
        <w:rPr>
          <w:b/>
        </w:rPr>
        <w:t>13 modelos</w:t>
      </w:r>
      <w:r>
        <w:t xml:space="preserve"> en el estudio principal N=120 con KB RAG (§5.3.1).</w:t>
      </w:r>
    </w:p>
    <w:p>
      <w:pPr>
        <w:numPr>
          <w:ilvl w:val="0"/>
          <w:numId w:val="0"/>
        </w:numPr>
        <w:pStyle w:val="numbereditem"/>
      </w:pPr>
      <w:r>
        <w:t xml:space="preserve">Ejecutar una comparación sistemática de cuatro configuraciones de prompt (zero-shot/few-shot × inglés/español) (un diseño factorial 2×2, habitualmente llamado </w:t>
      </w:r>
      <w:r>
        <w:rPr>
          <w:i/>
        </w:rPr>
        <w:t>ablation study</w:t>
      </w:r>
      <w:r>
        <w:t xml:space="preserve"> en la bibliografía en inglés) para cuantificar el impacto de la localización lingüística y el aprendizaje en contexto.</w:t>
      </w:r>
    </w:p>
    <w:p>
      <w:pPr>
        <w:numPr>
          <w:ilvl w:val="0"/>
          <w:numId w:val="0"/>
        </w:numPr>
        <w:pStyle w:val="numbereditem"/>
      </w:pPr>
      <w:r>
        <w:t>Validar estadísticamente los resultados mediante ANOVA de una vía y pruebas post-hoc de Tukey HSD (α=0.05) sobre un corpus estadísticamente significativo (N≥30).</w:t>
      </w:r>
    </w:p>
    <w:p>
      <w:pPr>
        <w:numPr>
          <w:ilvl w:val="0"/>
          <w:numId w:val="0"/>
        </w:numPr>
        <w:pStyle w:val="numbereditem"/>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p1a"/>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p1a"/>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p1a"/>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p1a"/>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[19] y de personas expuestas políticamente [38].</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El criterio de coincidencia entre lo extraído y la referencia también admite alternativas. La más estricta exige coincidencia </w:t>
      </w:r>
      <w:r>
        <w:rPr>
          <w:b/>
        </w:rPr>
        <w:t>exacta</w:t>
      </w:r>
      <w:r>
        <w:t xml:space="preserve"> de la cadena, lo que penaliza como error cualquier diferencia de acentuación o de un carácter. Una alternativa </w:t>
      </w:r>
      <w:r>
        <w:rPr>
          <w:b/>
        </w:rPr>
        <w:t>basada en tokens</w:t>
      </w:r>
      <w:r>
        <w:t xml:space="preserve"> (como la superposición de conjuntos de palabras, usada en tareas de resumen automático) tolera el orden pero no distingue variantes de un mismo token. Este trabajo adopta en su lugar el emparejamiento </w:t>
      </w:r>
      <w:r>
        <w:rPr>
          <w:b/>
        </w:rPr>
        <w:t>difuso a nivel de caracteres</w:t>
      </w:r>
      <w:r>
        <w:t xml:space="preserve">, mediante la </w:t>
      </w:r>
      <w:r>
        <w:rPr>
          <w:b/>
        </w:rPr>
        <w:t>distancia de Indel</w:t>
      </w:r>
      <w:r>
        <w:t xml:space="preserve"> —el número mínimo de inserciones y supresiones para transformar una cadena en otra, variante de la distancia de Levenshtein que excluye las sustituciones—, normalizada a una escala de similitud; tolera variaciones menores de forma (tildes, mayúsculas, un carácter de más) sin premiar coincidencias espurias, a costa de ser sensible al orden de las palabras. El compromiso concreto se detalla en §3.3.</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[10], [17]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[24]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[23]) constituyen el estado del arte académico. Partiendo de un modelo pre-entrenado, un ajuste fino alcanza 88,43 % de F1 en español sobre CoNLL-2002 con un codificador monolingüe [7], y 82,1 % de micro-F1 sobre FiNER-139, un corpus financiero en inglés cuya tarea es etiquetar magnitudes según la taxonomía XBRL y no identificar personas y organizaciones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 La Tabla 1 las compara frente a los criterios de selección.</w:t>
      </w:r>
    </w:p>
    <w:p>
      <w:pPr>
        <w:numPr>
          <w:ilvl w:val="0"/>
          <w:numId w:val="0"/>
        </w:numPr>
        <w:pStyle w:val="tablecaption"/>
      </w:pPr>
      <w:r>
        <w:t>Tabla 1. Familias de técnicas para el reconocimiento de entidades y su comportamiento frente a los criterios de selección</w:t>
      </w:r>
    </w:p>
    <w:tbl>
      <w:tblPr>
        <w:tblStyle w:val="Table"/>
        <w:tblW w:type="dxa" w:w="8838"/>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p1a"/>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p1a"/>
      </w:pPr>
      <w:r>
        <w:t>La Generación Aumentada por Recuperación (RAG) [1] fundamenta la generación en información recuperada en tiempo de consulta, en lugar de confiarla exclusivamente a los pesos del modelo; la práctica de diseño de estos sistemas está recogida con detalle en la literatura técnica [5].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extremo que este trabajo comprueba empíricamente en §5.6,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[9],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La recuperación en ambas variantes depende de un mecanismo común: los </w:t>
      </w:r>
      <w:r>
        <w:rPr>
          <w:b/>
        </w:rPr>
        <w:t>embeddings</w:t>
      </w:r>
      <w:r>
        <w:t xml:space="preserve">, representaciones vectoriales de longitud fija que un modelo aprende de modo que textos semánticamente próximos queden cerca en ese espacio, incluso sin compartir palabras exactas. Buscar lo más relevante para un artículo se reduce entonces a una búsqueda por vecino más próximo, mucho más barata que comparar el texto completo contra cada candidato. Las </w:t>
      </w:r>
      <w:r>
        <w:rPr>
          <w:b/>
        </w:rPr>
        <w:t>bases de datos vectoriales</w:t>
      </w:r>
      <w:r>
        <w:t xml:space="preserve"> (ChromaDB [32] en este trabajo) indexan esos vectores para hacer esa búsqueda eficiente incluso con miles de documentos candidatos, y son el componente que hace viable el RAG a la escala de este estudio.</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[30],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[30] ofrece el motor de inferencia cuantizada de referencia pero exige gestión manual de modelos; </w:t>
      </w:r>
      <w:r>
        <w:rPr>
          <w:b/>
        </w:rPr>
        <w:t>vLLM</w:t>
      </w:r>
      <w:r>
        <w:t xml:space="preserve"> [28]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[31] aprovecha específicamente la memoria unificada de Apple Silicon; y </w:t>
      </w:r>
      <w:r>
        <w:rPr>
          <w:b/>
        </w:rPr>
        <w:t>Ollama</w:t>
      </w:r>
      <w:r>
        <w:t xml:space="preserve"> [29]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Arquitectura de ejecución concurrente y aislamiento de proveedores</w:t>
      </w:r>
    </w:p>
    <w:p>
      <w:pPr>
        <w:numPr>
          <w:ilvl w:val="0"/>
          <w:numId w:val="0"/>
        </w:numPr>
        <w:pStyle w:val="p1a"/>
      </w:pPr>
      <w:r>
        <w:t>La ejecución masiva de modelos locales plantea un problema de ingeniería distinto del NER en sí: cómo paralelizar la inferencia sin saturar el servicio ni desperdiciar capacidad, y cómo hacerlo sin atar el sistema a un proveedor concreto. Tres decisiones de diseño lo resuelven, cada una comparada aquí contra su alternativa más directa.</w:t>
      </w:r>
    </w:p>
    <w:p>
      <w:pPr>
        <w:numPr>
          <w:ilvl w:val="0"/>
          <w:numId w:val="0"/>
        </w:numPr>
        <w:pStyle w:val="Normal"/>
      </w:pPr>
      <w:r>
        <w:t xml:space="preserve">La primera es de desacoplamiento entre productor y consumidor. Un pipeline síncrono —procesar un artículo, esperar su respuesta, tomar el siguiente— ata el rendimiento a la latencia del modelo más lento y no permite variar el paralelismo sin reescribir el flujo de control. La arquitectura </w:t>
      </w:r>
      <w:r>
        <w:rPr>
          <w:b/>
        </w:rPr>
        <w:t>publicador/suscriptor</w:t>
      </w:r>
      <w:r>
        <w:t xml:space="preserve"> (pub/sub) resuelve esto separando la ingesta de artículos, que los deposita en una cola, de su consumo, a cargo de un número variable de trabajadores suscritos a ella; ni el productor necesita saber cuántos consumidores hay, ni éstos necesitan conocerse entre sí, lo que permite ajustar su número en tiempo de ejecución sin tocar el productor.</w:t>
      </w:r>
    </w:p>
    <w:p>
      <w:pPr>
        <w:numPr>
          <w:ilvl w:val="0"/>
          <w:numId w:val="0"/>
        </w:numPr>
        <w:pStyle w:val="Normal"/>
      </w:pPr>
      <w:r>
        <w:t xml:space="preserve">La segunda es cuántos consumidores mantener activos. Un número </w:t>
      </w:r>
      <w:r>
        <w:rPr>
          <w:b/>
        </w:rPr>
        <w:t>fijo</w:t>
      </w:r>
      <w:r>
        <w:t xml:space="preserve">, decidido de antemano, es simple pero arriesga dos fallos simétricos: por debajo del óptimo desperdicia capacidad, y por encima satura el servicio con reintentos y respuestas truncadas. Un ajuste </w:t>
      </w:r>
      <w:r>
        <w:rPr>
          <w:b/>
        </w:rPr>
        <w:t>multiplicativo en ambos sentidos</w:t>
      </w:r>
      <w:r>
        <w:t xml:space="preserve"> (duplicar al crecer, reducir a la mitad al fallar) reacciona rápido pero tiende a oscilar sin asentarse. Este trabajo adopta en su lugar </w:t>
      </w:r>
      <w:r>
        <w:rPr>
          <w:b/>
        </w:rPr>
        <w:t>AIMD</w:t>
      </w:r>
      <w:r>
        <w:t xml:space="preserve"> (</w:t>
      </w:r>
      <w:r>
        <w:rPr>
          <w:i/>
        </w:rPr>
        <w:t>Additive Increase, Multiplicative Decrease</w:t>
      </w:r>
      <w:r>
        <w:t>), la política que sostiene el control de congestión en TCP [26]: crecer de a uno mientras el sistema permanece estable y recortar a la mitad ante la primera señal de saturación. Chiu y Jain demuestran que, de las cuatro combinaciones posibles entre incremento y decremento aditivo o multiplicativo, solo esta converge de forma estable y equitativa hacia el punto de operación máximo sostenible sin necesitar conocerlo de antemano [26]: el crecimiento lento explora el margen disponible mientras el recorte agresivo responde con margen de sobra ante el primer signo de exceso.</w:t>
      </w:r>
    </w:p>
    <w:p>
      <w:pPr>
        <w:numPr>
          <w:ilvl w:val="0"/>
          <w:numId w:val="0"/>
        </w:numPr>
        <w:pStyle w:val="Normal"/>
      </w:pPr>
      <w:r>
        <w:t xml:space="preserve">La tercera es cómo aislar el sistema de las diferencias entre proveedores de inferencia (Ollama local, OpenAI, Anthropic), que exponen APIs, formatos de error y modelos de autenticación distintos entre sí. Ramificar el código llamador según el proveedor acopla toda decisión futura de añadir o sustituir uno a cada punto de llamada. Los patrones de diseño </w:t>
      </w:r>
      <w:r>
        <w:rPr>
          <w:b/>
        </w:rPr>
        <w:t>Factory</w:t>
      </w:r>
      <w:r>
        <w:t xml:space="preserve"> y </w:t>
      </w:r>
      <w:r>
        <w:rPr>
          <w:b/>
        </w:rPr>
        <w:t>Facade</w:t>
      </w:r>
      <w:r>
        <w:t xml:space="preserve"> evitan ese acoplamiento: el primero centraliza la construcción del proveedor correcto a partir de su nombre, y el segundo expone una interfaz uniforme que oculta tras ella las diferencias de implementación. El efecto conjunto es que sustituir un proveedor, o añadir uno nuevo, no exige tocar ningún código que ya consuma la interfaz — la condición que hace posible el criterio C2 de soberanía intercambiable.</w:t>
      </w:r>
    </w:p>
    <w:p>
      <w:pPr>
        <w:numPr>
          <w:ilvl w:val="0"/>
          <w:numId w:val="0"/>
        </w:numPr>
        <w:pStyle w:val="heading2"/>
      </w:pPr>
      <w:r>
        <w:t>2.5 Validación estadística de comparaciones múltiples</w:t>
      </w:r>
    </w:p>
    <w:p>
      <w:pPr>
        <w:numPr>
          <w:ilvl w:val="0"/>
          <w:numId w:val="0"/>
        </w:numPr>
        <w:pStyle w:val="p1a"/>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[25]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El ANOVA supone además que las observaciones son independientes entre sí y que la varianza es homogénea entre grupos (</w:t>
      </w:r>
      <w:r>
        <w:rPr>
          <w:b/>
        </w:rPr>
        <w:t>homocedasticidad</w:t>
      </w:r>
      <w:r>
        <w:t xml:space="preserve">). Cuando el mismo conjunto de artículos se evalúa bajo distintas condiciones, como ocurre en este trabajo, esa independencia no se cumple: las observaciones están apareadas, y el diseño estrictamente correcto es de </w:t>
      </w:r>
      <w:r>
        <w:rPr>
          <w:b/>
        </w:rPr>
        <w:t>medidas repetidas</w:t>
      </w:r>
      <w:r>
        <w:t xml:space="preserve">. La prueba no paramétrica de </w:t>
      </w:r>
      <w:r>
        <w:rPr>
          <w:b/>
        </w:rPr>
        <w:t>Friedman</w:t>
      </w:r>
      <w:r>
        <w:t xml:space="preserve"> es su análogo cuando no puede asumirse normalidad, y sirve como control de robustez frente al ANOVA cuando el apareamiento se ignora. La homocedasticidad, por su parte, se contrasta con la prueba de </w:t>
      </w:r>
      <w:r>
        <w:rPr>
          <w:b/>
        </w:rPr>
        <w:t>Levene</w:t>
      </w:r>
      <w:r>
        <w:t>, en su variante centrada en la mediana (Brown-Forsythe), más robusta que la centrada en la media ante distribuciones asimétricas; su incumplimiento no invalida el ANOVA por sí solo en diseños balanceados, pero refuerza la conveniencia de una prueba de medidas repetidas.</w:t>
      </w:r>
    </w:p>
    <w:p>
      <w:pPr>
        <w:numPr>
          <w:ilvl w:val="0"/>
          <w:numId w:val="0"/>
        </w:numPr>
        <w:pStyle w:val="Normal"/>
      </w:pPr>
      <w:r>
        <w:t xml:space="preserve">Además de si dos medias difieren, interesa a veces si dos variables covarían: si el beneficio de una técnica crece o decrece, por ejemplo, con la capacidad del modelo. El coeficiente de </w:t>
      </w:r>
      <w:r>
        <w:rPr>
          <w:b/>
        </w:rPr>
        <w:t>Pearson</w:t>
      </w:r>
      <w:r>
        <w:t xml:space="preserve"> mide la asociación lineal y es sensible a valores atípicos; el de </w:t>
      </w:r>
      <w:r>
        <w:rPr>
          <w:b/>
        </w:rPr>
        <w:t>Spearman</w:t>
      </w:r>
      <w:r>
        <w:t>, calculado sobre los rangos y no sobre los valores, es más robusto a esas anomalías pero solo capta relaciones monótonas, no necesariamente lineales. Reportar ambos permite distinguir si una asociación aparente depende de la forma de la relación o de unos pocos casos extremos que un solo coeficiente no dejaría ver.</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2.6 Estado del arte y criterios de selección</w:t>
      </w:r>
    </w:p>
    <w:p>
      <w:pPr>
        <w:numPr>
          <w:ilvl w:val="0"/>
          <w:numId w:val="0"/>
        </w:numPr>
        <w:pStyle w:val="p1a"/>
      </w:pPr>
      <w:r>
        <w:t>La Tabla 2 posiciona este trabajo respecto de investigaciones recientes en NER para dominios financieros y regulatorios.</w:t>
      </w:r>
    </w:p>
    <w:p>
      <w:pPr>
        <w:numPr>
          <w:ilvl w:val="0"/>
          <w:numId w:val="0"/>
        </w:numPr>
        <w:pStyle w:val="tablecaption"/>
      </w:pPr>
      <w:r>
        <w:t>Tabla 2. Estado del arte en reconocimiento de entidades para dominios financieros y regulatorios</w:t>
      </w:r>
    </w:p>
    <w:tbl>
      <w:tblPr>
        <w:tblStyle w:val="Table"/>
        <w:tblW w:type="dxa" w:w="8838"/>
        <w:tblLayout w:type="fixed"/>
        <w:tblLook w:firstRow="1" w:lastRow="0" w:firstColumn="0" w:lastColumn="0" w:noHBand="0" w:noVBand="0" w:val="0020"/>
      </w:tblPr>
      <w:tblGrid>
        <w:gridCol w:w="1295"/>
        <w:gridCol w:w="2376"/>
        <w:gridCol w:w="1523"/>
        <w:gridCol w:w="1447"/>
        <w:gridCol w:w="900"/>
        <w:gridCol w:w="1297"/>
      </w:tblGrid>
      <w:tr>
        <w:trPr>
          <w:tblHeader w:val="on"/>
        </w:trPr>
        <w:tc>
          <w:tcPr>
            <w:tcW w:type="dxa" w:w="1295"/>
          </w:tcPr>
          <w:p>
            <w:pPr>
              <w:pStyle w:val="Compact"/>
              <w:jc w:val="left"/>
            </w:pPr>
            <w:r>
              <w:rPr>
                <w:b/>
              </w:rPr>
              <w:t>Trabajo</w:t>
            </w:r>
          </w:p>
        </w:tc>
        <w:tc>
          <w:tcPr>
            <w:tcW w:type="dxa" w:w="2376"/>
          </w:tcPr>
          <w:p>
            <w:pPr>
              <w:pStyle w:val="Compact"/>
              <w:jc w:val="left"/>
            </w:pPr>
            <w:r>
              <w:rPr>
                <w:b/>
              </w:rPr>
              <w:t>Dataset</w:t>
            </w:r>
          </w:p>
        </w:tc>
        <w:tc>
          <w:tcPr>
            <w:tcW w:type="dxa" w:w="1523"/>
          </w:tcPr>
          <w:p>
            <w:pPr>
              <w:pStyle w:val="Compact"/>
              <w:jc w:val="left"/>
            </w:pPr>
            <w:r>
              <w:rPr>
                <w:b/>
              </w:rPr>
              <w:t>Modelo</w:t>
            </w:r>
          </w:p>
        </w:tc>
        <w:tc>
          <w:tcPr>
            <w:tcW w:type="dxa" w:w="1447"/>
          </w:tcPr>
          <w:p>
            <w:pPr>
              <w:pStyle w:val="Compact"/>
              <w:jc w:val="center"/>
            </w:pPr>
            <w:r>
              <w:rPr>
                <w:b/>
              </w:rPr>
              <w:t>Desempeño publicado</w:t>
            </w:r>
          </w:p>
        </w:tc>
        <w:tc>
          <w:tcPr>
            <w:tcW w:type="dxa" w:w="900"/>
          </w:tcPr>
          <w:p>
            <w:pPr>
              <w:pStyle w:val="Compact"/>
              <w:jc w:val="center"/>
            </w:pPr>
            <w:r>
              <w:rPr>
                <w:b/>
              </w:rPr>
              <w:t>Privacidad</w:t>
            </w:r>
          </w:p>
        </w:tc>
        <w:tc>
          <w:tcPr>
            <w:tcW w:type="dxa" w:w="1297"/>
          </w:tcPr>
          <w:p>
            <w:pPr>
              <w:pStyle w:val="Compact"/>
              <w:jc w:val="left"/>
            </w:pPr>
            <w:r>
              <w:rPr>
                <w:b/>
              </w:rPr>
              <w:t>Idioma</w:t>
            </w:r>
          </w:p>
        </w:tc>
      </w:tr>
      <w:tr>
        <w:tc>
          <w:tcPr>
            <w:tcW w:type="dxa" w:w="1295"/>
          </w:tcPr>
          <w:p>
            <w:pPr>
              <w:pStyle w:val="Compact"/>
              <w:jc w:val="left"/>
            </w:pPr>
            <w:r>
              <w:rPr>
                <w:b w:val="0"/>
              </w:rPr>
              <w:t>BloombergGPT [3]</w:t>
            </w:r>
          </w:p>
        </w:tc>
        <w:tc>
          <w:tcPr>
            <w:tcW w:type="dxa" w:w="2376"/>
          </w:tcPr>
          <w:p>
            <w:pPr>
              <w:pStyle w:val="Compact"/>
              <w:jc w:val="left"/>
            </w:pPr>
            <w:r>
              <w:rPr>
                <w:b w:val="0"/>
              </w:rPr>
              <w:t>Corpus financiero propio</w:t>
            </w:r>
          </w:p>
        </w:tc>
        <w:tc>
          <w:tcPr>
            <w:tcW w:type="dxa" w:w="1523"/>
          </w:tcPr>
          <w:p>
            <w:pPr>
              <w:pStyle w:val="Compact"/>
              <w:jc w:val="left"/>
            </w:pPr>
            <w:r>
              <w:rPr>
                <w:b w:val="0"/>
              </w:rPr>
              <w:t>BLOOM 50B + dominio</w:t>
            </w:r>
          </w:p>
        </w:tc>
        <w:tc>
          <w:tcPr>
            <w:tcW w:type="dxa" w:w="1447"/>
          </w:tcPr>
          <w:p>
            <w:pPr>
              <w:pStyle w:val="Compact"/>
              <w:jc w:val="center"/>
            </w:pPr>
            <w:r>
              <w:rPr>
                <w:b w:val="0"/>
              </w:rPr>
              <w:t>53,6-75,5 % F1</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val="0"/>
              </w:rPr>
              <w:t>FiNER-139 [15]</w:t>
            </w:r>
          </w:p>
        </w:tc>
        <w:tc>
          <w:tcPr>
            <w:tcW w:type="dxa" w:w="2376"/>
          </w:tcPr>
          <w:p>
            <w:pPr>
              <w:pStyle w:val="Compact"/>
              <w:jc w:val="left"/>
            </w:pPr>
            <w:r>
              <w:rPr>
                <w:b w:val="0"/>
              </w:rPr>
              <w:t>SEC 10-K/10-Q (etiquetado XBRL)</w:t>
            </w:r>
          </w:p>
        </w:tc>
        <w:tc>
          <w:tcPr>
            <w:tcW w:type="dxa" w:w="1523"/>
          </w:tcPr>
          <w:p>
            <w:pPr>
              <w:pStyle w:val="Compact"/>
              <w:jc w:val="left"/>
            </w:pPr>
            <w:r>
              <w:rPr>
                <w:b w:val="0"/>
              </w:rPr>
              <w:t>SEC-BERT-SHAPE</w:t>
            </w:r>
          </w:p>
        </w:tc>
        <w:tc>
          <w:tcPr>
            <w:tcW w:type="dxa" w:w="1447"/>
          </w:tcPr>
          <w:p>
            <w:pPr>
              <w:pStyle w:val="Compact"/>
              <w:jc w:val="center"/>
            </w:pPr>
            <w:r>
              <w:rPr>
                <w:b w:val="0"/>
              </w:rPr>
              <w:t>82,1 % micro-F1</w:t>
            </w:r>
          </w:p>
        </w:tc>
        <w:tc>
          <w:tcPr>
            <w:tcW w:type="dxa" w:w="900"/>
          </w:tcPr>
          <w:p>
            <w:pPr>
              <w:pStyle w:val="Compact"/>
              <w:jc w:val="center"/>
            </w:pPr>
            <w:r>
              <w:rPr>
                <w:b w:val="0"/>
              </w:rPr>
              <w:t>Local</w:t>
            </w:r>
          </w:p>
        </w:tc>
        <w:tc>
          <w:tcPr>
            <w:tcW w:type="dxa" w:w="1297"/>
          </w:tcPr>
          <w:p>
            <w:pPr>
              <w:pStyle w:val="Compact"/>
              <w:jc w:val="left"/>
            </w:pPr>
            <w:r>
              <w:rPr>
                <w:b w:val="0"/>
              </w:rPr>
              <w:t>Inglés</w:t>
            </w:r>
          </w:p>
        </w:tc>
      </w:tr>
      <w:tr>
        <w:tc>
          <w:tcPr>
            <w:tcW w:type="dxa" w:w="1295"/>
          </w:tcPr>
          <w:p>
            <w:pPr>
              <w:pStyle w:val="Compact"/>
              <w:jc w:val="left"/>
            </w:pPr>
            <w:r>
              <w:rPr>
                <w:b w:val="0"/>
              </w:rPr>
              <w:t>Cañete et al. [7]</w:t>
            </w:r>
          </w:p>
        </w:tc>
        <w:tc>
          <w:tcPr>
            <w:tcW w:type="dxa" w:w="2376"/>
          </w:tcPr>
          <w:p>
            <w:pPr>
              <w:pStyle w:val="Compact"/>
              <w:jc w:val="left"/>
            </w:pPr>
            <w:r>
              <w:rPr>
                <w:b w:val="0"/>
              </w:rPr>
              <w:t>CoNLL-2002 (ES)</w:t>
            </w:r>
          </w:p>
        </w:tc>
        <w:tc>
          <w:tcPr>
            <w:tcW w:type="dxa" w:w="1523"/>
          </w:tcPr>
          <w:p>
            <w:pPr>
              <w:pStyle w:val="Compact"/>
              <w:jc w:val="left"/>
            </w:pPr>
            <w:r>
              <w:rPr>
                <w:b w:val="0"/>
              </w:rPr>
              <w:t>BETO (BERT español)</w:t>
            </w:r>
          </w:p>
        </w:tc>
        <w:tc>
          <w:tcPr>
            <w:tcW w:type="dxa" w:w="1447"/>
          </w:tcPr>
          <w:p>
            <w:pPr>
              <w:pStyle w:val="Compact"/>
              <w:jc w:val="center"/>
            </w:pPr>
            <w:r>
              <w:rPr>
                <w:b w:val="0"/>
              </w:rPr>
              <w:t>88,43 % F1</w:t>
            </w:r>
          </w:p>
        </w:tc>
        <w:tc>
          <w:tcPr>
            <w:tcW w:type="dxa" w:w="900"/>
          </w:tcPr>
          <w:p>
            <w:pPr>
              <w:pStyle w:val="Compact"/>
              <w:jc w:val="center"/>
            </w:pPr>
            <w:r>
              <w:rPr>
                <w:b w:val="0"/>
              </w:rPr>
              <w:t>Local</w:t>
            </w:r>
          </w:p>
        </w:tc>
        <w:tc>
          <w:tcPr>
            <w:tcW w:type="dxa" w:w="1297"/>
          </w:tcPr>
          <w:p>
            <w:pPr>
              <w:pStyle w:val="Compact"/>
              <w:jc w:val="left"/>
            </w:pPr>
            <w:r>
              <w:rPr>
                <w:b w:val="0"/>
              </w:rPr>
              <w:t>Español</w:t>
            </w:r>
          </w:p>
        </w:tc>
      </w:tr>
      <w:tr>
        <w:tc>
          <w:tcPr>
            <w:tcW w:type="dxa" w:w="1295"/>
          </w:tcPr>
          <w:p>
            <w:pPr>
              <w:pStyle w:val="Compact"/>
              <w:jc w:val="left"/>
            </w:pPr>
            <w:r>
              <w:rPr>
                <w:b w:val="0"/>
              </w:rPr>
              <w:t>FinanceBench [9]</w:t>
            </w:r>
          </w:p>
        </w:tc>
        <w:tc>
          <w:tcPr>
            <w:tcW w:type="dxa" w:w="2376"/>
          </w:tcPr>
          <w:p>
            <w:pPr>
              <w:pStyle w:val="Compact"/>
              <w:jc w:val="left"/>
            </w:pPr>
            <w:r>
              <w:rPr>
                <w:b w:val="0"/>
              </w:rPr>
              <w:t>361 informes SEC</w:t>
            </w:r>
          </w:p>
        </w:tc>
        <w:tc>
          <w:tcPr>
            <w:tcW w:type="dxa" w:w="1523"/>
          </w:tcPr>
          <w:p>
            <w:pPr>
              <w:pStyle w:val="Compact"/>
              <w:jc w:val="left"/>
            </w:pPr>
            <w:r>
              <w:rPr>
                <w:b w:val="0"/>
              </w:rPr>
              <w:t>GPT-4-Turbo + RAG</w:t>
            </w:r>
          </w:p>
        </w:tc>
        <w:tc>
          <w:tcPr>
            <w:tcW w:type="dxa" w:w="1447"/>
          </w:tcPr>
          <w:p>
            <w:pPr>
              <w:pStyle w:val="Compact"/>
              <w:jc w:val="center"/>
            </w:pPr>
            <w:r>
              <w:rPr>
                <w:b w:val="0"/>
              </w:rPr>
              <w:t>50 % exactitud</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rPr>
              <w:t>Este trabajo</w:t>
            </w:r>
          </w:p>
        </w:tc>
        <w:tc>
          <w:tcPr>
            <w:tcW w:type="dxa" w:w="2376"/>
          </w:tcPr>
          <w:p>
            <w:pPr>
              <w:pStyle w:val="Compact"/>
              <w:jc w:val="left"/>
            </w:pPr>
            <w:r>
              <w:rPr>
                <w:b/>
              </w:rPr>
              <w:t>CoNLL-2002 y Kleptotrace (N=120)</w:t>
            </w:r>
          </w:p>
        </w:tc>
        <w:tc>
          <w:tcPr>
            <w:tcW w:type="dxa" w:w="1523"/>
          </w:tcPr>
          <w:p>
            <w:pPr>
              <w:pStyle w:val="Compact"/>
              <w:jc w:val="left"/>
            </w:pPr>
            <w:r>
              <w:rPr>
                <w:b/>
              </w:rPr>
              <w:t>gemma4:31b-mlx local</w:t>
            </w:r>
          </w:p>
        </w:tc>
        <w:tc>
          <w:tcPr>
            <w:tcW w:type="dxa" w:w="1447"/>
          </w:tcPr>
          <w:p>
            <w:pPr>
              <w:pStyle w:val="Compact"/>
              <w:jc w:val="center"/>
            </w:pPr>
            <w:r>
              <w:rPr>
                <w:b/>
              </w:rPr>
              <w:t>81,47 % F1</w:t>
            </w:r>
          </w:p>
        </w:tc>
        <w:tc>
          <w:tcPr>
            <w:tcW w:type="dxa" w:w="900"/>
          </w:tcPr>
          <w:p>
            <w:pPr>
              <w:pStyle w:val="Compact"/>
              <w:jc w:val="center"/>
            </w:pPr>
            <w:r>
              <w:rPr>
                <w:b/>
              </w:rPr>
              <w:t>100 % Local</w:t>
            </w:r>
          </w:p>
        </w:tc>
        <w:tc>
          <w:tcPr>
            <w:tcW w:type="dxa" w:w="1297"/>
          </w:tcPr>
          <w:p>
            <w:pPr>
              <w:pStyle w:val="Compact"/>
              <w:jc w:val="left"/>
            </w:pPr>
            <w:r>
              <w:rPr>
                <w:b/>
              </w:rPr>
              <w:t>Español (105/120)</w:t>
            </w:r>
          </w:p>
        </w:tc>
      </w:tr>
    </w:tbl>
    <w:p>
      <w:pPr>
        <w:numPr>
          <w:ilvl w:val="0"/>
          <w:numId w:val="0"/>
        </w:numPr>
        <w:pStyle w:val="Normal"/>
      </w:pPr>
      <w:r>
        <w:t>Las cifras de la columna de desempeño publicado no son directamente comparables entre sí, porque cada trabajo mide una tarea distinta: FiNER-139 etiqueta magnitudes numéricas según la taxonomía XBRL y FinanceBench evalúa exactitud de respuesta sobre preguntas abiertas, no identificación de personas y organizaciones. Aun así, 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p1a"/>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p1a"/>
      </w:pPr>
      <w:r>
        <w:t>El sistema se organiza en cinco capas funcionales con responsabilidades separadas, así que cada una pueda evolucionar sin arrastrar a las demás. La Tabla 3 las detalla con sus módulos y su cometido.</w:t>
      </w:r>
    </w:p>
    <w:p>
      <w:pPr>
        <w:numPr>
          <w:ilvl w:val="0"/>
          <w:numId w:val="0"/>
        </w:numPr>
        <w:pStyle w:val="tablecaption"/>
      </w:pPr>
      <w:r>
        <w:t>Tabla 3. Arquitectura del sistema por capas, con sus módulos y su detalle técnico</w:t>
      </w:r>
    </w:p>
    <w:tbl>
      <w:tblPr>
        <w:tblStyle w:val="Table"/>
        <w:tblW w:type="dxa" w:w="8838"/>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contra el esquema FollowTheMoney [38]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aplicando los patrones </w:t>
      </w:r>
      <w:r>
        <w:rPr>
          <w:i/>
        </w:rPr>
        <w:t>Factory</w:t>
      </w:r>
      <w:r>
        <w:t xml:space="preserve"> y </w:t>
      </w:r>
      <w:r>
        <w:rPr>
          <w:i/>
        </w:rPr>
        <w:t>Facade</w:t>
      </w:r>
      <w:r>
        <w:t xml:space="preserve"> introducidos en §2.4 tras una interfaz común (</w:t>
      </w:r>
      <w:r>
        <w:t>LLMProvider</w:t>
      </w:r>
      <w:r>
        <w:t xml:space="preserve">, Anexo A.1). 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el controlador </w:t>
      </w:r>
      <w:r>
        <w:rPr>
          <w:b/>
        </w:rPr>
        <w:t>AIMD</w:t>
      </w:r>
      <w:r>
        <w:t xml:space="preserve"> introducido en §2.4 [26].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pero no reduce el footprint de uno solo, y esa distinción resultó decisiva. macOS expone en </w:t>
      </w:r>
      <w:r>
        <w:t>recommendedMaxWorkingSetSize</w:t>
      </w:r>
      <w:r>
        <w:t xml:space="preserve"> [36] el techo de memoria que la GPU puede ocupar sin degradar el rendimiento; medido sobre los equipos de prueba equivale al 75 % de la memoria unificada,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p1a"/>
      </w:pPr>
      <w:r>
        <w:t xml:space="preserve">La comparación entre lo extraído y la anotación de referencia no puede ser literal, porque una diferencia de puntuación o un artículo antepuesto invalidarían una extracción correcta. El evaluador emplea por ello el emparejamiento difuso introducido en §2.1, implementado con la función </w:t>
      </w:r>
      <w:r>
        <w:t>ratio</w:t>
      </w:r>
      <w:r>
        <w:t xml:space="preserve"> de la biblioteca </w:t>
      </w:r>
      <w:r>
        <w:rPr>
          <w:i/>
        </w:rPr>
        <w:t>rapidfuzz</w:t>
      </w:r>
      <w:r>
        <w:t xml:space="preserve"> [33], que normaliza la distancia de Indel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Normal"/>
      </w:pPr>
      <w:r>
        <w:t xml:space="preserve">Un tercer límite, de naturaleza distinta a los anteriores porque no procede del cotejo sino del diseño, ya está corregido y no afecta a ningún resultado vigente de este informe: se documenta aquí por integridad de la medición. Los prompts piden tres categorías de entidad —personas, organizaciones y </w:t>
      </w:r>
      <w:r>
        <w:rPr>
          <w:b/>
        </w:rPr>
        <w:t>localizaciones</w:t>
      </w:r>
      <w:r>
        <w:t xml:space="preserve">, esta última lugares geográficos, la tercera categoría de §2.1—, pero los registros con los que se tomó esta medida anotaban solo las dos primeras, por un defecto de la cadena de preparación de datos y no de la anotación de origen: CoNLL-2002 sí anota localizaciones. El evaluador, al puntuar las tres categorías, contabilizaba como falso positivo toda localización correctamente extraída, sin ninguna forma de acertar en ella —efecto exclusivamente de precisión, sin omisiones posibles—, lo que explica que el </w:t>
      </w:r>
      <w:r>
        <w:rPr>
          <w:b/>
        </w:rPr>
        <w:t>66,0 %</w:t>
      </w:r>
      <w:r>
        <w:t xml:space="preserve"> de los falsos positivos de aquel consolidado, 12 852 de 19 464, procedieran de esa categoría (la Figura 1 lo ilustra). El corpus vigente ya anota las localizaciones y la re-corrida que hoy sostiene la Tabla 7 (§5.3.1) mide ya las tres categorías; el detalle histórico y la medición restringida equivalente se conservan en el Anexo I.</w:t>
      </w:r>
    </w:p>
    <w:p>
      <w:pPr>
        <w:numPr>
          <w:ilvl w:val="0"/>
          <w:numId w:val="0"/>
        </w:numPr>
        <w:pStyle w:val="figurecaption"/>
        <w:jc w:val="center"/>
        <w:spacing w:lineRule="auto" w:line="240" w:before="120" w:after="60"/>
        <w:keepNext w:val="1"/>
      </w:pPr>
      <w:r>
        <w:drawing>
          <wp:inline xmlns:a="http://schemas.openxmlformats.org/drawingml/2006/main" xmlns:pic="http://schemas.openxmlformats.org/drawingml/2006/picture">
            <wp:extent cx="5612130" cy="1159663"/>
            <wp:docPr id="1" name="Picture 1"/>
            <wp:cNvGraphicFramePr>
              <a:graphicFrameLocks noChangeAspect="1"/>
            </wp:cNvGraphicFramePr>
            <a:graphic>
              <a:graphicData uri="http://schemas.openxmlformats.org/drawingml/2006/picture">
                <pic:pic>
                  <pic:nvPicPr>
                    <pic:cNvPr id="0" name="falsos-positivos.png"/>
                    <pic:cNvPicPr/>
                  </pic:nvPicPr>
                  <pic:blipFill>
                    <a:blip r:embed="rId16"/>
                    <a:stretch>
                      <a:fillRect/>
                    </a:stretch>
                  </pic:blipFill>
                  <pic:spPr>
                    <a:xfrm>
                      <a:off x="0" y="0"/>
                      <a:ext cx="5612130" cy="1159663"/>
                    </a:xfrm>
                    <a:prstGeom prst="rect"/>
                  </pic:spPr>
                </pic:pic>
              </a:graphicData>
            </a:graphic>
          </wp:inline>
        </w:drawing>
      </w:r>
    </w:p>
    <w:p>
      <w:pPr>
        <w:numPr>
          <w:ilvl w:val="0"/>
          <w:numId w:val="0"/>
        </w:numPr>
        <w:pStyle w:val="figurecaption"/>
      </w:pPr>
      <w:r>
        <w:t xml:space="preserve">Figura 1. Composición de los falsos positivos sobre el consolidado publicado (N=120, veintiséis grupos), previo a la corrección del corpus. Dos de cada tres procedían de una categoría que ese corpus no anotaba y en la que, por tanto, ningún modelo podía acertar; corregido antes de la re-corrida que hoy sostiene la Tabla 7 (§5.3.1). Elaboración propia a partir de </w:t>
      </w:r>
      <w:r>
        <w:t>results/COMPOSICION_FP_20260908/</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p1a"/>
      </w:pPr>
      <w:r>
        <w:t>Se utilizaron tres corpus complementarios:</w:t>
      </w:r>
    </w:p>
    <w:p>
      <w:pPr>
        <w:numPr>
          <w:ilvl w:val="0"/>
          <w:numId w:val="0"/>
        </w:numPr>
        <w:pStyle w:val="Normal"/>
      </w:pPr>
      <w:r>
        <w:t xml:space="preserve">Corpus 1 — Kleptotrace/CoNLL-2002 (N=15, Gold Standard) [18], [12]: 15 artículos periodísticos reales del conjunto </w:t>
      </w:r>
      <w:r>
        <w:rPr>
          <w:i/>
        </w:rPr>
        <w:t>Kleptotrace-micro-dataset</w:t>
      </w:r>
      <w:r>
        <w:t xml:space="preserve"> [18] sobre corrupción financiera, lavado de activos y sanciones internacionales, </w:t>
      </w:r>
      <w:r>
        <w:rPr>
          <w:b/>
        </w:rPr>
        <w:t>redactados en inglés</w:t>
      </w:r>
      <w:r>
        <w:t>. Anotados manualmente con entidades Personas (PER) y Organizaciones (ORG) como referencia; el corpus no anota localizaciones, lo que tiene consecuencias sobre la medición que se discuten en §3.3. Longitud promedio: ~4.833 caracteres por artículo (mediana 5.280; rango 725–8.813).</w:t>
      </w:r>
    </w:p>
    <w:p>
      <w:pPr>
        <w:numPr>
          <w:ilvl w:val="0"/>
          <w:numId w:val="0"/>
        </w:numPr>
        <w:pStyle w:val="Normal"/>
      </w:pPr>
      <w:r>
        <w:t xml:space="preserve">Corpus 2 — Kleptotrace/CoNLL-2002 Augmented (N=30, Corpus de Validación Estadística): 30 artículos breves </w:t>
      </w:r>
      <w:r>
        <w:rPr>
          <w:b/>
        </w:rPr>
        <w:t>en inglés</w:t>
      </w:r>
      <w:r>
        <w:t>,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Normal"/>
      </w:pPr>
      <w:r>
        <w:t>Corpus 3 — Real Balanceado (N=120, Estudio Principal) [12], [18]: 120 artículos reales, 105 en español y 15 en inglés, que amplían el corpus 1 con material adicional del corpus público CoNLL-2002 en español. Es el corpus del estudio principal, sin texto generado por LLM; su construcción se detalla en §4.1.2.</w:t>
      </w:r>
    </w:p>
    <w:p>
      <w:pPr>
        <w:numPr>
          <w:ilvl w:val="0"/>
          <w:numId w:val="0"/>
        </w:numPr>
        <w:pStyle w:val="heading4"/>
      </w:pPr>
      <w:r>
        <w:t>4.1.1 Generación y validez del corpus sintético N=30</w:t>
      </w:r>
    </w:p>
    <w:p>
      <w:pPr>
        <w:numPr>
          <w:ilvl w:val="0"/>
          <w:numId w:val="0"/>
        </w:numPr>
        <w:pStyle w:val="Normal"/>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la media muestral se aproxima a una distribución normal a medida que crece el número de observaciones independientes, y la práctica habitual sitúa en torno a treinta el tamaño a partir del cual esa aproximación se considera aceptable,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[19]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4"/>
      </w:pPr>
      <w:r>
        <w:t>4.1.2 Extensión a Corpus Real N=120 (Dataset Conmutable)</w:t>
      </w:r>
    </w:p>
    <w:p>
      <w:pPr>
        <w:numPr>
          <w:ilvl w:val="0"/>
          <w:numId w:val="0"/>
        </w:numPr>
        <w:pStyle w:val="Normal"/>
      </w:pPr>
      <w:r>
        <w:t xml:space="preserve">Tras la validación sobre el corpus sintético N=30 (§4.1.1–4.1.2), y como parte del cierre del proyecto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[18] con 105 artículos reales del corpus público CoNLL-2002 en español [12]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Normal"/>
      </w:pPr>
      <w:r>
        <w:t xml:space="preserve">La anotación de referencia de este corpus distingue tres categorías de entidad: Personas y Organizaciones, ya descritas para los corpus 1 y 2, y </w:t>
      </w:r>
      <w:r>
        <w:rPr>
          <w:b/>
        </w:rPr>
        <w:t>Localizaciones</w:t>
      </w:r>
      <w:r>
        <w:t xml:space="preserve">, que identifica lugares geográficos mencionados en el artículo, países, ciudades o sedes de organismos reguladores, relevantes para establecer la jurisdicción de un caso de cumplimiento normativo. La categoría importa porque el </w:t>
      </w:r>
      <w:r>
        <w:rPr>
          <w:i/>
        </w:rPr>
        <w:t>prompt</w:t>
      </w:r>
      <w:r>
        <w:t xml:space="preserve"> del sistema la solicita en los tres corpus (Anexo B) pero la anotación de referencia no siempre la recoge: los corpus 1 y 2 no la anotan en absoluto, y en este corpus 3 permaneció vacía por un defecto, ya corregido, de la cadena de preparación de datos, no de la anotación de origen de CoNLL-2002. El efecto sobre la medición y su corrección se detallan en §3.3.</w:t>
      </w:r>
    </w:p>
    <w:p>
      <w:pPr>
        <w:numPr>
          <w:ilvl w:val="0"/>
          <w:numId w:val="0"/>
        </w:numPr>
        <w:pStyle w:val="heading2"/>
      </w:pPr>
      <w:r>
        <w:t>4.2 Modelos evaluados</w:t>
      </w:r>
    </w:p>
    <w:p>
      <w:pPr>
        <w:numPr>
          <w:ilvl w:val="0"/>
          <w:numId w:val="0"/>
        </w:numPr>
        <w:pStyle w:val="p1a"/>
      </w:pPr>
      <w:r>
        <w:t xml:space="preserve">El trabajo comprende dos conjuntos de evaluación que no hay que confundir. El benchmark exploratorio de la Tabla 4 (§5.1) cubre doce modelos en trece configuraciones sobre N=15 en modo </w:t>
      </w:r>
      <w:r>
        <w:t>entities</w:t>
      </w:r>
      <w:r>
        <w:t xml:space="preserve"> (</w:t>
      </w:r>
      <w:r>
        <w:t>gemma4:latest</w:t>
      </w:r>
      <w:r>
        <w:t xml:space="preserve"> aparece dos veces, en sus variantes ZS-ES y FS-ES), mientras que el estudio principal (§5.3.1)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4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p1a"/>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habitualmente llamado </w:t>
      </w:r>
      <w:r>
        <w:rPr>
          <w:i/>
        </w:rPr>
        <w:t>ablation study</w:t>
      </w:r>
      <w:r>
        <w:t xml:space="preserve"> en la bibliografía en inglés. Las cuatro celdas son zero-shot en inglés, que actúa como referencia, zero-shot en español, few-shot en inglés y few-shot en español, empleando en los dos últimos dos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dos ejemplos empleados en la configuración few-shot en español cubren un caso con persona y organización y otro sin persona nombrada;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p1a"/>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el reloj de pared de cada artículo, desde que entra en la cola de trabajo hasta que su respuesta está lista. Conviene precisar qué incluye eso, porque no es tiempo de inferencia: al ejecutarse varios artículos en paralelo, la medida acumula la espera del registro mientras otros ocupan la GPU. Se comprueba en los propios datos, y de forma concluyente: multiplicando la latencia por el rendimiento en tokens por segundo se obtendrían los tokens generados, y en veinte de los veintiséis grupos ese producto supera el tope de salida configurado, en un caso por veintiún veces. La latencia </w:t>
      </w:r>
      <w:r>
        <w:rPr>
          <w:b/>
        </w:rPr>
        <w:t>no caracteriza al modelo</w:t>
      </w:r>
      <w:r>
        <w:t xml:space="preserve">, por tanto, sino al régimen de ejecución, y no es comparable entre filas ni siquiera dentro de una misma corrida, porque el controlador de concurrencia varía los consumidores mientras el barrido avanza.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 xml:space="preserve">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w:t>
      </w:r>
      <w:r>
        <w:rPr>
          <w:b/>
        </w:rPr>
        <w:t>dentro de cada artículo</w:t>
      </w:r>
      <w:r>
        <w:t xml:space="preserve"> y después se promedian entre artículos, de modo que cada artículo pesa lo mismo con independencia de cuántas entidades contenga. Esa es la </w:t>
      </w:r>
      <w:r>
        <w:rPr>
          <w:b/>
        </w:rPr>
        <w:t>única</w:t>
      </w:r>
      <w:r>
        <w:t xml:space="preserve"> convención de agregación que emplea este informe, tanto en las tablas de resultados como en los anexos y en las cifras del resumen: una agregación alternativa, que sumara aciertos y errores de todo el corpus antes de calcular la métrica, daría valores distintos —para el mejor modelo local sobre el corpus real, 62,67 % frente al 59,25 % que aquí se publica— y mezclarlas haría incomparables las cifras del texto con las de sus propias tablas.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[29], scikit-learn [34], statsmodels [35],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p1a"/>
      </w:pPr>
      <w:r>
        <w:t>La Tabla 4 presenta los resultados consolidados del benchmark completo agrupados por familia y tamaño de modelo:</w:t>
      </w:r>
    </w:p>
    <w:p>
      <w:pPr>
        <w:numPr>
          <w:ilvl w:val="0"/>
          <w:numId w:val="0"/>
        </w:numPr>
        <w:pStyle w:val="tablecaption"/>
      </w:pPr>
      <w:r>
        <w:t>Tabla 4. Benchmark exploratorio: doce modelos en trece configuraciones sobre el corpus de quince artículos (N=15)</w:t>
      </w:r>
    </w:p>
    <w:tbl>
      <w:tblPr>
        <w:tblStyle w:val="Table"/>
        <w:tblW w:type="dxa" w:w="8838"/>
        <w:tblLayout w:type="fixed"/>
        <w:tblLook w:firstRow="1" w:lastRow="0" w:firstColumn="0" w:lastColumn="0" w:noHBand="0" w:noVBand="0" w:val="0020"/>
      </w:tblPr>
      <w:tblGrid>
        <w:gridCol w:w="1021"/>
        <w:gridCol w:w="900"/>
        <w:gridCol w:w="948"/>
        <w:gridCol w:w="900"/>
        <w:gridCol w:w="900"/>
        <w:gridCol w:w="900"/>
        <w:gridCol w:w="1232"/>
        <w:gridCol w:w="1137"/>
        <w:gridCol w:w="900"/>
      </w:tblGrid>
      <w:tr>
        <w:trPr>
          <w:tblHeader w:val="on"/>
        </w:trPr>
        <w:tc>
          <w:tcPr>
            <w:tcW w:type="dxa" w:w="1021"/>
          </w:tcPr>
          <w:p>
            <w:pPr>
              <w:pStyle w:val="Compact"/>
              <w:jc w:val="left"/>
            </w:pPr>
            <w:r>
              <w:rPr>
                <w:b/>
              </w:rPr>
              <w:t>Modelo</w:t>
            </w:r>
          </w:p>
        </w:tc>
        <w:tc>
          <w:tcPr>
            <w:tcW w:type="dxa" w:w="900"/>
          </w:tcPr>
          <w:p>
            <w:pPr>
              <w:pStyle w:val="Compact"/>
              <w:jc w:val="left"/>
            </w:pPr>
            <w:r>
              <w:rPr>
                <w:b/>
              </w:rPr>
              <w:t>Tipo</w:t>
            </w:r>
          </w:p>
        </w:tc>
        <w:tc>
          <w:tcPr>
            <w:tcW w:type="dxa" w:w="948"/>
          </w:tcPr>
          <w:p>
            <w:pPr>
              <w:pStyle w:val="Compact"/>
              <w:jc w:val="left"/>
            </w:pPr>
            <w:r>
              <w:rPr>
                <w:b/>
              </w:rPr>
              <w:t>Parámetros</w:t>
            </w:r>
          </w:p>
        </w:tc>
        <w:tc>
          <w:tcPr>
            <w:tcW w:type="dxa" w:w="900"/>
          </w:tcPr>
          <w:p>
            <w:pPr>
              <w:pStyle w:val="Compact"/>
              <w:jc w:val="center"/>
            </w:pPr>
            <w:r>
              <w:rPr>
                <w:b/>
              </w:rPr>
              <w:t>F1</w:t>
            </w:r>
          </w:p>
        </w:tc>
        <w:tc>
          <w:tcPr>
            <w:tcW w:type="dxa" w:w="900"/>
          </w:tcPr>
          <w:p>
            <w:pPr>
              <w:pStyle w:val="Compact"/>
              <w:jc w:val="center"/>
            </w:pPr>
            <w:r>
              <w:rPr>
                <w:b/>
              </w:rPr>
              <w:t>Precisión</w:t>
            </w:r>
          </w:p>
        </w:tc>
        <w:tc>
          <w:tcPr>
            <w:tcW w:type="dxa" w:w="900"/>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900"/>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74.44%</w:t>
            </w:r>
          </w:p>
        </w:tc>
        <w:tc>
          <w:tcPr>
            <w:tcW w:type="dxa" w:w="900"/>
          </w:tcPr>
          <w:p>
            <w:pPr>
              <w:pStyle w:val="Compact"/>
              <w:jc w:val="center"/>
            </w:pPr>
            <w:r>
              <w:rPr>
                <w:b w:val="0"/>
              </w:rPr>
              <w:t>66.78%</w:t>
            </w:r>
          </w:p>
        </w:tc>
        <w:tc>
          <w:tcPr>
            <w:tcW w:type="dxa" w:w="900"/>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900"/>
          </w:tcPr>
          <w:p>
            <w:pPr>
              <w:pStyle w:val="Compact"/>
              <w:jc w:val="left"/>
            </w:pPr>
            <w:r>
              <w:rPr>
                <w:b w:val="0"/>
              </w:rPr>
              <w:t>5.80</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68.43%</w:t>
            </w:r>
          </w:p>
        </w:tc>
        <w:tc>
          <w:tcPr>
            <w:tcW w:type="dxa" w:w="900"/>
          </w:tcPr>
          <w:p>
            <w:pPr>
              <w:pStyle w:val="Compact"/>
              <w:jc w:val="center"/>
            </w:pPr>
            <w:r>
              <w:rPr>
                <w:b w:val="0"/>
              </w:rPr>
              <w:t>60.68%</w:t>
            </w:r>
          </w:p>
        </w:tc>
        <w:tc>
          <w:tcPr>
            <w:tcW w:type="dxa" w:w="900"/>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900"/>
          </w:tcPr>
          <w:p>
            <w:pPr>
              <w:pStyle w:val="Compact"/>
              <w:jc w:val="left"/>
            </w:pPr>
            <w:r>
              <w:rPr>
                <w:b w:val="0"/>
              </w:rPr>
              <w:t>5.80</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p1a"/>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xml:space="preserve">. La razón es más de fondo que la procedencia: el valor registrado es el reloj de pared de cada artículo bajo concurrencia, de modo que </w:t>
      </w:r>
      <w:r>
        <w:rPr>
          <w:b/>
        </w:rPr>
        <w:t>incluye la espera en cola</w:t>
      </w:r>
      <w:r>
        <w:t xml:space="preserve"> y depende del número de consumidores que el controlador tuviera activos, por lo que </w:t>
      </w:r>
      <w:r>
        <w:rPr>
          <w:b/>
        </w:rPr>
        <w:t>no es una propiedad del modelo</w:t>
      </w:r>
      <w:r>
        <w:t xml:space="preserve">. El rendimiento en tokens por segundo, en cambio, sí es estable entre corridas del mismo modelo, y por eso el índice Tok/s/B que deriva de él es la magnitud que aquí se compara.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p1a"/>
      </w:pPr>
      <w:r>
        <w:rPr>
          <w:b/>
        </w:rPr>
        <w:t>Hallazgo 1:</w:t>
      </w:r>
      <w:r>
        <w:t xml:space="preserve"> la familia gemma4 copa las cinco primeras posiciones. gemma4:latest con prompt few-shot en español (74.44%) supera a los dos modelos de 31B, a un tercio de su tamaño.</w:t>
      </w:r>
    </w:p>
    <w:p>
      <w:pPr>
        <w:numPr>
          <w:ilvl w:val="0"/>
          <w:numId w:val="0"/>
        </w:numPr>
        <w:pStyle w:val="p1a"/>
      </w:pPr>
      <w:r>
        <w:rPr>
          <w:b/>
        </w:rPr>
        <w:t>Hallazgo 2:</w:t>
      </w:r>
      <w:r>
        <w:t xml:space="preserve"> la exhaustividad más alta entre los modelos locales la obtiene gemma4:latest con prompt few-shot en español (86.87%), por delante de gemma4:31b (86.80%) y de su compilación MLX (86.76%), pese a ser un modelo de un tercio del tamaño; la variante alojada alcanza un valor equivalente (86.88%). Es decir, las cuatro configuraciones se agrupan en menos de un décimo de punto, y lo que separa a gemma4:31b no es la exhaustividad sino su tasa de alucinación, de 0.16%.</w:t>
      </w:r>
    </w:p>
    <w:p>
      <w:pPr>
        <w:numPr>
          <w:ilvl w:val="0"/>
          <w:numId w:val="0"/>
        </w:numPr>
        <w:pStyle w:val="p1a"/>
      </w:pPr>
      <w:r>
        <w:rPr>
          <w:b/>
        </w:rPr>
        <w:t>Hallazgo 3:</w:t>
      </w:r>
      <w:r>
        <w:t xml:space="preserve"> deepseek-r1:1.5b debe descartarse para producción: F1 de 27.65% y Recall de solo 25.77%.</w:t>
      </w:r>
    </w:p>
    <w:p>
      <w:pPr>
        <w:numPr>
          <w:ilvl w:val="0"/>
          <w:numId w:val="0"/>
        </w:numPr>
        <w:pStyle w:val="p1a"/>
      </w:pPr>
      <w:r>
        <w:rPr>
          <w:b/>
        </w:rPr>
        <w:t>Hallazgo 4:</w:t>
      </w:r>
      <w:r>
        <w:t xml:space="preserve"> el índice de eficiencia de hardware (Tok/s/B) favorece a los modelos compactos —deepseek-r1:1.5b (86.20) y llama3.2 (26.44)— para screening masivo, mientras que gemma4:31b (0.33) se justifica para análisis de alto riesgo.</w:t>
      </w:r>
    </w:p>
    <w:p>
      <w:pPr>
        <w:numPr>
          <w:ilvl w:val="0"/>
          <w:numId w:val="0"/>
        </w:numPr>
        <w:pStyle w:val="heading2"/>
      </w:pPr>
      <w:r>
        <w:t>5.2 Análisis de Variantes de Prompts (gemma4:latest, N=15)</w:t>
      </w:r>
    </w:p>
    <w:p>
      <w:pPr>
        <w:numPr>
          <w:ilvl w:val="0"/>
          <w:numId w:val="0"/>
        </w:numPr>
        <w:pStyle w:val="p1a"/>
      </w:pPr>
      <w:r>
        <w:t>La Tabla 5 recoge las cuatro configuraciones del diseño factorial con sus métricas.</w:t>
      </w:r>
    </w:p>
    <w:p>
      <w:pPr>
        <w:numPr>
          <w:ilvl w:val="0"/>
          <w:numId w:val="0"/>
        </w:numPr>
        <w:pStyle w:val="tablecaption"/>
      </w:pPr>
      <w:r>
        <w:t xml:space="preserve">Tabla 5. Variantes de prompt sobre </w:t>
      </w:r>
      <w:r>
        <w:t>gemma4:latest</w:t>
      </w:r>
      <w:r>
        <w:t>: diseño factorial de idioma de la instrucción y de los ejemplos (N=15)</w:t>
      </w:r>
    </w:p>
    <w:tbl>
      <w:tblPr>
        <w:tblStyle w:val="Table"/>
        <w:tblW w:type="dxa" w:w="8838"/>
        <w:tblLayout w:type="fixed"/>
        <w:tblLook w:firstRow="1" w:lastRow="0" w:firstColumn="0" w:lastColumn="0" w:noHBand="0" w:noVBand="0" w:val="0020"/>
      </w:tblPr>
      <w:tblGrid>
        <w:gridCol w:w="2254"/>
        <w:gridCol w:w="900"/>
        <w:gridCol w:w="900"/>
        <w:gridCol w:w="900"/>
        <w:gridCol w:w="1293"/>
        <w:gridCol w:w="1194"/>
        <w:gridCol w:w="1397"/>
      </w:tblGrid>
      <w:tr>
        <w:trPr>
          <w:tblHeader w:val="on"/>
        </w:trPr>
        <w:tc>
          <w:tcPr>
            <w:tcW w:type="dxa" w:w="2254"/>
          </w:tcPr>
          <w:p>
            <w:pPr>
              <w:pStyle w:val="Compact"/>
              <w:jc w:val="left"/>
            </w:pPr>
            <w:r>
              <w:rPr>
                <w:b/>
              </w:rPr>
              <w:t>Configuración</w:t>
            </w:r>
          </w:p>
        </w:tc>
        <w:tc>
          <w:tcPr>
            <w:tcW w:type="dxa" w:w="900"/>
          </w:tcPr>
          <w:p>
            <w:pPr>
              <w:pStyle w:val="Compact"/>
              <w:jc w:val="left"/>
            </w:pPr>
            <w:r>
              <w:rPr>
                <w:b/>
              </w:rPr>
              <w:t>F1</w:t>
            </w:r>
          </w:p>
        </w:tc>
        <w:tc>
          <w:tcPr>
            <w:tcW w:type="dxa" w:w="900"/>
          </w:tcPr>
          <w:p>
            <w:pPr>
              <w:pStyle w:val="Compact"/>
              <w:jc w:val="left"/>
            </w:pPr>
            <w:r>
              <w:rPr>
                <w:b/>
              </w:rPr>
              <w:t>Precisión</w:t>
            </w:r>
          </w:p>
        </w:tc>
        <w:tc>
          <w:tcPr>
            <w:tcW w:type="dxa" w:w="900"/>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64.05%</w:t>
            </w:r>
          </w:p>
        </w:tc>
        <w:tc>
          <w:tcPr>
            <w:tcW w:type="dxa" w:w="900"/>
          </w:tcPr>
          <w:p>
            <w:pPr>
              <w:pStyle w:val="Compact"/>
              <w:jc w:val="left"/>
            </w:pPr>
            <w:r>
              <w:rPr>
                <w:b w:val="0"/>
              </w:rPr>
              <w:t>57.69%</w:t>
            </w:r>
          </w:p>
        </w:tc>
        <w:tc>
          <w:tcPr>
            <w:tcW w:type="dxa" w:w="900"/>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68.43%</w:t>
            </w:r>
          </w:p>
        </w:tc>
        <w:tc>
          <w:tcPr>
            <w:tcW w:type="dxa" w:w="900"/>
          </w:tcPr>
          <w:p>
            <w:pPr>
              <w:pStyle w:val="Compact"/>
              <w:jc w:val="left"/>
            </w:pPr>
            <w:r>
              <w:rPr>
                <w:b w:val="0"/>
              </w:rPr>
              <w:t>60.68%</w:t>
            </w:r>
          </w:p>
        </w:tc>
        <w:tc>
          <w:tcPr>
            <w:tcW w:type="dxa" w:w="900"/>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254"/>
          </w:tcPr>
          <w:p>
            <w:pPr>
              <w:pStyle w:val="Compact"/>
              <w:jc w:val="left"/>
            </w:pPr>
            <w:r>
              <w:rPr>
                <w:b w:val="0"/>
              </w:rPr>
              <w:t>Few-shot Inglés</w:t>
            </w:r>
          </w:p>
        </w:tc>
        <w:tc>
          <w:tcPr>
            <w:tcW w:type="dxa" w:w="900"/>
          </w:tcPr>
          <w:p>
            <w:pPr>
              <w:pStyle w:val="Compact"/>
              <w:jc w:val="left"/>
            </w:pPr>
            <w:r>
              <w:rPr>
                <w:b w:val="0"/>
              </w:rPr>
              <w:t>63.32%</w:t>
            </w:r>
          </w:p>
        </w:tc>
        <w:tc>
          <w:tcPr>
            <w:tcW w:type="dxa" w:w="900"/>
          </w:tcPr>
          <w:p>
            <w:pPr>
              <w:pStyle w:val="Compact"/>
              <w:jc w:val="left"/>
            </w:pPr>
            <w:r>
              <w:rPr>
                <w:b w:val="0"/>
              </w:rPr>
              <w:t>55.81%</w:t>
            </w:r>
          </w:p>
        </w:tc>
        <w:tc>
          <w:tcPr>
            <w:tcW w:type="dxa" w:w="900"/>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254"/>
          </w:tcPr>
          <w:p>
            <w:pPr>
              <w:pStyle w:val="Compact"/>
              <w:jc w:val="left"/>
            </w:pPr>
            <w:r>
              <w:rPr>
                <w:b w:val="0"/>
              </w:rPr>
              <w:t>Few-shot Español</w:t>
            </w:r>
          </w:p>
        </w:tc>
        <w:tc>
          <w:tcPr>
            <w:tcW w:type="dxa" w:w="900"/>
          </w:tcPr>
          <w:p>
            <w:pPr>
              <w:pStyle w:val="Compact"/>
              <w:jc w:val="left"/>
            </w:pPr>
            <w:r>
              <w:rPr>
                <w:b/>
              </w:rPr>
              <w:t>74.44%</w:t>
            </w:r>
          </w:p>
        </w:tc>
        <w:tc>
          <w:tcPr>
            <w:tcW w:type="dxa" w:w="900"/>
          </w:tcPr>
          <w:p>
            <w:pPr>
              <w:pStyle w:val="Compact"/>
              <w:jc w:val="left"/>
            </w:pPr>
            <w:r>
              <w:rPr>
                <w:b/>
              </w:rPr>
              <w:t>66.78%</w:t>
            </w:r>
          </w:p>
        </w:tc>
        <w:tc>
          <w:tcPr>
            <w:tcW w:type="dxa" w:w="900"/>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p1a"/>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p1a"/>
      </w:pPr>
      <w:r>
        <w:rPr>
          <w:b/>
        </w:rPr>
        <w:t>Hallazgo 5:</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p1a"/>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 La Tabla 6 recoge sus métricas con los intervalos de confianza.</w:t>
      </w:r>
    </w:p>
    <w:p>
      <w:pPr>
        <w:numPr>
          <w:ilvl w:val="0"/>
          <w:numId w:val="0"/>
        </w:numPr>
        <w:pStyle w:val="tablecaption"/>
      </w:pPr>
      <w:r>
        <w:t>Tabla 6. Validación estadística sobre el corpus del dominio (N=30), con intervalos de confianza del 95 %</w:t>
      </w:r>
    </w:p>
    <w:tbl>
      <w:tblPr>
        <w:tblStyle w:val="Table"/>
        <w:tblW w:type="dxa" w:w="8838"/>
        <w:tblLayout w:type="fixed"/>
        <w:tblLook w:firstRow="1" w:lastRow="0" w:firstColumn="0" w:lastColumn="0" w:noHBand="0" w:noVBand="0" w:val="0020"/>
      </w:tblPr>
      <w:tblGrid>
        <w:gridCol w:w="2028"/>
        <w:gridCol w:w="1014"/>
        <w:gridCol w:w="1303"/>
        <w:gridCol w:w="1014"/>
        <w:gridCol w:w="2579"/>
        <w:gridCol w:w="900"/>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579"/>
          </w:tcPr>
          <w:p>
            <w:pPr>
              <w:pStyle w:val="Compact"/>
              <w:jc w:val="center"/>
            </w:pPr>
            <w:r>
              <w:rPr>
                <w:b/>
              </w:rPr>
              <w:t>IC 95 % del F1</w:t>
            </w:r>
          </w:p>
        </w:tc>
        <w:tc>
          <w:tcPr>
            <w:tcW w:type="dxa" w:w="900"/>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Conviene precisar qué autoriza a concluir eso y qué no. El contraste </w:t>
      </w:r>
      <w:r>
        <w:rPr>
          <w:b/>
        </w:rPr>
        <w:t>no acredita que ambas compilaciones sean equivalentes</w:t>
      </w:r>
      <w:r>
        <w:t xml:space="preserve">: con treinta artículos por grupo su potencia frente al tamaño de efecto observado —una </w:t>
      </w:r>
      <w:r>
        <w:rPr>
          <w:i/>
        </w:rPr>
        <w:t>d</w:t>
      </w:r>
      <w:r>
        <w:t xml:space="preserve"> de Cohen de 0,12— es del </w:t>
      </w:r>
      <w:r>
        <w:rPr>
          <w:b/>
        </w:rPr>
        <w:t>8 %</w:t>
      </w:r>
      <w:r>
        <w:t xml:space="preserve">, y solo alcanza el 87 % ante efectos grandes. Es decir, el diseño no habría detectado esa diferencia aunque fuera real. Lo correcto es afirmar que </w:t>
      </w:r>
      <w:r>
        <w:rPr>
          <w:b/>
        </w:rPr>
        <w:t>los datos no permiten distinguir ambas compilaciones</w:t>
      </w:r>
      <w:r>
        <w:t>, no que sean iguales. Los intervalos de confianza al 95 % se solapan ampliamente, lo que es coherente con esa lectura.</w:t>
      </w:r>
    </w:p>
    <w:p>
      <w:pPr>
        <w:numPr>
          <w:ilvl w:val="0"/>
          <w:numId w:val="0"/>
        </w:numPr>
        <w:pStyle w:val="Normal"/>
      </w:pPr>
      <w:r>
        <w:t xml:space="preserve">El </w:t>
      </w:r>
      <w:r>
        <w:rPr>
          <w:b/>
        </w:rPr>
        <w:t>análisis de sensibilidad</w:t>
      </w:r>
      <w:r>
        <w:t xml:space="preserve"> completa la validación. El criterio de longitud atípica que se aplicó fijaba el umbral en la media más quinientos caracteres, lo que sobre este corpus da 702 y </w:t>
      </w:r>
      <w:r>
        <w:rPr>
          <w:b/>
        </w:rPr>
        <w:t>no podía marcar nada</w:t>
      </w:r>
      <w:r>
        <w:t>, porque el artículo más largo tiene 293: la prueba era vacía por construcción y así hay que declararla. Sustituido por la cerca superior de Tukey, que se adapta a la distribución de longitudes, tampoco se identifica ningún registro fuera de rango, y el F1 filtrado coincide exactamente con el original en ambos modelos. El resultado no depende, por tanto, de unos pocos textos extremos.</w:t>
      </w:r>
    </w:p>
    <w:p>
      <w:pPr>
        <w:numPr>
          <w:ilvl w:val="0"/>
          <w:numId w:val="0"/>
        </w:numPr>
        <w:pStyle w:val="heading4"/>
      </w:pPr>
      <w:r>
        <w:t>5.3.1 Validación Estadística sobre Corpus Real N=120 (estudio completo)</w:t>
      </w:r>
    </w:p>
    <w:p>
      <w:pPr>
        <w:numPr>
          <w:ilvl w:val="0"/>
          <w:numId w:val="0"/>
        </w:numPr>
        <w:pStyle w:val="Normal"/>
      </w:pPr>
      <w:r>
        <w:t xml:space="preserve">Sobre el corpus real N=120 descrito en §4.1.2 se ejecutó el mismo protocolo (ANOVA de una vía + Tukey HSD) para el estudio completo de 13 modelos, cada uno en modo </w:t>
      </w:r>
      <w:r>
        <w:rPr>
          <w:i/>
        </w:rPr>
        <w:t>baseline</w:t>
      </w:r>
      <w:r>
        <w:t xml:space="preserve"> y </w:t>
      </w:r>
      <w:r>
        <w:rPr>
          <w:i/>
        </w:rPr>
        <w:t>KB RAG</w:t>
      </w:r>
      <w:r>
        <w:t xml:space="preserve">, con N=113 observaciones por grupo (26 grupos, 2 938 observaciones; se excluyen siete artículos con la codificación de nombres contaminada, ver más abajo). Resultados consolidados en </w:t>
      </w:r>
      <w:r>
        <w:t>results/ANALISIS_CONJUNTO_20260909_FIX/</w:t>
      </w:r>
      <w:r>
        <w:t xml:space="preserve">, que sustituye a </w:t>
      </w:r>
      <w:r>
        <w:t>results/ANALISIS_CONJUNTO_20260907/</w:t>
      </w:r>
      <w:r>
        <w:t xml:space="preserve"> tras la re-corrida completa (Anexo I, «Corridas múltiples del mismo modelo»). Sus resultados se recogen en la Tabla 7.</w:t>
      </w:r>
    </w:p>
    <w:p>
      <w:pPr>
        <w:numPr>
          <w:ilvl w:val="0"/>
          <w:numId w:val="0"/>
        </w:numPr>
        <w:pStyle w:val="tablecaption"/>
      </w:pPr>
      <w:r>
        <w:t>Tabla 7. Efecto de la base de conocimientos contextual sobre el corpus real (N=120, trece modelos)</w:t>
      </w:r>
    </w:p>
    <w:tbl>
      <w:tblPr>
        <w:tblStyle w:val="Table"/>
        <w:tblW w:type="dxa" w:w="8838"/>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82.13%</w:t>
            </w:r>
          </w:p>
        </w:tc>
        <w:tc>
          <w:tcPr>
            <w:tcW w:type="dxa" w:w="1262"/>
          </w:tcPr>
          <w:p>
            <w:pPr>
              <w:pStyle w:val="Compact"/>
              <w:jc w:val="left"/>
            </w:pPr>
            <w:r>
              <w:rPr>
                <w:b w:val="0"/>
              </w:rPr>
              <w:t>82.94%</w:t>
            </w:r>
          </w:p>
        </w:tc>
        <w:tc>
          <w:tcPr>
            <w:tcW w:type="dxa" w:w="1262"/>
          </w:tcPr>
          <w:p>
            <w:pPr>
              <w:pStyle w:val="Compact"/>
              <w:jc w:val="center"/>
            </w:pPr>
            <w:r>
              <w:rPr>
                <w:b w:val="0"/>
              </w:rPr>
              <w:t>+0.81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81.47%</w:t>
            </w:r>
          </w:p>
        </w:tc>
        <w:tc>
          <w:tcPr>
            <w:tcW w:type="dxa" w:w="1262"/>
          </w:tcPr>
          <w:p>
            <w:pPr>
              <w:pStyle w:val="Compact"/>
              <w:jc w:val="left"/>
            </w:pPr>
            <w:r>
              <w:rPr>
                <w:b w:val="0"/>
              </w:rPr>
              <w:t>82.44%</w:t>
            </w:r>
          </w:p>
        </w:tc>
        <w:tc>
          <w:tcPr>
            <w:tcW w:type="dxa" w:w="1262"/>
          </w:tcPr>
          <w:p>
            <w:pPr>
              <w:pStyle w:val="Compact"/>
              <w:jc w:val="center"/>
            </w:pPr>
            <w:r>
              <w:rPr>
                <w:b w:val="0"/>
              </w:rPr>
              <w:t>+0.97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77.67%</w:t>
            </w:r>
          </w:p>
        </w:tc>
        <w:tc>
          <w:tcPr>
            <w:tcW w:type="dxa" w:w="1262"/>
          </w:tcPr>
          <w:p>
            <w:pPr>
              <w:pStyle w:val="Compact"/>
              <w:jc w:val="left"/>
            </w:pPr>
            <w:r>
              <w:rPr>
                <w:b w:val="0"/>
              </w:rPr>
              <w:t>79.96%</w:t>
            </w:r>
          </w:p>
        </w:tc>
        <w:tc>
          <w:tcPr>
            <w:tcW w:type="dxa" w:w="1262"/>
          </w:tcPr>
          <w:p>
            <w:pPr>
              <w:pStyle w:val="Compact"/>
              <w:jc w:val="center"/>
            </w:pPr>
            <w:r>
              <w:rPr>
                <w:b w:val="0"/>
              </w:rPr>
              <w:t>+2.29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75.41%</w:t>
            </w:r>
          </w:p>
        </w:tc>
        <w:tc>
          <w:tcPr>
            <w:tcW w:type="dxa" w:w="1262"/>
          </w:tcPr>
          <w:p>
            <w:pPr>
              <w:pStyle w:val="Compact"/>
              <w:jc w:val="left"/>
            </w:pPr>
            <w:r>
              <w:rPr>
                <w:b w:val="0"/>
              </w:rPr>
              <w:t>77.08%</w:t>
            </w:r>
          </w:p>
        </w:tc>
        <w:tc>
          <w:tcPr>
            <w:tcW w:type="dxa" w:w="1262"/>
          </w:tcPr>
          <w:p>
            <w:pPr>
              <w:pStyle w:val="Compact"/>
              <w:jc w:val="center"/>
            </w:pPr>
            <w:r>
              <w:rPr>
                <w:b w:val="0"/>
              </w:rPr>
              <w:t>+1.67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75.33%</w:t>
            </w:r>
          </w:p>
        </w:tc>
        <w:tc>
          <w:tcPr>
            <w:tcW w:type="dxa" w:w="1262"/>
          </w:tcPr>
          <w:p>
            <w:pPr>
              <w:pStyle w:val="Compact"/>
              <w:jc w:val="left"/>
            </w:pPr>
            <w:r>
              <w:rPr>
                <w:b w:val="0"/>
              </w:rPr>
              <w:t>77.86%</w:t>
            </w:r>
          </w:p>
        </w:tc>
        <w:tc>
          <w:tcPr>
            <w:tcW w:type="dxa" w:w="1262"/>
          </w:tcPr>
          <w:p>
            <w:pPr>
              <w:pStyle w:val="Compact"/>
              <w:jc w:val="center"/>
            </w:pPr>
            <w:r>
              <w:rPr>
                <w:b w:val="0"/>
              </w:rPr>
              <w:t>+2.53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69.61%</w:t>
            </w:r>
          </w:p>
        </w:tc>
        <w:tc>
          <w:tcPr>
            <w:tcW w:type="dxa" w:w="1262"/>
          </w:tcPr>
          <w:p>
            <w:pPr>
              <w:pStyle w:val="Compact"/>
              <w:jc w:val="left"/>
            </w:pPr>
            <w:r>
              <w:rPr>
                <w:b w:val="0"/>
              </w:rPr>
              <w:t>70.31%</w:t>
            </w:r>
          </w:p>
        </w:tc>
        <w:tc>
          <w:tcPr>
            <w:tcW w:type="dxa" w:w="1262"/>
          </w:tcPr>
          <w:p>
            <w:pPr>
              <w:pStyle w:val="Compact"/>
              <w:jc w:val="center"/>
            </w:pPr>
            <w:r>
              <w:rPr>
                <w:b w:val="0"/>
              </w:rPr>
              <w:t>+0.69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69.17%</w:t>
            </w:r>
          </w:p>
        </w:tc>
        <w:tc>
          <w:tcPr>
            <w:tcW w:type="dxa" w:w="1262"/>
          </w:tcPr>
          <w:p>
            <w:pPr>
              <w:pStyle w:val="Compact"/>
              <w:jc w:val="left"/>
            </w:pPr>
            <w:r>
              <w:rPr>
                <w:b w:val="0"/>
              </w:rPr>
              <w:t>71.48%</w:t>
            </w:r>
          </w:p>
        </w:tc>
        <w:tc>
          <w:tcPr>
            <w:tcW w:type="dxa" w:w="1262"/>
          </w:tcPr>
          <w:p>
            <w:pPr>
              <w:pStyle w:val="Compact"/>
              <w:jc w:val="center"/>
            </w:pPr>
            <w:r>
              <w:rPr>
                <w:b w:val="0"/>
              </w:rPr>
              <w:t>+2.31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69.03%</w:t>
            </w:r>
          </w:p>
        </w:tc>
        <w:tc>
          <w:tcPr>
            <w:tcW w:type="dxa" w:w="1262"/>
          </w:tcPr>
          <w:p>
            <w:pPr>
              <w:pStyle w:val="Compact"/>
              <w:jc w:val="left"/>
            </w:pPr>
            <w:r>
              <w:rPr>
                <w:b w:val="0"/>
              </w:rPr>
              <w:t>68.98%</w:t>
            </w:r>
          </w:p>
        </w:tc>
        <w:tc>
          <w:tcPr>
            <w:tcW w:type="dxa" w:w="1262"/>
          </w:tcPr>
          <w:p>
            <w:pPr>
              <w:pStyle w:val="Compact"/>
              <w:jc w:val="center"/>
            </w:pPr>
            <w:r>
              <w:rPr>
                <w:b w:val="0"/>
              </w:rPr>
              <w:t>−0.05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63.25%</w:t>
            </w:r>
          </w:p>
        </w:tc>
        <w:tc>
          <w:tcPr>
            <w:tcW w:type="dxa" w:w="1262"/>
          </w:tcPr>
          <w:p>
            <w:pPr>
              <w:pStyle w:val="Compact"/>
              <w:jc w:val="left"/>
            </w:pPr>
            <w:r>
              <w:rPr>
                <w:b w:val="0"/>
              </w:rPr>
              <w:t>69.98%</w:t>
            </w:r>
          </w:p>
        </w:tc>
        <w:tc>
          <w:tcPr>
            <w:tcW w:type="dxa" w:w="1262"/>
          </w:tcPr>
          <w:p>
            <w:pPr>
              <w:pStyle w:val="Compact"/>
              <w:jc w:val="center"/>
            </w:pPr>
            <w:r>
              <w:rPr>
                <w:b w:val="0"/>
              </w:rPr>
              <w:t>+6.73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60.63%</w:t>
            </w:r>
          </w:p>
        </w:tc>
        <w:tc>
          <w:tcPr>
            <w:tcW w:type="dxa" w:w="1262"/>
          </w:tcPr>
          <w:p>
            <w:pPr>
              <w:pStyle w:val="Compact"/>
              <w:jc w:val="left"/>
            </w:pPr>
            <w:r>
              <w:rPr>
                <w:b w:val="0"/>
              </w:rPr>
              <w:t>56.35%</w:t>
            </w:r>
          </w:p>
        </w:tc>
        <w:tc>
          <w:tcPr>
            <w:tcW w:type="dxa" w:w="1262"/>
          </w:tcPr>
          <w:p>
            <w:pPr>
              <w:pStyle w:val="Compact"/>
              <w:jc w:val="center"/>
            </w:pPr>
            <w:r>
              <w:rPr>
                <w:b w:val="0"/>
              </w:rPr>
              <w:t>−4.29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59.55%</w:t>
            </w:r>
          </w:p>
        </w:tc>
        <w:tc>
          <w:tcPr>
            <w:tcW w:type="dxa" w:w="1262"/>
          </w:tcPr>
          <w:p>
            <w:pPr>
              <w:pStyle w:val="Compact"/>
              <w:jc w:val="left"/>
            </w:pPr>
            <w:r>
              <w:rPr>
                <w:b w:val="0"/>
              </w:rPr>
              <w:t>59.58%</w:t>
            </w:r>
          </w:p>
        </w:tc>
        <w:tc>
          <w:tcPr>
            <w:tcW w:type="dxa" w:w="1262"/>
          </w:tcPr>
          <w:p>
            <w:pPr>
              <w:pStyle w:val="Compact"/>
              <w:jc w:val="center"/>
            </w:pPr>
            <w:r>
              <w:rPr>
                <w:b w:val="0"/>
              </w:rPr>
              <w:t>+0.03 pp</w:t>
            </w:r>
          </w:p>
        </w:tc>
        <w:tc>
          <w:tcPr>
            <w:tcW w:type="dxa" w:w="2106"/>
          </w:tcPr>
          <w:p>
            <w:pPr>
              <w:pStyle w:val="Compact"/>
              <w:jc w:val="center"/>
            </w:pPr>
            <w:r>
              <w:rPr>
                <w:b w:val="0"/>
              </w:rPr>
              <w:t>no</w:t>
            </w:r>
          </w:p>
        </w:tc>
      </w:tr>
      <w:tr>
        <w:tc>
          <w:tcPr>
            <w:tcW w:type="dxa" w:w="2665"/>
          </w:tcPr>
          <w:p>
            <w:pPr>
              <w:pStyle w:val="Compact"/>
              <w:jc w:val="left"/>
            </w:pPr>
            <w:r>
              <w:rPr>
                <w:b w:val="0"/>
              </w:rPr>
              <w:t>deepseek-r1:1.5b</w:t>
            </w:r>
          </w:p>
        </w:tc>
        <w:tc>
          <w:tcPr>
            <w:tcW w:type="dxa" w:w="1543"/>
          </w:tcPr>
          <w:p>
            <w:pPr>
              <w:pStyle w:val="Compact"/>
              <w:jc w:val="left"/>
            </w:pPr>
            <w:r>
              <w:rPr>
                <w:b w:val="0"/>
              </w:rPr>
              <w:t>28.73%</w:t>
            </w:r>
          </w:p>
        </w:tc>
        <w:tc>
          <w:tcPr>
            <w:tcW w:type="dxa" w:w="1262"/>
          </w:tcPr>
          <w:p>
            <w:pPr>
              <w:pStyle w:val="Compact"/>
              <w:jc w:val="left"/>
            </w:pPr>
            <w:r>
              <w:rPr>
                <w:b w:val="0"/>
              </w:rPr>
              <w:t>30.80%</w:t>
            </w:r>
          </w:p>
        </w:tc>
        <w:tc>
          <w:tcPr>
            <w:tcW w:type="dxa" w:w="1262"/>
          </w:tcPr>
          <w:p>
            <w:pPr>
              <w:pStyle w:val="Compact"/>
              <w:jc w:val="center"/>
            </w:pPr>
            <w:r>
              <w:rPr>
                <w:b w:val="0"/>
              </w:rPr>
              <w:t>+2.07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28.29%</w:t>
            </w:r>
          </w:p>
        </w:tc>
        <w:tc>
          <w:tcPr>
            <w:tcW w:type="dxa" w:w="1262"/>
          </w:tcPr>
          <w:p>
            <w:pPr>
              <w:pStyle w:val="Compact"/>
              <w:jc w:val="left"/>
            </w:pPr>
            <w:r>
              <w:rPr>
                <w:b w:val="0"/>
              </w:rPr>
              <w:t>40.55%</w:t>
            </w:r>
          </w:p>
        </w:tc>
        <w:tc>
          <w:tcPr>
            <w:tcW w:type="dxa" w:w="1262"/>
          </w:tcPr>
          <w:p>
            <w:pPr>
              <w:pStyle w:val="Compact"/>
              <w:jc w:val="center"/>
            </w:pPr>
            <w:r>
              <w:rPr>
                <w:b/>
              </w:rPr>
              <w:t>+12.26 pp</w:t>
            </w:r>
          </w:p>
        </w:tc>
        <w:tc>
          <w:tcPr>
            <w:tcW w:type="dxa" w:w="2106"/>
          </w:tcPr>
          <w:p>
            <w:pPr>
              <w:pStyle w:val="Compact"/>
              <w:jc w:val="center"/>
            </w:pPr>
            <w:r>
              <w:rPr>
                <w:b w:val="0"/>
              </w:rPr>
              <w:t>sí (p&lt;0.001)</w:t>
            </w:r>
          </w:p>
        </w:tc>
      </w:tr>
    </w:tbl>
    <w:p>
      <w:pPr>
        <w:numPr>
          <w:ilvl w:val="0"/>
          <w:numId w:val="0"/>
        </w:numPr>
        <w:pStyle w:val="p1a"/>
      </w:pPr>
      <w:r>
        <w:rPr>
          <w:b/>
        </w:rPr>
        <w:t>Limitación histórica del corpus N=120, corregida en la re-corrida adoptada — codificación defectuosa de los nombres.</w:t>
      </w:r>
      <w:r>
        <w:t xml:space="preserve"> El corpus </w:t>
      </w:r>
      <w:r>
        <w:t>data/benchmark_balanced_120.json</w:t>
      </w:r>
      <w:r>
        <w:t xml:space="preserve"> que sostenía el consolidado publicado almacenaba los nombres con </w:t>
      </w:r>
      <w:r>
        <w:rPr>
          <w:i/>
        </w:rPr>
        <w:t>mojibake</w:t>
      </w:r>
      <w:r>
        <w:t xml:space="preserve"> (bytes UTF-8 reinterpretados como Latin-1): guardaba </w:t>
      </w:r>
      <w:r>
        <w:t>JosÃ© Bono</w:t>
      </w:r>
      <w:r>
        <w:t xml:space="preserve"> donde el nombre real es </w:t>
      </w:r>
      <w:r>
        <w:rPr>
          <w:b/>
        </w:rPr>
        <w:t>José Bono</w:t>
      </w:r>
      <w:r>
        <w:t xml:space="preserve">. Afectaba a </w:t>
      </w:r>
      <w:r>
        <w:rPr>
          <w:b/>
        </w:rPr>
        <w:t>283 de 1 406 entidades de referencia (20,1 %)</w:t>
      </w:r>
      <w:r>
        <w:t xml:space="preserve"> y, de forma relevante, </w:t>
      </w:r>
      <w:r>
        <w:rPr>
          <w:b/>
        </w:rPr>
        <w:t>también al texto de entrada</w:t>
      </w:r>
      <w:r>
        <w:t xml:space="preserve"> (87 % de los artículos), donde las mismas 283 entidades aparecían </w:t>
      </w:r>
      <w:r>
        <w:rPr>
          <w:b/>
        </w:rPr>
        <w:t>con la misma corrupción</w:t>
      </w:r>
      <w:r>
        <w:t xml:space="preserve">. El corpus era por tanto </w:t>
      </w:r>
      <w:r>
        <w:rPr>
          <w:b/>
        </w:rPr>
        <w:t>internamente coherente</w:t>
      </w:r>
      <w:r>
        <w:t xml:space="preserve">: un modelo que transcribía literalmente coincidía con la referencia, mientras que uno que normalizaba la ortografía al español correcto </w:t>
      </w:r>
      <w:r>
        <w:rPr>
          <w:b/>
        </w:rPr>
        <w:t>dejaba de coincidir</w:t>
      </w:r>
      <w:r>
        <w:t xml:space="preserve">. El efecto </w:t>
      </w:r>
      <w:r>
        <w:rPr>
          <w:b/>
        </w:rPr>
        <w:t>no era un sesgo uniforme</w:t>
      </w:r>
      <w:r>
        <w:t xml:space="preserve"> sino una interacción que dependía del comportamiento de cada modelo: la diferencia de F1 entre los artículos afectados y los no afectados oscilaba entre </w:t>
      </w:r>
      <w:r>
        <w:rPr>
          <w:b/>
        </w:rPr>
        <w:t>−0.070 y +0.025</w:t>
      </w:r>
      <w:r>
        <w:t xml:space="preserve"> según el modelo. Los corpus N=15 y N=30 nunca tuvieron este defecto (0 entidades afectadas), por lo que §5.1, §5.2 y §5.3 nunca se vieron comprometidos. </w:t>
      </w:r>
      <w:r>
        <w:rPr>
          <w:b/>
        </w:rPr>
        <w:t>La corrección se aplicó antes de la re-corrida completa</w:t>
      </w:r>
      <w:r>
        <w:t xml:space="preserve"> (normalizando la codificación en ambos lados de la comparación, verificado con </w:t>
      </w:r>
      <w:r>
        <w:t>tools/analisis_mojibake.py</w:t>
      </w:r>
      <w:r>
        <w:t xml:space="preserve">: 0 de 120 artículos afectados hoy), de modo que los resultados de esta sección ya no dependen de esta interacción. El detalle del defecto original y su efecto medido se conservan íntegros en el </w:t>
      </w:r>
      <w:r>
        <w:rPr>
          <w:b/>
        </w:rPr>
        <w:t>Anexo H</w:t>
      </w:r>
      <w:r>
        <w:t>, como registro de qué se encontró y cómo se corrigió.</w:t>
      </w:r>
    </w:p>
    <w:p>
      <w:pPr>
        <w:numPr>
          <w:ilvl w:val="0"/>
          <w:numId w:val="0"/>
        </w:numPr>
        <w:pStyle w:val="p1a"/>
      </w:pPr>
      <w:r>
        <w:rPr>
          <w:b/>
        </w:rPr>
        <w:t>Salvedad de procedencia.</w:t>
      </w:r>
      <w:r>
        <w:t xml:space="preserve">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Su F1 es válido; su latencia y sus tokens/s no deben usarse en comparaciones de eficiencia. La re-corrida corrigió además el fallo de contexto de </w:t>
      </w:r>
      <w:r>
        <w:t>nemotron-mini:4b</w:t>
      </w:r>
      <w:r>
        <w:t xml:space="preserve"> que en el corpus publicado dejaba siete filas sin telemetría: en el consolidado adoptado las 113 filas de cada grupo tienen latencia y tokens/s reales.</w:t>
      </w:r>
    </w:p>
    <w:p>
      <w:pPr>
        <w:numPr>
          <w:ilvl w:val="0"/>
          <w:numId w:val="0"/>
        </w:numPr>
        <w:pStyle w:val="Normal"/>
      </w:pPr>
      <w:r>
        <w:t>Este apartado responde a cuatro preguntas: si el efecto del KB RAG es significativo en conjunto, si esa conclusión resiste el matiz de que las observaciones no son independientes, qué modelos concretos mejoran de forma significativa y si existe un patrón real entre la capacidad del modelo y el beneficio de la recuperación.</w:t>
      </w:r>
    </w:p>
    <w:p>
      <w:pPr>
        <w:numPr>
          <w:ilvl w:val="0"/>
          <w:numId w:val="0"/>
        </w:numPr>
        <w:pStyle w:val="Normal"/>
      </w:pPr>
      <w:r>
        <w:t xml:space="preserve">El ANOVA de una vía sobre los veintiséis grupos arroja </w:t>
      </w:r>
      <w:r>
        <w:rPr>
          <w:b/>
        </w:rPr>
        <w:t>F = 119,7502</w:t>
      </w:r>
      <w:r>
        <w:t xml:space="preserve"> con p &lt; 10⁻³⁰⁰ —el valor exacto subdesborda la precisión de doble coma flotante—, y rechaza la hipótesis nula con un margen mayor que sobre el corpus del dominio. El post-hoc de Tukey identifica 217 comparaciones significativas de las 325 posibles entre pares de modelos, pero la pregunta que importa es otra: cuántos modelos mejoran de forma significativa respecto de sí mismos al añadir RAG. Solo uno, </w:t>
      </w:r>
      <w:r>
        <w:t>nemotron-mini:4b</w:t>
      </w:r>
      <w:r>
        <w:t xml:space="preserve">, con +12,26 puntos. </w:t>
      </w:r>
      <w:r>
        <w:t>llama3.2:latest</w:t>
      </w:r>
      <w:r>
        <w:t>, significativo sobre el corpus publicado (+10,82 puntos), queda en +6,73 puntos (p=0,2334) y ya no se distingue del azar tras la corrección por comparaciones múltiples.</w:t>
      </w:r>
    </w:p>
    <w:p>
      <w:pPr>
        <w:numPr>
          <w:ilvl w:val="0"/>
          <w:numId w:val="0"/>
        </w:numPr>
        <w:pStyle w:val="Normal"/>
      </w:pPr>
      <w:r>
        <w:t>Una salvedad de diseño, introducida en §2.5: los veintiséis grupos evalúan los mismos 113 artículos, de modo que las observaciones están apareadas y el ANOVA resulta conservador. La prueba de Levene sí detecta heterocedasticidad (p = 1,39 × 10⁻¹¹) —a diferencia de sobre el corpus publicado, ahora que el defecto de anotación de Locations está corregido—, sin invalidar el ANOVA (el diseño está balanceado: 2 938 observaciones, 113 por grupo). Repetido con Friedman, el rechazo se sostiene con holgura (χ² = 1 802,3671): la conclusión no depende de qué prueba se elija.</w:t>
      </w:r>
    </w:p>
    <w:p>
      <w:pPr>
        <w:numPr>
          <w:ilvl w:val="0"/>
          <w:numId w:val="0"/>
        </w:numPr>
        <w:pStyle w:val="Normal"/>
      </w:pPr>
      <w:r>
        <w:t>El hallazgo central del estudio es que el beneficio del KB RAG decrece con la capacidad del modelo, aunque no de forma perfectamente monótona. Once de los trece modelos mejoran con RAG, aunque solo uno lo haga de forma estadísticamente sólida: la mejora es alta en el modelo más débil del estudio (</w:t>
      </w:r>
      <w:r>
        <w:t>nemotron-mini:4b</w:t>
      </w:r>
      <w:r>
        <w:t>, +12,26 puntos) y marginal en los dos de mayor capacidad (+0,81 y +0,97 puntos en las dos variantes de 31B), que ya siguen las instrucciones correctamente sin necesitar contexto adicional. La Figura 2 recoge ambas lecturas: el desplazamiento de cada modelo al añadir la recuperación y su relación con el desempeño de partida.</w:t>
      </w:r>
    </w:p>
    <w:p>
      <w:pPr>
        <w:numPr>
          <w:ilvl w:val="0"/>
          <w:numId w:val="0"/>
        </w:numPr>
        <w:pStyle w:val="Normal"/>
      </w:pPr>
      <w:r>
        <w:t xml:space="preserve">Queda por saber hasta dónde llega ese patrón, porque de eso depende el hallazgo. Correlacionando el F1 base de cada modelo con la mejora que le aporta el RAG se obtiene un </w:t>
      </w:r>
      <w:r>
        <w:rPr>
          <w:b/>
        </w:rPr>
        <w:t>Spearman de −0,0879</w:t>
      </w:r>
      <w:r>
        <w:t xml:space="preserve"> (p = 0,7752) y un </w:t>
      </w:r>
      <w:r>
        <w:rPr>
          <w:b/>
        </w:rPr>
        <w:t>Pearson de −0,4816</w:t>
      </w:r>
      <w:r>
        <w:t xml:space="preserve"> (p = 0,0956): a diferencia de sobre el corpus publicado, donde discrepaban, aquí ninguno alcanza significancia al 5 %. Retirado </w:t>
      </w:r>
      <w:r>
        <w:t>nemotron-mini:4b</w:t>
      </w:r>
      <w:r>
        <w:t xml:space="preserve"> de la muestra, el Pearson pasa a +0,0120 (p = 0,971): la relación depende casi enteramente de ese modelo y no es un patrón generalizable a los otros doce. La conclusión correcta no es, por tanto, que el RAG beneficie a los modelos débiles en general, sino que beneficia de forma demostrable a uno solo, el más débil del estudio.</w:t>
      </w:r>
    </w:p>
    <w:p>
      <w:pPr>
        <w:numPr>
          <w:ilvl w:val="0"/>
          <w:numId w:val="0"/>
        </w:numPr>
        <w:pStyle w:val="figurecaption"/>
        <w:jc w:val="center"/>
        <w:spacing w:lineRule="auto" w:line="240" w:before="120" w:after="60"/>
        <w:keepNext w:val="1"/>
      </w:pPr>
      <w:r>
        <w:drawing>
          <wp:inline xmlns:a="http://schemas.openxmlformats.org/drawingml/2006/main" xmlns:pic="http://schemas.openxmlformats.org/drawingml/2006/picture">
            <wp:extent cx="5612130" cy="2521179"/>
            <wp:docPr id="2" name="Picture 2"/>
            <wp:cNvGraphicFramePr>
              <a:graphicFrameLocks noChangeAspect="1"/>
            </wp:cNvGraphicFramePr>
            <a:graphic>
              <a:graphicData uri="http://schemas.openxmlformats.org/drawingml/2006/picture">
                <pic:pic>
                  <pic:nvPicPr>
                    <pic:cNvPr id="0" name="efecto-kb-rag.png"/>
                    <pic:cNvPicPr/>
                  </pic:nvPicPr>
                  <pic:blipFill>
                    <a:blip r:embed="rId17"/>
                    <a:stretch>
                      <a:fillRect/>
                    </a:stretch>
                  </pic:blipFill>
                  <pic:spPr>
                    <a:xfrm>
                      <a:off x="0" y="0"/>
                      <a:ext cx="5612130" cy="2521179"/>
                    </a:xfrm>
                    <a:prstGeom prst="rect"/>
                  </pic:spPr>
                </pic:pic>
              </a:graphicData>
            </a:graphic>
          </wp:inline>
        </w:drawing>
      </w:r>
    </w:p>
    <w:p>
      <w:pPr>
        <w:numPr>
          <w:ilvl w:val="0"/>
          <w:numId w:val="0"/>
        </w:numPr>
        <w:pStyle w:val="figurecaption"/>
      </w:pPr>
      <w:r>
        <w:t>Figura 2. Efecto de la base de conocimientos contextual sobre los trece modelos (N=120). El panel (a) une con un trazo el F1 de cada modelo sin recuperación y con ella; en negro, el único caso en que la mejora supera la corrección por comparaciones múltiples. El panel (b) representa esa misma mejora frente al desempeño de partida. Elaboración propia a partir de la Tabla 7</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p1a"/>
      </w:pPr>
      <w:r>
        <w:t xml:space="preserve">El análisis cualitativo se apoya en la clasificación que el evaluador almacena por registro, con cuatro categorías: errores de límite, confusión de tipo, omisiones de abreviatura y alucinaciones extrínsecas. Conviene leer la primera con cuidado, porque su nombre sugiere algo más estrecho de lo que agrupa. Un </w:t>
      </w:r>
      <w:r>
        <w:rPr>
          <w:b/>
        </w:rPr>
        <w:t>error de límite</w:t>
      </w:r>
      <w:r>
        <w:t xml:space="preserve"> es todo emparejamiento cuya similitud queda entre 50 y 85, es decir por debajo del umbral que acepta la coincidencia, y ahí caben tres fenómenos distintos. El más frecuente no es un error del modelo sino de la referencia: </w:t>
      </w:r>
      <w:r>
        <w:t>José María Aznar</w:t>
      </w:r>
      <w:r>
        <w:t xml:space="preserve"> frente a </w:t>
      </w:r>
      <w:r>
        <w:t>JosÃ© MarÃ­a Aznar</w:t>
      </w:r>
      <w:r>
        <w:t xml:space="preserve">, con similitud de 82,4, donde el modelo escribe el nombre correctamente y la anotación corrupta no lo reconoce. El segundo son variantes de sigla, como </w:t>
      </w:r>
      <w:r>
        <w:t>EFE</w:t>
      </w:r>
      <w:r>
        <w:t xml:space="preserve"> y </w:t>
      </w:r>
      <w:r>
        <w:t>EFECOM</w:t>
      </w:r>
      <w:r>
        <w:t xml:space="preserve">, que designan la misma agencia con 66,7 de similitud. Y el tercero, el más engañoso, son </w:t>
      </w:r>
      <w:r>
        <w:rPr>
          <w:b/>
        </w:rPr>
        <w:t>nombres sin relación alguna</w:t>
      </w:r>
      <w:r>
        <w:t xml:space="preserve"> que comparten estructura suficiente para superar el suelo de 50: </w:t>
      </w:r>
      <w:r>
        <w:t>CorÃ­n Tellado</w:t>
      </w:r>
      <w:r>
        <w:t xml:space="preserve"> frente a </w:t>
      </w:r>
      <w:r>
        <w:t>Mario Delgado</w:t>
      </w:r>
      <w:r>
        <w:t xml:space="preserve"> con 51,9, o </w:t>
      </w:r>
      <w:r>
        <w:t>Peter Twehway</w:t>
      </w:r>
      <w:r>
        <w:t xml:space="preserve"> frente a </w:t>
      </w:r>
      <w:r>
        <w:t>Bill Twehway</w:t>
      </w:r>
      <w:r>
        <w:t xml:space="preserve"> con 64,0, que son personas distintas. El primero de esos dos casos acumula los dos problemas a la vez, y merece leerse despacio: el modelo transcribió literalmente un nombre corrupto del texto de origen, y el cotejo lo emparejó con una persona sin relación alguna. La cifra que aquí se cita es la del par tal como consta en los resultados, con la corrupción incluida; con las formas ortográficamente correctas el emparejamiento daría otro valor, y esa diferencia es precisamente el efecto que este apartado describe. De ahí se sigue una advertencia metodológica: el recuento de esta categoría </w:t>
      </w:r>
      <w:r>
        <w:rPr>
          <w:b/>
        </w:rPr>
        <w:t>no</w:t>
      </w:r>
      <w:r>
        <w:t xml:space="preserve"> mide la habilidad del modelo para delimitar entidades, sino la frecuencia con que el cotejo difuso queda en su franja intermedia, y una parte apreciable de esos casos la provoca la codificación defectuosa del corpus (§3.3 y Anexo H).</w:t>
      </w:r>
    </w:p>
    <w:p>
      <w:pPr>
        <w:numPr>
          <w:ilvl w:val="0"/>
          <w:numId w:val="0"/>
        </w:numPr>
        <w:pStyle w:val="Normal"/>
      </w:pPr>
      <w:r>
        <w:t xml:space="preserve">La </w:t>
      </w:r>
      <w:r>
        <w:rPr>
          <w:b/>
        </w:rPr>
        <w:t>confusión de tipo</w:t>
      </w:r>
      <w:r>
        <w:t xml:space="preserve"> aparece cuando el modelo asigna a una entidad una categoría distinta de la que registra la referencia. Los casos dominantes son homogéneos y tienen una explicación clara: </w:t>
      </w:r>
      <w:r>
        <w:t>Estados Unidos</w:t>
      </w:r>
      <w:r>
        <w:t xml:space="preserve">, </w:t>
      </w:r>
      <w:r>
        <w:t>Francia</w:t>
      </w:r>
      <w:r>
        <w:t xml:space="preserve">, </w:t>
      </w:r>
      <w:r>
        <w:t>Israel</w:t>
      </w:r>
      <w:r>
        <w:t xml:space="preserve"> o </w:t>
      </w:r>
      <w:r>
        <w:t>Valencia</w:t>
      </w:r>
      <w:r>
        <w:t xml:space="preserve"> extraídos como localización cuando la anotación de CoNLL-2002 los registra como organización, por tratarse de menciones al Estado o al club y no al territorio. No es una alucinación ni un fallo de comprensión, sino una divergencia entre la convención de anotación del corpus y la lectura natural del nombre, y se concentra precisamente en la categoría cuyo vacío en la referencia se discute en §3.3.</w:t>
      </w:r>
    </w:p>
    <w:p>
      <w:pPr>
        <w:numPr>
          <w:ilvl w:val="0"/>
          <w:numId w:val="0"/>
        </w:numPr>
        <w:pStyle w:val="Normal"/>
      </w:pPr>
      <w:r>
        <w:t xml:space="preserve">Las </w:t>
      </w:r>
      <w:r>
        <w:rPr>
          <w:b/>
        </w:rPr>
        <w:t>alucinaciones extrínsecas</w:t>
      </w:r>
      <w:r>
        <w:t xml:space="preserve">, en las que el modelo propone entidades ausentes del texto, son el patrón que más varía entre modelos. Sobre los sesenta y un grupos medidos —entendiendo por grupo cada combinación de modelo y modo de recuperación que aporta los ciento veinte registros completos, contando todas las corridas conservadas y no solo la de referencia de cada modelo—, el rango va de </w:t>
      </w:r>
      <w:r>
        <w:rPr>
          <w:b/>
        </w:rPr>
        <w:t>cero</w:t>
      </w:r>
      <w:r>
        <w:t xml:space="preserve"> en las variantes alojadas de </w:t>
      </w:r>
      <w:r>
        <w:t>gemma4:31b</w:t>
      </w:r>
      <w:r>
        <w:t xml:space="preserve"> al </w:t>
      </w:r>
      <w:r>
        <w:rPr>
          <w:b/>
        </w:rPr>
        <w:t>21,59 %</w:t>
      </w:r>
      <w:r>
        <w:t xml:space="preserve"> de </w:t>
      </w:r>
      <w:r>
        <w:t>deepseek-r1:1.5b</w:t>
      </w:r>
      <w:r>
        <w:t xml:space="preserve"> con recuperación por diccionario, y veintiocho de esos sesenta y un grupos quedan por debajo del </w:t>
      </w:r>
      <w:r>
        <w:rPr>
          <w:b/>
        </w:rPr>
        <w:t>1 %</w:t>
      </w:r>
      <w:r>
        <w:t xml:space="preserve">: la instrucción de restringir la extracción al artículo presente funciona en casi la mitad de las configuraciones y en todas las de mayor capacidad. El problema se concentra en los dos modelos más pequeños, y ahí es determinante: </w:t>
      </w:r>
      <w:r>
        <w:t>deepseek-r1:1.5b</w:t>
      </w:r>
      <w:r>
        <w:t xml:space="preserve"> oscila entre 11,23 % en extracción directa y 21,59 % con recuperación, y </w:t>
      </w:r>
      <w:r>
        <w:t>nemotron-mini:4b</w:t>
      </w:r>
      <w:r>
        <w:t xml:space="preserve"> entre 7,14 % y 14,75 %. En ambos casos el defecto, más que la exhaustividad, es lo que descarta su uso en un flujo de cumplimiento, porque una entidad inventada en un informe de sanciones tiene un coste mayor que una omitida.</w:t>
      </w:r>
    </w:p>
    <w:p>
      <w:pPr>
        <w:numPr>
          <w:ilvl w:val="0"/>
          <w:numId w:val="0"/>
        </w:numPr>
        <w:pStyle w:val="heading2"/>
      </w:pPr>
      <w:r>
        <w:t>5.5 Análisis de Eficiencia en Hardware Soberano</w:t>
      </w:r>
    </w:p>
    <w:p>
      <w:pPr>
        <w:numPr>
          <w:ilvl w:val="0"/>
          <w:numId w:val="0"/>
        </w:numPr>
        <w:pStyle w:val="p1a"/>
      </w:pPr>
      <w:r>
        <w:t>La Tabla 8 reúne el consumo de memoria, el rendimiento y el coste estimado por artículo de cada modelo.</w:t>
      </w:r>
    </w:p>
    <w:p>
      <w:pPr>
        <w:numPr>
          <w:ilvl w:val="0"/>
          <w:numId w:val="0"/>
        </w:numPr>
        <w:pStyle w:val="tablecaption"/>
      </w:pPr>
      <w:r>
        <w:t>Tabla 8. Eficiencia en hardware soberano: memoria, rendimiento y coste estimado por artículo</w:t>
      </w:r>
    </w:p>
    <w:tbl>
      <w:tblPr>
        <w:tblStyle w:val="Table"/>
        <w:tblW w:type="dxa" w:w="8838"/>
        <w:tblLayout w:type="fixed"/>
        <w:tblLook w:firstRow="1" w:lastRow="0" w:firstColumn="0" w:lastColumn="0" w:noHBand="0" w:noVBand="0" w:val="0020"/>
      </w:tblPr>
      <w:tblGrid>
        <w:gridCol w:w="1753"/>
        <w:gridCol w:w="1127"/>
        <w:gridCol w:w="900"/>
        <w:gridCol w:w="1753"/>
        <w:gridCol w:w="1753"/>
        <w:gridCol w:w="1552"/>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900"/>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552"/>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26.44</w:t>
            </w:r>
          </w:p>
        </w:tc>
        <w:tc>
          <w:tcPr>
            <w:tcW w:type="dxa" w:w="1552"/>
          </w:tcPr>
          <w:p>
            <w:pPr>
              <w:pStyle w:val="Compact"/>
              <w:jc w:val="left"/>
            </w:pPr>
            <w:r>
              <w:rPr>
                <w:b w:val="0"/>
              </w:rPr>
              <w:t>$0.052</w:t>
            </w:r>
          </w:p>
        </w:tc>
      </w:tr>
    </w:tbl>
    <w:p>
      <w:pPr>
        <w:numPr>
          <w:ilvl w:val="0"/>
          <w:numId w:val="0"/>
        </w:numPr>
        <w:pStyle w:val="p1a"/>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ambos parámetros tomados de la observación interna del proceso vigente en Austranet y no de una fuente publicada.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p1a"/>
      </w:pPr>
      <w:r>
        <w:t xml:space="preserve">La primera versión del módulo de recuperación indexaba </w:t>
      </w:r>
      <w:r>
        <w:rPr>
          <w:b/>
        </w:rPr>
        <w:t>nombres de entidades</w:t>
      </w:r>
      <w:r>
        <w:t xml:space="preserve"> —3 605 personas y 1 848 organizaciones de la lista de Nacionales Especialmente Designados (SDN) del Departamento del Tesoro de los Estados Unidos [19],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de los once modelos con par completo de resultados, </w:t>
      </w:r>
      <w:r>
        <w:rPr>
          <w:b/>
        </w:rPr>
        <w:t>diez empeoraron</w:t>
      </w:r>
      <w:r>
        <w:t xml:space="preserve"> al activarlo, y entre ellos los de mejor desempeño base. El único que mejoró es la variante alojada de </w:t>
      </w:r>
      <w:r>
        <w:t>gemma4:31b</w:t>
      </w:r>
      <w:r>
        <w:t>, y el dato pide cautela antes que celebración: su línea base en esa corrida es de 13,95 % frente al 62,38 % que obtiene en la corrida limpia, de modo que la mejora se mide contra una medición averiada y no acredita nada sobre el efecto del diccionario.</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§5.3.1,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p1a"/>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también, directamente y sin necesidad de corrección alguna, sobre el corpus periodístico: </w:t>
      </w:r>
      <w:r>
        <w:t>gemma4:31b-mlx</w:t>
      </w:r>
      <w:r>
        <w:t xml:space="preserve"> obtiene 81,47 % sobre N=120. La hipótesis queda por tanto confirmada en ambos corpus. La brecha que subsiste, de unos nueve puntos entre 90,16 % y 81,47 %,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 xml:space="preserve">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interpretación de esa interacción exige cuidado, porque la que sugiere la intuición no se sostiene: el corpus sobre el que se midió está redactado </w:t>
      </w:r>
      <w:r>
        <w:rPr>
          <w:b/>
        </w:rPr>
        <w:t>en inglés</w:t>
      </w:r>
      <w:r>
        <w:t xml:space="preserve">, de modo que la instrucción en español no puede estar ayudando al modelo a leer el texto. Lo que sí caracteriza a ese corpus es una minoría de entidades ibéricas, doce de sus ochenta y cuatro personas, procedentes en su mayoría de un caso de corrupción angoleño y por tanto de grafía portuguesa: </w:t>
      </w:r>
      <w:r>
        <w:t>Isabel dos Santos</w:t>
      </w:r>
      <w:r>
        <w:t xml:space="preserve">, </w:t>
      </w:r>
      <w:r>
        <w:t>José Eduardo dos Santos</w:t>
      </w:r>
      <w:r>
        <w:t xml:space="preserve">, </w:t>
      </w:r>
      <w:r>
        <w:t>Hélder Pitta Grós</w:t>
      </w:r>
      <w:r>
        <w:t xml:space="preserve"> o </w:t>
      </w:r>
      <w:r>
        <w:t>Mario Leite da Silva</w:t>
      </w:r>
      <w:r>
        <w:t>. Son nombres con partículas y acentos cuya delimitación es precisamente donde un tokenizador anglocéntrico falla, partiendo la entidad en dos, y donde una instrucción en español orienta mejor al modelo, en línea con el sobrecoste de tokenización documentado para lenguas distintas del inglés [11]. La explicación es entonces más estrecha que la que se suponía, y predice un efecto proporcional a esa minoría, no una mejora general; predicción compatible con que la corrida que replica el experimento arroje 3,11 puntos y no 10,40, y con que el efecto se anule sobre el corpus mayor por la razón que se expone a continuación.</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comparación entre ejecución local y alojada, y exige cuidado porque los dos corpus dicen cosas distintas. Sobre el corpus de quince artículos la variante alojada obtiene 66,99 % de F1 frente al 69,12 % de su contraparte local, lo que sugeriría que la soberanía no cuesta rendimiento; pero ese experimento es el de menor potencia estadística, y sobre los ciento veinte artículos la relación se invierte: la variante alojada alcanza 82,13 % frente al 81,47 % del mejor local. Lo que el estudio sostiene, por tanto, es que la soberanía cuesta menos de un punto de F1 sobre el corpus mayor, no que salga gratis.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p1a"/>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numbereditem"/>
      </w:pPr>
      <w:r>
        <w:rPr>
          <w:b/>
        </w:rPr>
        <w:t>Viabilidad demostrada:</w:t>
      </w:r>
      <w:r>
        <w:t xml:space="preserve"> Es técnicamente viable implementar un sistema NER soberano para cumplimiento AML/KYC con modelos de lenguaje de código abierto ejecutados localmente sobre hardware Apple Silicon M4, alcanzando </w:t>
      </w:r>
      <w:r>
        <w:rPr>
          <w:b/>
        </w:rPr>
        <w:t>81,47 %</w:t>
      </w:r>
      <w:r>
        <w:t xml:space="preserve"> de F1 sobre el corpus periodístico de ciento veinte artículos —de los que 105 están en español— y </w:t>
      </w:r>
      <w:r>
        <w:rPr>
          <w:b/>
        </w:rPr>
        <w:t>90,16 %</w:t>
      </w:r>
      <w:r>
        <w:t xml:space="preserve"> sobre el corpus del dominio de treinta artículos, que está redactado en inglés. En ninguno de los dos corpus se registraron extracciones fallidas.</w:t>
      </w:r>
    </w:p>
    <w:p>
      <w:pPr>
        <w:numPr>
          <w:ilvl w:val="0"/>
          <w:numId w:val="0"/>
        </w:numPr>
        <w:pStyle w:val="numbereditem"/>
      </w:pPr>
      <w:r>
        <w:t xml:space="preserve">Localización lingüística como tendencia no replicada: sobre el corpus de quince artículos, el idioma de la instrucción y el de los ejemplos </w:t>
      </w:r>
      <w:r>
        <w:rPr>
          <w:i/>
        </w:rPr>
        <w:t>few-shot</w:t>
      </w:r>
      <w:r>
        <w:t xml:space="preserve"> parecen </w:t>
      </w:r>
      <w:r>
        <w:rPr>
          <w:b/>
        </w:rPr>
        <w:t>interactuar</w:t>
      </w:r>
      <w:r>
        <w:t xml:space="preserve">, pues por separado aportan +4,38 y −0,72 puntos de F1 mientras combinados alcanzan +10,40. El efecto, sin embargo, </w:t>
      </w:r>
      <w:r>
        <w:rPr>
          <w:b/>
        </w:rPr>
        <w:t>no replica</w:t>
      </w:r>
      <w:r>
        <w:t>: una segunda ejecución sobre el mismo corpus y modelo lo reduce a +3,11 puntos, y sobre el corpus de ciento veinte artículos se anula, con una diferencia de −0,43 puntos y p = 0,9328. La conclusión defendible es por tanto más débil de lo que sugería la primera medición, y además el mecanismo que se le atribuía —que los ejemplos rinden en el idioma del corpus— no puede ser el correcto, porque la mejora se obtuvo sobre artículos redactados en inglés. Determinarlo exige el diseño con réplicas que se propone en §7.2.</w:t>
      </w:r>
    </w:p>
    <w:p>
      <w:pPr>
        <w:numPr>
          <w:ilvl w:val="0"/>
          <w:numId w:val="0"/>
        </w:numPr>
        <w:pStyle w:val="numbereditem"/>
      </w:pPr>
      <w:r>
        <w:t xml:space="preserve">Soberanía de datos con un coste de rendimiento casi nulo sobre el corpus mayor: sobre el corpus de quince artículos la ejecución local supera a la alojada (69,12 % frente a 66,99 % de F1), pero ese experimento es el de menor potencia estadística; sobre los ciento veinte artículos, que es el estudio principal, la variante en la nube del mismo modelo obtiene 82,13 % frente al 81,47 % del mejor local. La conclusión sostenible es que la soberanía cuesta </w:t>
      </w:r>
      <w:r>
        <w:rPr>
          <w:b/>
        </w:rPr>
        <w:t>menos de un punto</w:t>
      </w:r>
      <w:r>
        <w:t xml:space="preserve"> de F1 sobre el corpus de mayor potencia, un precio que en un entorno regulado es claramente razonable, y que se paga a cambio de no transferir texto de clientes a un tercero.</w:t>
      </w:r>
    </w:p>
    <w:p>
      <w:pPr>
        <w:numPr>
          <w:ilvl w:val="0"/>
          <w:numId w:val="0"/>
        </w:numPr>
        <w:pStyle w:val="numbereditem"/>
      </w:pPr>
      <w:r>
        <w:rPr>
          <w:b/>
        </w:rPr>
        <w:t>Reducción estimada de costos operativos:</w:t>
      </w:r>
      <w:r>
        <w:t xml:space="preserve"> ambas cifras son </w:t>
      </w:r>
      <w:r>
        <w:rPr>
          <w:b/>
        </w:rPr>
        <w:t>estimaciones y no mediciones</w:t>
      </w:r>
      <w:r>
        <w:t>: el coste del sistema soberano (0,052 dólares por artículo) reparte infraestructura amortizada y no mide cómputo, de modo que no varía entre modelos, y el de la revisión manual (8,75 dólares por artículo) procede de valorar el tiempo de un analista. Sobre esa base, la reducción estimada es del 99,4 % en el coste unitario directo (60–80% del costo operativo total, que incluye la supervisión humana), con potencial de procesamiento de cientos de artículos diarios sin personal analista dedicado.</w:t>
      </w:r>
    </w:p>
    <w:p>
      <w:pPr>
        <w:numPr>
          <w:ilvl w:val="0"/>
          <w:numId w:val="0"/>
        </w:numPr>
        <w:pStyle w:val="numbereditem"/>
      </w:pPr>
      <w:r>
        <w:rPr>
          <w:b/>
        </w:rPr>
        <w:t>Robustez arquitectural, con su alcance declarado:</w:t>
      </w:r>
      <w:r>
        <w:t xml:space="preserve"> el controlador AIMD acota la concurrencia y reacciona de forma autónoma ante dos señales, las respuestas de limitación de tasa del proveedor —que detecta por coincidencia de subcadenas en el mensaje de error, buscando códigos 429 y 503 y menciones de cuota o sobrecarga— y una racha de errores consecutivos, que abre un cortacircuitos y reduce el número de trabajadores al mínimo. Conviene precisar lo que </w:t>
      </w:r>
      <w:r>
        <w:rPr>
          <w:b/>
        </w:rPr>
        <w:t>no</w:t>
      </w:r>
      <w:r>
        <w:t xml:space="preserve"> hace, porque el diseño no lo contempla: el controlador no recibe telemetría de memoria, de modo que no detecta ni previene el agotamiento de la VRAM. Esa contención se obtiene por otra vía, ejecutando un solo modelo por turno, que es además la condición que garantiza mediciones de telemetría limpias en una GPU de memoria unificada. El </w:t>
      </w:r>
      <w:r>
        <w:rPr>
          <w:i/>
        </w:rPr>
        <w:t>checkpointing</w:t>
      </w:r>
      <w:r>
        <w:t xml:space="preserve"> permite reanudar una corrida interrumpida sin repetir el trabajo ya hecho.</w:t>
      </w:r>
    </w:p>
    <w:p>
      <w:pPr>
        <w:numPr>
          <w:ilvl w:val="0"/>
          <w:numId w:val="0"/>
        </w:numPr>
        <w:pStyle w:val="numbereditem"/>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uno de los trece modelos (</w:t>
      </w:r>
      <w:r>
        <w:t>nemotron-mini:4b</w:t>
      </w:r>
      <w:r>
        <w:t xml:space="preserve"> </w:t>
      </w:r>
      <w:r>
        <w:rPr>
          <w:b/>
        </w:rPr>
        <w:t>+12,26 pp</w:t>
      </w:r>
      <w:r>
        <w:t xml:space="preserve">, p&lt;0,001, el modelo más débil del estudio); el segundo delta bruto mayor, </w:t>
      </w:r>
      <w:r>
        <w:t>llama3.2:latest</w:t>
      </w:r>
      <w:r>
        <w:t xml:space="preserve"> con +6,73 puntos, no distingue del azar tras la corrección por comparaciones múltiples (p=0,2334), y el resto de la franja intermedia se mueve poco en cualquier dirección. En los dos modelos de 31B el efecto es positivo pero marginal (+0,81 y +0,97 puntos), sin el signo negativo que mostraba el corpus con el defecto de anotación sin corregir, versus el dict-RAG (v1.0), que en un sondeo exploratorio N=5 sobre el mismo modelo, no persistido en </w:t>
      </w:r>
      <w:r>
        <w:t>results/</w:t>
      </w:r>
      <w:r>
        <w:t xml:space="preserve">, degradó el F1 hasta 0.2367 (−57.8% respecto de su propio baseline), degradación confirmada después en la corrida histórica N=120 previa a la re-corrida, donde ese mismo modelo caía de 0.3611 a 0.3113. Su efectividad parece modularse por la capacidad paramétrica, beneficiando sobre todo al modelo de menor capacidad del estudio, donde actúa como memoria externa de conocimiento lingüístico sin coste adicional de hardware. La relación con la capacidad es una </w:t>
      </w:r>
      <w:r>
        <w:rPr>
          <w:b/>
        </w:rPr>
        <w:t>tendencia y no un resultado significativo</w:t>
      </w:r>
      <w:r>
        <w:t>: la correlación por rangos entre capacidad y beneficio da ρ = −0,09 con p = 0,775, que ya ni siquiera se aproxima al nivel de significación que este trabajo fija, con trece modelos como tamaño de muestra. Este hallazgo tiene implicaciones directas para el diseño de sistemas RAG en dominio abierto con LLMs soberanos: la recuperación contextual ayuda de forma demostrable al modelo más limitado y no perjudica a los de mayor capacidad, que es lo que justifica ofrecerla como opción y no como sustituto del ajuste fino en los modelos que ya rinden bien sin ella.</w:t>
      </w:r>
    </w:p>
    <w:p>
      <w:pPr>
        <w:numPr>
          <w:ilvl w:val="0"/>
          <w:numId w:val="0"/>
        </w:numPr>
        <w:pStyle w:val="numbereditem"/>
      </w:pPr>
      <w:r>
        <w:t xml:space="preserve">La codificación del corpus condicionó la medición sobre el consolidado publicado, y no de forma neutra: el corpus N=120 almacenaba entonces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corregido antes de la re-corrida que hoy sostiene la Tabla 7 (§5.3.1). Al ser </w:t>
      </w:r>
      <w:r>
        <w:rPr>
          <w:b/>
        </w:rPr>
        <w:t>coherente entre ambos</w:t>
      </w:r>
      <w:r>
        <w:t xml:space="preserve">, no introduce el sesgo uniforme que cabría suponer: favorece a los modelos que transcriben literalmente y penaliza a los que normalizan la ortografía, con un efecto cuyo </w:t>
      </w:r>
      <w:r>
        <w:rPr>
          <w:b/>
        </w:rPr>
        <w:t>signo depende de dónde esté la corrupción</w:t>
      </w:r>
      <w:r>
        <w:t xml:space="preserve">, y esa dependencia es el resultado. Cuando está en la anotación de referencia, veintiuna de las veintiséis configuraciones medidas puntúan </w:t>
      </w:r>
      <w:r>
        <w:rPr>
          <w:b/>
        </w:rPr>
        <w:t>mejor</w:t>
      </w:r>
      <w:r>
        <w:t xml:space="preserve"> en los artículos afectados, porque el cotejo premia transcribir los bytes literalmente y penaliza al modelo que escribe el nombre correctamente. Cuando está en el texto de entrada, veintitrés de veintiséis puntúan </w:t>
      </w:r>
      <w:r>
        <w:rPr>
          <w:b/>
        </w:rPr>
        <w:t>peor</w:t>
      </w:r>
      <w:r>
        <w:t xml:space="preserve">, porque la corrupción dificulta la extracción para todos. Los dos efectos se contraponen, y su cancelación explica que la ventaja de la instrucción en español desaparezca precisamente sobre el corpus con más entidades hispanas: allí la competencia lingüística se vuelve desventaja frente a una referencia corrompida. La implicación metodológica excede a este trabajo: en una evaluación de NER un defecto de codificación no es ruido de fondo sino una variable que interactúa con el comportamiento del modelo, y verificar la codificación de la entrada y de la referencia </w:t>
      </w:r>
      <w:r>
        <w:rPr>
          <w:b/>
        </w:rPr>
        <w:t>por separado</w:t>
      </w:r>
      <w:r>
        <w:t xml:space="preserve"> debe formar parte del protocolo antes de dar por válida cualquier cifra. El detalle, con el script que permite reproducirlo, se desarrolla en el </w:t>
      </w:r>
      <w:r>
        <w:rPr>
          <w:b/>
        </w:rPr>
        <w:t>Anexo H</w:t>
      </w:r>
      <w:r>
        <w:t>.</w:t>
      </w:r>
    </w:p>
    <w:p>
      <w:pPr>
        <w:numPr>
          <w:ilvl w:val="0"/>
          <w:numId w:val="0"/>
        </w:numPr>
        <w:pStyle w:val="heading2"/>
      </w:pPr>
      <w:r>
        <w:t>7.2 Trabajo Futuro</w:t>
      </w:r>
    </w:p>
    <w:p>
      <w:pPr>
        <w:numPr>
          <w:ilvl w:val="0"/>
          <w:numId w:val="0"/>
        </w:numPr>
        <w:pStyle w:val="numbereditem"/>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numbereditem"/>
      </w:pPr>
      <w:r>
        <w:rPr>
          <w:b/>
        </w:rPr>
        <w:t>Fine-tuning supervisado (Fase 1):</w:t>
      </w:r>
      <w:r>
        <w:t xml:space="preserve"> Aplicar LoRA (</w:t>
      </w:r>
      <w:r>
        <w:rPr>
          <w:i/>
        </w:rPr>
        <w:t>Low-Rank Adaptation</w:t>
      </w:r>
      <w:r>
        <w:t xml:space="preserve">) [27],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numbereditem"/>
      </w:pPr>
      <w:r>
        <w:t>Expansión del corpus de evaluación (Fase 2): Ampliar el corpus de N=120 a N≥200 artículos reales del dominio AML/KYC chileno, incorporando fuentes como la UAF, CMF y bases de datos de OpenSanctions [38].</w:t>
      </w:r>
    </w:p>
    <w:p>
      <w:pPr>
        <w:numPr>
          <w:ilvl w:val="0"/>
          <w:numId w:val="0"/>
        </w:numPr>
        <w:pStyle w:val="numbereditem"/>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numbereditem"/>
      </w:pPr>
      <w:r>
        <w:t>Evaluación en producción (Fase 4): Despliegue piloto en Austranet con feeds reales de Google Alerts y medición de KPIs operacionales (tiempo de respuesta, carga, satisfacción del analista).</w:t>
      </w:r>
    </w:p>
    <w:p>
      <w:pPr>
        <w:numPr>
          <w:ilvl w:val="0"/>
          <w:numId w:val="0"/>
        </w:numPr>
        <w:pStyle w:val="numbereditem"/>
      </w:pPr>
      <w:r>
        <w:rPr>
          <w:b/>
        </w:rPr>
        <w:t>Extensión multiidioma (Fase 5):</w:t>
      </w:r>
      <w:r>
        <w:t xml:space="preserve"> Evaluar la robustez del sistema sobre textos en portugués, dado el alcance latinoamericano del problema de cumplimiento. El comportamiento en inglés ya queda caracterizado por los corpus del dominio empleados aquí, y el contraste entre ambos idiomas sobre el corpus N=120 aporta la primera evidencia comparativa.</w:t>
      </w:r>
    </w:p>
    <w:p>
      <w:pPr>
        <w:numPr>
          <w:ilvl w:val="0"/>
          <w:numId w:val="0"/>
        </w:numPr>
        <w:pStyle w:val="numbereditem"/>
      </w:pPr>
      <w:r>
        <w:rPr>
          <w:b/>
        </w:rPr>
        <w:t>Normalización de codificación del corpus y re-evaluación: ya realizada.</w:t>
      </w:r>
      <w:r>
        <w:t xml:space="preserve"> Sobre el consolidado publicado, el corpus N=120 almacenaba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favorecía a los modelos que transcribían literalmente y penalizaba a los que normalizaban la ortografía, con un efecto que, según el criterio de artículo afectado, iba de −0,082 a +0,155 de F1 cuando la corrupción estaba en la anotación de referencia y de −0,267 a +0,015 cuando estaba en el texto de entrada (Anexo H.3). La línea de trabajo que este punto proponía —normalizar la codificación en ambos lados de la comparación y re-ejecutar el estudio N=120— se completó antes de la re-corrida que hoy sostiene la Tabla 7 (§5.3.1): el corpus vigente tiene 0 artículos con este defecto, verificado con </w:t>
      </w:r>
      <w:r>
        <w:t>tools/analisis_mojibake.py</w:t>
      </w:r>
      <w:r>
        <w:t>.</w:t>
      </w:r>
    </w:p>
    <w:p>
      <w:pPr>
        <w:numPr>
          <w:ilvl w:val="0"/>
          <w:numId w:val="0"/>
        </w:numPr>
        <w:pStyle w:val="numbereditem"/>
      </w:pPr>
      <w:r>
        <w:rPr>
          <w:b/>
        </w:rPr>
        <w:t>Recuperación de las localizaciones que el conversor descartaba: ya realizada.</w:t>
      </w:r>
      <w:r>
        <w:t xml:space="preserve"> Los prompts del sistema solicitan tres categorías de entidad, personas, organizaciones y localizaciones, pero sobre el consolidado publicado ninguno de los tres corpus anotaba la tercera. Como se explica en §3.3, eso convertía toda localización correctamente identificada en un falso positivo, y de ahí procede el 66,0 % de los falsos positivos de ese consolidado. La solución resultó más barata de lo previsto: para 105 de los 120 artículos las localizaciones ya estaban anotadas en CoNLL-2002, y bastó con dejar de descartarlas al convertir, porque el conversor filtraba las etiquetas por personas y organizaciones y escribía la lista de localizaciones como constante vacía; los quince artículos de Kleptotrace se anotaron a mano. Aplicado antes de la re-corrida que mide ya las tres categorías (§5.3.1): el corpus vigente tiene 545 localizaciones en 119 de los 120 registros.</w:t>
      </w:r>
    </w:p>
    <w:p>
      <w:pPr>
        <w:numPr>
          <w:ilvl w:val="0"/>
          <w:numId w:val="0"/>
        </w:numPr>
        <w:pStyle w:val="numbereditem"/>
      </w:pPr>
      <w:r>
        <w:t>Construcción de un corpus periodístico del dominio en español (Prioridad Alta): los dos corpus específicos</w:t>
      </w:r>
    </w:p>
    <w:p>
      <w:pPr>
        <w:numPr>
          <w:ilvl w:val="0"/>
          <w:numId w:val="0"/>
        </w:numPr>
        <w:pStyle w:val="Normal"/>
      </w:pPr>
      <w:r>
        <w:t>de cumplimiento empleados aquí, el de quince artículos anotados y el sintético de treinta, están redactados en inglés, y el material en español proviene de CoNLL-2002, que es periodismo general y no del dominio. Falta por tanto un corpus que reúna ambas condiciones a la vez. Las fuentes naturales son las resoluciones sancionatorias de la UAF y de la CMF chilenas y la prensa económica regional, y su anotación por especialistas en cumplimiento es el paso que este trabajo no pudo dar por falta de un corpus etiquetado en el dominio.</w:t>
      </w:r>
    </w:p>
    <w:p>
      <w:pPr>
        <w:numPr>
          <w:ilvl w:val="0"/>
          <w:numId w:val="0"/>
        </w:numPr>
        <w:pStyle w:val="numbereditem"/>
      </w:pPr>
      <w:r>
        <w:t>Replicación del efecto del idioma del prompt (Prioridad Media): la ventaja de redactar la instrucción y los</w:t>
      </w:r>
    </w:p>
    <w:p>
      <w:pPr>
        <w:numPr>
          <w:ilvl w:val="0"/>
          <w:numId w:val="0"/>
        </w:numPr>
        <w:pStyle w:val="Normal"/>
      </w:pPr>
      <w:r>
        <w:t>ejemplos en español se midió en +10,40 puntos sobre el corpus de quince artículos, pero no replica: una segunda ejecución sobre el mismo corpus y modelo da +3,11 puntos, y sobre el corpus de ciento veinte el efecto se anula, con una diferencia de −0,43 puntos y p = 0,9328. Determinar si la ventaja existe exige un diseño con réplicas y semillas declaradas sobre un corpus del tamaño suficiente, y conviene hacerlo porque el mecanismo que se le atribuía, la concordancia de idioma entre prompt y texto, no puede ser el correcto: la mejora se obtuvo sobre artículos en inglés.</w:t>
      </w:r>
    </w:p>
    <w:p>
      <w:pPr>
        <w:numPr>
          <w:ilvl w:val="0"/>
          <w:numId w:val="0"/>
        </w:numPr>
        <w:pStyle w:val="numbereditem"/>
      </w:pPr>
      <w:r>
        <w:t>Contraste pareado por modelo y variantes de la métrica (Prioridad Alta): los veintiséis grupos</w:t>
      </w:r>
    </w:p>
    <w:p>
      <w:pPr>
        <w:numPr>
          <w:ilvl w:val="0"/>
          <w:numId w:val="0"/>
        </w:numPr>
        <w:pStyle w:val="Normal"/>
      </w:pPr>
      <w:r>
        <w:t>evalúan los mismos ciento veinte artículos, de modo que las observaciones están apareadas y el procedimiento que corresponde al diseño es un contraste pareado modelo por modelo con corrección por comparaciones múltiples, y no el análisis de varianza de una vía que este trabajo reporta y cuya limitación §5.3.1 ya declara. Replicarlo exige declarar las dos métricas, la de tres categorías y la restringida del Anexo I, porque no coinciden en qué modelos resultan significativos; y acompañar cada modelo de tres cifras de tamaño de efecto: mediana, media y recuento de pares que cambian con su reparto entre mejoras y empeoramientos. La mediana por sí sola induce a error cuando una fracción grande de los pares vale cero, caso en que un efecto concentrado en una minoría de artículos se lee como ausencia de efecto. Conviene además contrastar la F1 macro por artículo que este trabajo publica con dos variantes que responden a objeciones distintas: la F1 micro, que agrega los aciertos y los errores de todo el corpus antes de calcular la métrica y por tanto pondera por entidad y no por artículo, lo que evita que un artículo con dos entidades pese igual que uno con cuarenta; y un remuestreo pareado sobre la diferencia de F1, que entrega intervalo de confianza sin suponer normalidad ni homocedasticidad y es la práctica recomendada para contrastes de significación en procesamiento de lenguaje natural [39].</w:t>
      </w:r>
    </w:p>
    <w:p>
      <w:pPr>
        <w:numPr>
          <w:ilvl w:val="0"/>
          <w:numId w:val="0"/>
        </w:numPr>
        <w:pStyle w:val="heading1"/>
      </w:pPr>
      <w:r>
        <w:t>Referencias</w:t>
      </w:r>
    </w:p>
    <w:p>
      <w:pPr>
        <w:numPr>
          <w:ilvl w:val="0"/>
          <w:numId w:val="0"/>
        </w:numPr>
        <w:pStyle w:val="referenceitem"/>
      </w:pPr>
      <w:r>
        <w:t xml:space="preserve">[1] P. Lewis et al., "Retrieval-Augmented Generation for Knowledge-Intensive NLP Tasks," </w:t>
      </w:r>
      <w:r>
        <w:rPr>
          <w:i/>
        </w:rPr>
        <w:t>Advances in Neural Information Processing Systems</w:t>
      </w:r>
      <w:r>
        <w:t>, vol. 33, pp. 9459-9474, 2020. [En línea]. Disponible: https://proceedings.neurips.cc/paper/2020/hash/6b493230205f780e1bc26945df7481e5-Abstract.html</w:t>
      </w:r>
    </w:p>
    <w:p>
      <w:pPr>
        <w:numPr>
          <w:ilvl w:val="0"/>
          <w:numId w:val="0"/>
        </w:numPr>
        <w:pStyle w:val="referenceitem"/>
      </w:pPr>
      <w:r>
        <w:t xml:space="preserve">[2] J. Devlin, M.-W. Chang, K. Lee, and K. Toutanova, "BERT: Pre-training of Deep Bidirectional Transformers for Language Understanding," </w:t>
      </w:r>
      <w:r>
        <w:rPr>
          <w:i/>
        </w:rPr>
        <w:t>Proceedings of NAACL</w:t>
      </w:r>
      <w:r>
        <w:t>, pp. 4171-4186, 2019. [En línea]. Disponible: https://doi.org/10.18653/v1/N19-1423</w:t>
      </w:r>
    </w:p>
    <w:p>
      <w:pPr>
        <w:numPr>
          <w:ilvl w:val="0"/>
          <w:numId w:val="0"/>
        </w:numPr>
        <w:pStyle w:val="referenceitem"/>
      </w:pPr>
      <w:r>
        <w:t>[3] S. Wu et al., "BloombergGPT: A Large Language Model for Finance," 2023, arXiv:2303.17564. [Online]. Available: https://arxiv.org/abs/2303.17564</w:t>
      </w:r>
    </w:p>
    <w:p>
      <w:pPr>
        <w:numPr>
          <w:ilvl w:val="0"/>
          <w:numId w:val="0"/>
        </w:numPr>
        <w:pStyle w:val="referenceitem"/>
      </w:pPr>
      <w:r>
        <w:t xml:space="preserve">[4] A. Vaswani et al., "Attention is All you Need," </w:t>
      </w:r>
      <w:r>
        <w:rPr>
          <w:i/>
        </w:rPr>
        <w:t>Advances in Neural Information Processing Systems</w:t>
      </w:r>
      <w:r>
        <w:t>, vol. 30, 2017. [En línea]. Disponible: https://proceedings.neurips.cc/paper/2017/hash/3f5ee243547dee91fbd053c1c4a845aa-Abstract.html</w:t>
      </w:r>
    </w:p>
    <w:p>
      <w:pPr>
        <w:numPr>
          <w:ilvl w:val="0"/>
          <w:numId w:val="0"/>
        </w:numPr>
        <w:pStyle w:val="referenceitem"/>
      </w:pPr>
      <w:r>
        <w:t xml:space="preserve">[5] K. Bourne and S. Es, </w:t>
      </w:r>
      <w:r>
        <w:rPr>
          <w:i/>
        </w:rPr>
        <w:t>Unlocking Data with Generative AI and RAG</w:t>
      </w:r>
      <w:r>
        <w:t>. Birmingham, R.U.: Packt Publishing, 2024, ISBN 978-1-83588-790-5. [En línea]. Disponible: https://books.google.com/books?vid=ISBN9781835887905</w:t>
      </w:r>
    </w:p>
    <w:p>
      <w:pPr>
        <w:numPr>
          <w:ilvl w:val="0"/>
          <w:numId w:val="0"/>
        </w:numPr>
        <w:pStyle w:val="referenceitem"/>
      </w:pPr>
      <w:r>
        <w:t>[6] Y. Gao et al., "Retrieval-Augmented Generation for Large Language Models: A Survey," 2024, arXiv:2312.10997. [Online]. Available: https://arxiv.org/abs/2312.10997</w:t>
      </w:r>
    </w:p>
    <w:p>
      <w:pPr>
        <w:numPr>
          <w:ilvl w:val="0"/>
          <w:numId w:val="0"/>
        </w:numPr>
        <w:pStyle w:val="referenceitem"/>
      </w:pPr>
      <w:r>
        <w:t xml:space="preserve">[7] J. Cañete, G. Chaperon, R. Fuentes, J.-H. Ho, H. Kang, and J. Pérez, "Spanish Pre-Trained BERT Model and Evaluation Data," in </w:t>
      </w:r>
      <w:r>
        <w:rPr>
          <w:i/>
        </w:rPr>
        <w:t>Proc. Practical ML for Developing Countries Workshop (PML4DC) at ICLR 2020</w:t>
      </w:r>
      <w:r>
        <w:t>, Addis Abeba, Etiopía, 2020. [En línea]. Disponible: https://arxiv.org/abs/2308.02976</w:t>
      </w:r>
    </w:p>
    <w:p>
      <w:pPr>
        <w:numPr>
          <w:ilvl w:val="0"/>
          <w:numId w:val="0"/>
        </w:numPr>
        <w:pStyle w:val="referenceitem"/>
      </w:pPr>
      <w:r>
        <w:t xml:space="preserve">[8] T. Brown et al., "Language Models are Few-Shot Learners," </w:t>
      </w:r>
      <w:r>
        <w:rPr>
          <w:i/>
        </w:rPr>
        <w:t>Advances in Neural Information Processing Systems</w:t>
      </w:r>
      <w:r>
        <w:t>, vol. 33, pp. 1877-1901, 2020. [En línea]. Disponible: https://proceedings.neurips.cc/paper/2020/hash/1457c0d6bfcb4967418bfb8ac142f64a-Abstract.html</w:t>
      </w:r>
    </w:p>
    <w:p>
      <w:pPr>
        <w:numPr>
          <w:ilvl w:val="0"/>
          <w:numId w:val="0"/>
        </w:numPr>
        <w:pStyle w:val="referenceitem"/>
      </w:pPr>
      <w:r>
        <w:t>[9] P. Islam, A. Kannappan, D. Kiela, R. Qian, N. Scherrer, and B. Vidgen, "FinanceBench: A New Benchmark for Financial Question Answering," 2023, arXiv:2311.11944. [En línea]. Disponible: https://arxiv.org/abs/2311.11944</w:t>
      </w:r>
    </w:p>
    <w:p>
      <w:pPr>
        <w:numPr>
          <w:ilvl w:val="0"/>
          <w:numId w:val="0"/>
        </w:numPr>
        <w:pStyle w:val="referenceitem"/>
      </w:pPr>
      <w:r>
        <w:t xml:space="preserve">[10] J. C. Salinas Alvarado, K. Verspoor, and T. Baldwin, "Domain Adaption of Named Entity Recognition to Support Credit Risk Assessment," in </w:t>
      </w:r>
      <w:r>
        <w:rPr>
          <w:i/>
        </w:rPr>
        <w:t>Proc. Australasian Language Technology Association Workshop (ALTA)</w:t>
      </w:r>
      <w:r>
        <w:t>, Parramatta, Australia, dic. 2015, pp. 84-90. [En línea]. Disponible: https://aclanthology.org/U15-1010/</w:t>
      </w:r>
    </w:p>
    <w:p>
      <w:pPr>
        <w:numPr>
          <w:ilvl w:val="0"/>
          <w:numId w:val="0"/>
        </w:numPr>
        <w:pStyle w:val="referenceitem"/>
      </w:pPr>
      <w:r>
        <w:t xml:space="preserve">[11] O. Ahia et al., "Do All Languages Cost the Same? Tokenization in the Era of Commercial Language Models," in </w:t>
      </w:r>
      <w:r>
        <w:rPr>
          <w:i/>
        </w:rPr>
        <w:t>Proc. Conf. Empirical Methods in Natural Language Processing (EMNLP)</w:t>
      </w:r>
      <w:r>
        <w:t>, 2023, pp. 9904-9923. [En línea]. Disponible: https://doi.org/10.18653/v1/2023.emnlp-main.614</w:t>
      </w:r>
    </w:p>
    <w:p>
      <w:pPr>
        <w:numPr>
          <w:ilvl w:val="0"/>
          <w:numId w:val="0"/>
        </w:numPr>
        <w:pStyle w:val="referenceitem"/>
      </w:pPr>
      <w:r>
        <w:t xml:space="preserve">[12] E. F. Tjong Kim Sang, "Introduction to the CoNLL-2002 Shared Task: Language-Independent Named Entity Recognition," </w:t>
      </w:r>
      <w:r>
        <w:rPr>
          <w:i/>
        </w:rPr>
        <w:t>Proceedings of CoNLL-2002</w:t>
      </w:r>
      <w:r>
        <w:t>, pp. 155-158, 2002. [Online]. Available: https://aclanthology.org/W02-2024/</w:t>
      </w:r>
    </w:p>
    <w:p>
      <w:pPr>
        <w:numPr>
          <w:ilvl w:val="0"/>
          <w:numId w:val="0"/>
        </w:numPr>
        <w:pStyle w:val="referenceitem"/>
      </w:pPr>
      <w:r>
        <w:t xml:space="preserve">[13] J. Wei et al., "Chain-of-Thought Prompting Elicits Reasoning in Large Language Models," </w:t>
      </w:r>
      <w:r>
        <w:rPr>
          <w:i/>
        </w:rPr>
        <w:t>Advances in Neural Information Processing Systems</w:t>
      </w:r>
      <w:r>
        <w:t>, vol. 35, pp. 24824-24837, 2022. [En línea]. Disponible: https://doi.org/10.52202/068431-1800</w:t>
      </w:r>
    </w:p>
    <w:p>
      <w:pPr>
        <w:numPr>
          <w:ilvl w:val="0"/>
          <w:numId w:val="0"/>
        </w:numPr>
        <w:pStyle w:val="referenceitem"/>
      </w:pPr>
      <w:r>
        <w:t xml:space="preserve">[14] Z. Zhao et al., "Calibrate Before Use: Improving Few-shot Performance of Language Models," in </w:t>
      </w:r>
      <w:r>
        <w:rPr>
          <w:i/>
        </w:rPr>
        <w:t>Proc. 38th Int. Conf. Machine Learning (ICML)</w:t>
      </w:r>
      <w:r>
        <w:t>, PMLR vol. 139, 2021, pp. 12697-12706. [En línea]. Disponible: https://proceedings.mlr.press/v139/zhao21c.html</w:t>
      </w:r>
    </w:p>
    <w:p>
      <w:pPr>
        <w:numPr>
          <w:ilvl w:val="0"/>
          <w:numId w:val="0"/>
        </w:numPr>
        <w:pStyle w:val="referenceitem"/>
      </w:pPr>
      <w:r>
        <w:t xml:space="preserve">[15] L. Loukas, M. Fergadiotis, I. Chalkidis, E. Spyropoulou, P. Malakasiotis, I. Androutsopoulos, and G. Paliouras, "FiNER: Financial Numeric Entity Recognition for XBRL Tagging," in </w:t>
      </w:r>
      <w:r>
        <w:rPr>
          <w:i/>
        </w:rPr>
        <w:t>Proc. 60th Annu. Meeting Assoc. Comput. Linguistics (ACL)</w:t>
      </w:r>
      <w:r>
        <w:t>, vol. 1, Dublín, Irlanda, mayo 2022, pp. 4419-4431, doi: 10.18653/v1/2022.acl-long.303. [En línea]. Disponible: https://aclanthology.org/2022.acl-long.303/</w:t>
      </w:r>
    </w:p>
    <w:p>
      <w:pPr>
        <w:numPr>
          <w:ilvl w:val="0"/>
          <w:numId w:val="0"/>
        </w:numPr>
        <w:pStyle w:val="referenceitem"/>
      </w:pPr>
      <w:r>
        <w:t xml:space="preserve">[16] R. Schwartz et al., "Green AI," </w:t>
      </w:r>
      <w:r>
        <w:rPr>
          <w:i/>
        </w:rPr>
        <w:t>Communications of the ACM</w:t>
      </w:r>
      <w:r>
        <w:t>, vol. 63, no. 12, pp. 54-63, 2020. [En línea]. Disponible: https://doi.org/10.1145/3381831</w:t>
      </w:r>
    </w:p>
    <w:p>
      <w:pPr>
        <w:numPr>
          <w:ilvl w:val="0"/>
          <w:numId w:val="0"/>
        </w:numPr>
        <w:pStyle w:val="referenceitem"/>
      </w:pPr>
      <w:r>
        <w:t xml:space="preserve">[17] J. Lafferty, A. McCallum, and F. Pereira, "Conditional Random Fields: Probabilistic Models for Segmenting and Labeling Sequence Data," </w:t>
      </w:r>
      <w:r>
        <w:rPr>
          <w:i/>
        </w:rPr>
        <w:t>Proceedings of ICML</w:t>
      </w:r>
      <w:r>
        <w:t>, pp. 282-289, 2001. [En línea]. Disponible: https://dl.acm.org/doi/10.5555/645530.655813</w:t>
      </w:r>
    </w:p>
    <w:p>
      <w:pPr>
        <w:numPr>
          <w:ilvl w:val="0"/>
          <w:numId w:val="0"/>
        </w:numPr>
        <w:pStyle w:val="referenceitem"/>
      </w:pPr>
      <w:r>
        <w:t>[18] Proyecto KLEPTOTRACE, "Kleptotrace-micro-dataset," conjunto de datos, Zenodo, 2024 (15 artículos y 441 frases sobre corrupción financiera, con listas de personas y organizaciones anotadas). doi: 10.5281/zenodo.14027005. [En línea]. Disponible: https://doi.org/10.5281/zenodo.14027005</w:t>
      </w:r>
    </w:p>
    <w:p>
      <w:pPr>
        <w:numPr>
          <w:ilvl w:val="0"/>
          <w:numId w:val="0"/>
        </w:numPr>
        <w:pStyle w:val="referenceitem"/>
      </w:pPr>
      <w:r>
        <w:t xml:space="preserve">[19] U.S. Department of the Treasury, Office of Foreign Assets Control, </w:t>
      </w:r>
      <w:r>
        <w:rPr>
          <w:i/>
        </w:rPr>
        <w:t>Specially Designated Nationals and Blocked Persons List (SDN)</w:t>
      </w:r>
      <w:r>
        <w:t>, instantánea del 27 de julio de 2026. [En línea]. Disponible: https://www.treasury.gov/ofac/downloads/sdn.csv</w:t>
      </w:r>
    </w:p>
    <w:p>
      <w:pPr>
        <w:numPr>
          <w:ilvl w:val="0"/>
          <w:numId w:val="0"/>
        </w:numPr>
        <w:pStyle w:val="referenceitem"/>
      </w:pPr>
      <w:r>
        <w:t xml:space="preserve">[20] T. Dettmers, A. Pagnoni, A. Holtzman, and L. Zettlemoyer, "QLoRA: Efficient Finetuning of Quantized LLMs," </w:t>
      </w:r>
      <w:r>
        <w:rPr>
          <w:i/>
        </w:rPr>
        <w:t>Advances in Neural Information Processing Systems</w:t>
      </w:r>
      <w:r>
        <w:t>, vol. 36, pp. 10088-10115, 2023. [En línea]. Disponible: https://doi.org/10.52202/075280-0441</w:t>
      </w:r>
    </w:p>
    <w:p>
      <w:pPr>
        <w:numPr>
          <w:ilvl w:val="0"/>
          <w:numId w:val="0"/>
        </w:numPr>
        <w:pStyle w:val="referenceitem"/>
      </w:pPr>
      <w:r>
        <w:t xml:space="preserve">[21] Verified Market Research. (2022, mar. 8). </w:t>
      </w:r>
      <w:r>
        <w:rPr>
          <w:i/>
        </w:rPr>
        <w:t>RegTech Market Size Worth $87.17 Billion, Globally, by 2028 at 23.92% CAGR</w:t>
      </w:r>
      <w:r>
        <w:t xml:space="preserve"> [Online]. Available: https://www.prnewswire.com/news-releases/regtech-market-size-worth--87-17-billion-globally-by-2028-at-23-92-cagr-verified-market-research-301497770.html (accedido: 8 sep. 2026).</w:t>
      </w:r>
    </w:p>
    <w:p>
      <w:pPr>
        <w:numPr>
          <w:ilvl w:val="0"/>
          <w:numId w:val="0"/>
        </w:numPr>
        <w:pStyle w:val="referenceitem"/>
      </w:pPr>
      <w:r>
        <w:t xml:space="preserve">[22] Chile, </w:t>
      </w:r>
      <w:r>
        <w:rPr>
          <w:i/>
        </w:rPr>
        <w:t>Ley N.º 19.913: Crea la Unidad de Análisis Financiero y modifica diversas disposiciones en materia de lavado y blanqueo de activos</w:t>
      </w:r>
      <w:r>
        <w:t>, Diario Oficial, 18 dic. 2003. [Online]. Available: https://www.uaf.cl/es-cl/normativa/nuestra-ley (accedido: 8 sep. 2026).</w:t>
      </w:r>
    </w:p>
    <w:p>
      <w:pPr>
        <w:numPr>
          <w:ilvl w:val="0"/>
          <w:numId w:val="0"/>
        </w:numPr>
        <w:pStyle w:val="referenceitem"/>
      </w:pPr>
      <w:r>
        <w:t xml:space="preserve">[23] A. Conneau et al., "Unsupervised Cross-lingual Representation Learning at Scale," in </w:t>
      </w:r>
      <w:r>
        <w:rPr>
          <w:i/>
        </w:rPr>
        <w:t>Proc. 58th Annual Meeting of the Association for Computational Linguistics (ACL)</w:t>
      </w:r>
      <w:r>
        <w:t>, 2020, pp. 8440-8451. [En línea]. Disponible: https://doi.org/10.18653/v1/2020.acl-main.747</w:t>
      </w:r>
    </w:p>
    <w:p>
      <w:pPr>
        <w:numPr>
          <w:ilvl w:val="0"/>
          <w:numId w:val="0"/>
        </w:numPr>
        <w:pStyle w:val="referenceitem"/>
      </w:pPr>
      <w:r>
        <w:t xml:space="preserve">[24] G. Lample et al., "Neural Architectures for Named Entity Recognition," in </w:t>
      </w:r>
      <w:r>
        <w:rPr>
          <w:i/>
        </w:rPr>
        <w:t>Proc. Conf. North American Chapter of the Association for Computational Linguistics: Human Language Technologies (NAACL-HLT)</w:t>
      </w:r>
      <w:r>
        <w:t>, San Diego, CA, USA, 2016, pp. 260-270. [En línea]. Disponible: https://doi.org/10.18653/v1/N16-1030</w:t>
      </w:r>
    </w:p>
    <w:p>
      <w:pPr>
        <w:numPr>
          <w:ilvl w:val="0"/>
          <w:numId w:val="0"/>
        </w:numPr>
        <w:pStyle w:val="referenceitem"/>
      </w:pPr>
      <w:r>
        <w:t xml:space="preserve">[25] J. W. Tukey, "Comparing Individual Means in the Analysis of Variance," </w:t>
      </w:r>
      <w:r>
        <w:rPr>
          <w:i/>
        </w:rPr>
        <w:t>Biometrics</w:t>
      </w:r>
      <w:r>
        <w:t>, vol. 5, no. 2, pp. 99-114, 1949. [En línea]. Disponible: https://doi.org/10.2307/3001913</w:t>
      </w:r>
    </w:p>
    <w:p>
      <w:pPr>
        <w:numPr>
          <w:ilvl w:val="0"/>
          <w:numId w:val="0"/>
        </w:numPr>
        <w:pStyle w:val="referenceitem"/>
      </w:pPr>
      <w:r>
        <w:t xml:space="preserve">[26] D.-M. Chiu and R. Jain, "Analysis of the Increase and Decrease Algorithms for Congestion Avoidance in Computer Networks," </w:t>
      </w:r>
      <w:r>
        <w:rPr>
          <w:i/>
        </w:rPr>
        <w:t>Computer Networks and ISDN Systems</w:t>
      </w:r>
      <w:r>
        <w:t>, vol. 17, no. 1, pp. 1-14, 1989. [En línea]. Disponible: https://doi.org/10.1016/0169-7552(89)90019-6</w:t>
      </w:r>
    </w:p>
    <w:p>
      <w:pPr>
        <w:numPr>
          <w:ilvl w:val="0"/>
          <w:numId w:val="0"/>
        </w:numPr>
        <w:pStyle w:val="referenceitem"/>
      </w:pPr>
      <w:r>
        <w:t xml:space="preserve">[27] E. J. Hu et al., "LoRA: Low-Rank Adaptation of Large Language Models," in </w:t>
      </w:r>
      <w:r>
        <w:rPr>
          <w:i/>
        </w:rPr>
        <w:t>Proc. Int. Conf. on Learning Representations (ICLR)</w:t>
      </w:r>
      <w:r>
        <w:t>, 2022. [En línea]. Disponible: https://iclr.cc/virtual/2022/poster/6319</w:t>
      </w:r>
    </w:p>
    <w:p>
      <w:pPr>
        <w:numPr>
          <w:ilvl w:val="0"/>
          <w:numId w:val="0"/>
        </w:numPr>
        <w:pStyle w:val="referenceitem"/>
      </w:pPr>
      <w:r>
        <w:t xml:space="preserve">[28] W. Kwon et al., "Efficient Memory Management for Large Language Model Serving with PagedAttention," in </w:t>
      </w:r>
      <w:r>
        <w:rPr>
          <w:i/>
        </w:rPr>
        <w:t>Proc. 29th ACM Symp. on Operating Systems Principles (SOSP)</w:t>
      </w:r>
      <w:r>
        <w:t>, 2023, pp. 611-626. doi: 10.1145/3600006.3613165. [En línea]. Disponible: https://doi.org/10.1145/3600006.3613165</w:t>
      </w:r>
    </w:p>
    <w:p>
      <w:pPr>
        <w:numPr>
          <w:ilvl w:val="0"/>
          <w:numId w:val="0"/>
        </w:numPr>
        <w:pStyle w:val="referenceitem"/>
      </w:pPr>
      <w:r>
        <w:t xml:space="preserve">[29] Ollama. </w:t>
      </w:r>
      <w:r>
        <w:rPr>
          <w:i/>
        </w:rPr>
        <w:t>Ollama</w:t>
      </w:r>
      <w:r>
        <w:t xml:space="preserve"> [Online]. Available: https://github.com/ollama/ollama (accedido: 8 sep. 2026).</w:t>
      </w:r>
    </w:p>
    <w:p>
      <w:pPr>
        <w:numPr>
          <w:ilvl w:val="0"/>
          <w:numId w:val="0"/>
        </w:numPr>
        <w:pStyle w:val="referenceitem"/>
      </w:pPr>
      <w:r>
        <w:t xml:space="preserve">[30] llama.cpp contributors. </w:t>
      </w:r>
      <w:r>
        <w:rPr>
          <w:i/>
        </w:rPr>
        <w:t>llama.cpp: LLM inference in C/C++</w:t>
      </w:r>
      <w:r>
        <w:t xml:space="preserve"> [Online]. Available: https://github.com/ggml-org/llama.cpp (accedido: 8 sep. 2026).</w:t>
      </w:r>
    </w:p>
    <w:p>
      <w:pPr>
        <w:numPr>
          <w:ilvl w:val="0"/>
          <w:numId w:val="0"/>
        </w:numPr>
        <w:pStyle w:val="referenceitem"/>
      </w:pPr>
      <w:r>
        <w:t xml:space="preserve">[31] Apple Machine Learning Research. </w:t>
      </w:r>
      <w:r>
        <w:rPr>
          <w:i/>
        </w:rPr>
        <w:t>MLX: An array framework for Apple silicon</w:t>
      </w:r>
      <w:r>
        <w:t xml:space="preserve"> [Online]. Available: https://github.com/ml-explore/mlx (accedido: 8 sep. 2026).</w:t>
      </w:r>
    </w:p>
    <w:p>
      <w:pPr>
        <w:numPr>
          <w:ilvl w:val="0"/>
          <w:numId w:val="0"/>
        </w:numPr>
        <w:pStyle w:val="referenceitem"/>
      </w:pPr>
      <w:r>
        <w:t xml:space="preserve">[32] Chroma. </w:t>
      </w:r>
      <w:r>
        <w:rPr>
          <w:i/>
        </w:rPr>
        <w:t>chroma: search infrastructure for AI</w:t>
      </w:r>
      <w:r>
        <w:t xml:space="preserve"> [Online]. Available: https://github.com/chroma-core/chroma (accedido: 8 sep. 2026).</w:t>
      </w:r>
    </w:p>
    <w:p>
      <w:pPr>
        <w:numPr>
          <w:ilvl w:val="0"/>
          <w:numId w:val="0"/>
        </w:numPr>
        <w:pStyle w:val="referenceitem"/>
      </w:pPr>
      <w:r>
        <w:t xml:space="preserve">[33] M. Bachmann et al. </w:t>
      </w:r>
      <w:r>
        <w:rPr>
          <w:i/>
        </w:rPr>
        <w:t>RapidFuzz: rapid fuzzy string matching in Python</w:t>
      </w:r>
      <w:r>
        <w:t xml:space="preserve"> [Online]. Available: https://pypi.org/project/RapidFuzz/ (accedido: 8 sep. 2026).</w:t>
      </w:r>
    </w:p>
    <w:p>
      <w:pPr>
        <w:numPr>
          <w:ilvl w:val="0"/>
          <w:numId w:val="0"/>
        </w:numPr>
        <w:pStyle w:val="referenceitem"/>
      </w:pPr>
      <w:r>
        <w:t xml:space="preserve">[34] F. Pedregosa et al., "Scikit-learn: Machine Learning in Python," </w:t>
      </w:r>
      <w:r>
        <w:rPr>
          <w:i/>
        </w:rPr>
        <w:t>Journal of Machine Learning Research</w:t>
      </w:r>
      <w:r>
        <w:t>, vol. 12, pp. 2825-2830, 2011. [En línea]. Disponible: https://www.jmlr.org/papers/v12/pedregosa11a.html</w:t>
      </w:r>
    </w:p>
    <w:p>
      <w:pPr>
        <w:numPr>
          <w:ilvl w:val="0"/>
          <w:numId w:val="0"/>
        </w:numPr>
        <w:pStyle w:val="referenceitem"/>
      </w:pPr>
      <w:r>
        <w:t xml:space="preserve">[35] S. Seabold and J. Perktold, "Statsmodels: Econometric and Statistical Modeling with Python," in </w:t>
      </w:r>
      <w:r>
        <w:rPr>
          <w:i/>
        </w:rPr>
        <w:t>Proc. 9th Python in Science Conf. (SciPy)</w:t>
      </w:r>
      <w:r>
        <w:t>, Austin, TX, USA, 2010, pp. 92-96. [En línea]. Disponible: https://doi.org/10.25080/Majora-92bf1922-011</w:t>
      </w:r>
    </w:p>
    <w:p>
      <w:pPr>
        <w:numPr>
          <w:ilvl w:val="0"/>
          <w:numId w:val="0"/>
        </w:numPr>
        <w:pStyle w:val="referenceitem"/>
      </w:pPr>
      <w:r>
        <w:t xml:space="preserve">[36] Apple Inc. </w:t>
      </w:r>
      <w:r>
        <w:rPr>
          <w:i/>
        </w:rPr>
        <w:t>recommendedMaxWorkingSetSize (Metal, MTLDevice)</w:t>
      </w:r>
      <w:r>
        <w:t xml:space="preserve"> [Online]. Available: https://developer.apple.com/documentation/metal/mtldevice/recommendedmaxworkingsetsize (accedido: 8 sep. 2026).</w:t>
      </w:r>
    </w:p>
    <w:p>
      <w:pPr>
        <w:numPr>
          <w:ilvl w:val="0"/>
          <w:numId w:val="0"/>
        </w:numPr>
        <w:pStyle w:val="referenceitem"/>
      </w:pPr>
      <w:r>
        <w:t xml:space="preserve">[37] E. Ahumada Gallardo. </w:t>
      </w:r>
      <w:r>
        <w:rPr>
          <w:i/>
        </w:rPr>
        <w:t>mti-pge-tesina-ner-llm-local</w:t>
      </w:r>
      <w:r>
        <w:t>, repositorio de código del trabajo, 2026. [Online]. Available: https://github.com/eahumada/mti-pge-tesina-ner-llm-local (accedido: 8 sep. 2026).</w:t>
      </w:r>
    </w:p>
    <w:p>
      <w:pPr>
        <w:numPr>
          <w:ilvl w:val="0"/>
          <w:numId w:val="0"/>
        </w:numPr>
        <w:pStyle w:val="referenceitem"/>
      </w:pPr>
      <w:r>
        <w:t xml:space="preserve">[38] OpenSanctions, </w:t>
      </w:r>
      <w:r>
        <w:rPr>
          <w:i/>
        </w:rPr>
        <w:t>FollowTheMoney: an ontology and data model for anti-corruption and due diligence data</w:t>
      </w:r>
      <w:r>
        <w:t xml:space="preserve"> [En línea]. Disponible: https://followthemoney.tech</w:t>
      </w:r>
    </w:p>
    <w:p>
      <w:pPr>
        <w:numPr>
          <w:ilvl w:val="0"/>
          <w:numId w:val="0"/>
        </w:numPr>
        <w:pStyle w:val="referenceitem"/>
      </w:pPr>
      <w:r>
        <w:t xml:space="preserve">[39] R. Dror, G. Baumer, S. Shlomov, and R. Reichart, "The Hitchhiker's Guide to Testing Statistical Significance in Natural Language Processing," in </w:t>
      </w:r>
      <w:r>
        <w:rPr>
          <w:i/>
        </w:rPr>
        <w:t>Proc. 56th Annual Meeting of the Association for Computational Linguistics (Volume 1: Long Papers)</w:t>
      </w:r>
      <w:r>
        <w:t>, Melbourne, Australia, 2018, pp. 1383-1392, doi: 10.18653/v1/P18-1128. [En línea]. Disponible: https://aclanthology.org/P18-1128/</w:t>
      </w:r>
    </w:p>
    <w:p>
      <w:pPr>
        <w:numPr>
          <w:ilvl w:val="0"/>
          <w:numId w:val="0"/>
        </w:numPr>
        <w:pStyle w:val="heading1"/>
      </w:pPr>
      <w:r>
        <w:t>Anexos</w:t>
      </w:r>
    </w:p>
    <w:p>
      <w:pPr>
        <w:numPr>
          <w:ilvl w:val="0"/>
          <w:numId w:val="0"/>
        </w:numPr>
        <w:pStyle w:val="heading2"/>
      </w:pPr>
      <w:r>
        <w:t>Anexo A — Estructura del Repositorio de Código</w:t>
      </w:r>
    </w:p>
    <w:p>
      <w:pPr>
        <w:numPr>
          <w:ilvl w:val="0"/>
          <w:numId w:val="0"/>
        </w:numPr>
        <w:pStyle w:val="p1a"/>
      </w:pPr>
      <w:r>
        <w:t>El código, los corpus, los resultados por corrida y los documentos de trabajo están publicados en el repositorio del trabajo [37]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 La Tabla 9 describe la estructura del repositorio.</w:t>
      </w:r>
    </w:p>
    <w:p>
      <w:pPr>
        <w:numPr>
          <w:ilvl w:val="0"/>
          <w:numId w:val="0"/>
        </w:numPr>
        <w:pStyle w:val="tablecaption"/>
      </w:pPr>
      <w:r>
        <w:t>Tabla 9. Estructura del repositorio de código</w:t>
      </w:r>
    </w:p>
    <w:tbl>
      <w:tblPr>
        <w:tblStyle w:val="Table"/>
        <w:tblW w:type="dxa" w:w="8838"/>
        <w:tblLayout w:type="fixed"/>
        <w:tblLook w:firstRow="1" w:lastRow="0" w:firstColumn="0" w:lastColumn="0" w:noHBand="0" w:noVBand="0" w:val="0020"/>
      </w:tblPr>
      <w:tblGrid>
        <w:gridCol w:w="5892"/>
        <w:gridCol w:w="2946"/>
      </w:tblGrid>
      <w:tr>
        <w:trPr>
          <w:tblHeader w:val="on"/>
        </w:trPr>
        <w:tc>
          <w:tcPr>
            <w:tcW w:type="dxa" w:w="5892"/>
          </w:tcPr>
          <w:p>
            <w:pPr>
              <w:pStyle w:val="Compact"/>
              <w:jc w:val="left"/>
            </w:pPr>
            <w:r>
              <w:rPr>
                <w:b/>
              </w:rPr>
              <w:t>Ruta</w:t>
            </w:r>
          </w:p>
        </w:tc>
        <w:tc>
          <w:tcPr>
            <w:tcW w:type="dxa" w:w="2946"/>
          </w:tcPr>
          <w:p>
            <w:pPr>
              <w:pStyle w:val="Compact"/>
              <w:jc w:val="left"/>
            </w:pPr>
            <w:r>
              <w:rPr>
                <w:b/>
              </w:rPr>
              <w:t>Descripción</w:t>
            </w:r>
          </w:p>
        </w:tc>
      </w:tr>
      <w:tr>
        <w:tc>
          <w:tcPr>
            <w:tcW w:type="dxa" w:w="5892"/>
          </w:tcPr>
          <w:p>
            <w:pPr>
              <w:pStyle w:val="Compact"/>
              <w:jc w:val="left"/>
            </w:pPr>
            <w:r>
              <w:rPr>
                <w:b w:val="0"/>
              </w:rPr>
              <w:t>repos/ner-llm-entity-benchmark/</w:t>
            </w:r>
          </w:p>
        </w:tc>
        <w:tc>
          <w:tcPr>
            <w:tcW w:type="dxa" w:w="2946"/>
          </w:tcPr>
          <w:p>
            <w:pPr>
              <w:pStyle w:val="Compact"/>
              <w:jc w:val="left"/>
            </w:pPr>
            <w:r>
              <w:rPr>
                <w:b w:val="0"/>
              </w:rPr>
              <w:t>Raíz del sistema de evaluación</w:t>
            </w:r>
          </w:p>
        </w:tc>
      </w:tr>
      <w:tr>
        <w:tc>
          <w:tcPr>
            <w:tcW w:type="dxa" w:w="5892"/>
          </w:tcPr>
          <w:p>
            <w:pPr>
              <w:pStyle w:val="Compact"/>
              <w:jc w:val="left"/>
            </w:pPr>
            <w:r>
              <w:rPr>
                <w:b w:val="0"/>
              </w:rPr>
              <w:t>src/</w:t>
            </w:r>
          </w:p>
        </w:tc>
        <w:tc>
          <w:tcPr>
            <w:tcW w:type="dxa" w:w="2946"/>
          </w:tcPr>
          <w:p>
            <w:pPr>
              <w:pStyle w:val="Compact"/>
              <w:jc w:val="left"/>
            </w:pPr>
            <w:r>
              <w:rPr>
                <w:b w:val="0"/>
              </w:rPr>
              <w:t>Código de la aplicación, organizado por capas</w:t>
            </w:r>
          </w:p>
        </w:tc>
      </w:tr>
      <w:tr>
        <w:tc>
          <w:tcPr>
            <w:tcW w:type="dxa" w:w="5892"/>
          </w:tcPr>
          <w:p>
            <w:pPr>
              <w:pStyle w:val="Compact"/>
              <w:jc w:val="left"/>
            </w:pPr>
            <w:r>
              <w:rPr>
                <w:b w:val="0"/>
              </w:rPr>
              <w:t>src/main.py</w:t>
            </w:r>
          </w:p>
        </w:tc>
        <w:tc>
          <w:tcPr>
            <w:tcW w:type="dxa" w:w="2946"/>
          </w:tcPr>
          <w:p>
            <w:pPr>
              <w:pStyle w:val="Compact"/>
              <w:jc w:val="left"/>
            </w:pPr>
            <w:r>
              <w:rPr>
                <w:b w:val="0"/>
              </w:rPr>
              <w:t>Orquestador principal, con la opción --rag-mode en la interfaz de línea de órdenes</w:t>
            </w:r>
          </w:p>
        </w:tc>
      </w:tr>
      <w:tr>
        <w:tc>
          <w:tcPr>
            <w:tcW w:type="dxa" w:w="5892"/>
          </w:tcPr>
          <w:p>
            <w:pPr>
              <w:pStyle w:val="Compact"/>
              <w:jc w:val="left"/>
            </w:pPr>
            <w:r>
              <w:rPr>
                <w:b w:val="0"/>
              </w:rPr>
              <w:t>src/config.py</w:t>
            </w:r>
          </w:p>
        </w:tc>
        <w:tc>
          <w:tcPr>
            <w:tcW w:type="dxa" w:w="2946"/>
          </w:tcPr>
          <w:p>
            <w:pPr>
              <w:pStyle w:val="Compact"/>
              <w:jc w:val="left"/>
            </w:pPr>
            <w:r>
              <w:rPr>
                <w:b w:val="0"/>
              </w:rPr>
              <w:t>Configuración global, incluido el modo de recuperación</w:t>
            </w:r>
          </w:p>
        </w:tc>
      </w:tr>
      <w:tr>
        <w:tc>
          <w:tcPr>
            <w:tcW w:type="dxa" w:w="5892"/>
          </w:tcPr>
          <w:p>
            <w:pPr>
              <w:pStyle w:val="Compact"/>
              <w:jc w:val="left"/>
            </w:pPr>
            <w:r>
              <w:rPr>
                <w:b w:val="0"/>
              </w:rPr>
              <w:t>src/data_loader.py</w:t>
            </w:r>
          </w:p>
        </w:tc>
        <w:tc>
          <w:tcPr>
            <w:tcW w:type="dxa" w:w="2946"/>
          </w:tcPr>
          <w:p>
            <w:pPr>
              <w:pStyle w:val="Compact"/>
              <w:jc w:val="left"/>
            </w:pPr>
            <w:r>
              <w:rPr>
                <w:b w:val="0"/>
              </w:rPr>
              <w:t>Carga y validación del corpus</w:t>
            </w:r>
          </w:p>
        </w:tc>
      </w:tr>
      <w:tr>
        <w:tc>
          <w:tcPr>
            <w:tcW w:type="dxa" w:w="5892"/>
          </w:tcPr>
          <w:p>
            <w:pPr>
              <w:pStyle w:val="Compact"/>
              <w:jc w:val="left"/>
            </w:pPr>
            <w:r>
              <w:rPr>
                <w:b w:val="0"/>
              </w:rPr>
              <w:t>src/llm_runner.py</w:t>
            </w:r>
          </w:p>
        </w:tc>
        <w:tc>
          <w:tcPr>
            <w:tcW w:type="dxa" w:w="2946"/>
          </w:tcPr>
          <w:p>
            <w:pPr>
              <w:pStyle w:val="Compact"/>
              <w:jc w:val="left"/>
            </w:pPr>
            <w:r>
              <w:rPr>
                <w:b w:val="0"/>
              </w:rPr>
              <w:t>Runner LLM con parseo en cascada</w:t>
            </w:r>
          </w:p>
        </w:tc>
      </w:tr>
      <w:tr>
        <w:tc>
          <w:tcPr>
            <w:tcW w:type="dxa" w:w="5892"/>
          </w:tcPr>
          <w:p>
            <w:pPr>
              <w:pStyle w:val="Compact"/>
              <w:jc w:val="left"/>
            </w:pPr>
            <w:r>
              <w:rPr>
                <w:b w:val="0"/>
              </w:rPr>
              <w:t>src/evaluator.py</w:t>
            </w:r>
          </w:p>
        </w:tc>
        <w:tc>
          <w:tcPr>
            <w:tcW w:type="dxa" w:w="2946"/>
          </w:tcPr>
          <w:p>
            <w:pPr>
              <w:pStyle w:val="Compact"/>
              <w:jc w:val="left"/>
            </w:pPr>
            <w:r>
              <w:rPr>
                <w:b w:val="0"/>
              </w:rPr>
              <w:t>Métricas F1 + taxonomía de errores</w:t>
            </w:r>
          </w:p>
        </w:tc>
      </w:tr>
      <w:tr>
        <w:tc>
          <w:tcPr>
            <w:tcW w:type="dxa" w:w="5892"/>
          </w:tcPr>
          <w:p>
            <w:pPr>
              <w:pStyle w:val="Compact"/>
              <w:jc w:val="left"/>
            </w:pPr>
            <w:r>
              <w:rPr>
                <w:b w:val="0"/>
              </w:rPr>
              <w:t>src/pub_sub.py</w:t>
            </w:r>
          </w:p>
        </w:tc>
        <w:tc>
          <w:tcPr>
            <w:tcW w:type="dxa" w:w="2946"/>
          </w:tcPr>
          <w:p>
            <w:pPr>
              <w:pStyle w:val="Compact"/>
              <w:jc w:val="left"/>
            </w:pPr>
            <w:r>
              <w:rPr>
                <w:b w:val="0"/>
              </w:rPr>
              <w:t>Cola Pub/Sub multithreading</w:t>
            </w:r>
          </w:p>
        </w:tc>
      </w:tr>
      <w:tr>
        <w:tc>
          <w:tcPr>
            <w:tcW w:type="dxa" w:w="5892"/>
          </w:tcPr>
          <w:p>
            <w:pPr>
              <w:pStyle w:val="Compact"/>
              <w:jc w:val="left"/>
            </w:pPr>
            <w:r>
              <w:rPr>
                <w:b w:val="0"/>
              </w:rPr>
              <w:t>src/adaptive_workers.py</w:t>
            </w:r>
          </w:p>
        </w:tc>
        <w:tc>
          <w:tcPr>
            <w:tcW w:type="dxa" w:w="2946"/>
          </w:tcPr>
          <w:p>
            <w:pPr>
              <w:pStyle w:val="Compact"/>
              <w:jc w:val="left"/>
            </w:pPr>
            <w:r>
              <w:rPr>
                <w:b w:val="0"/>
              </w:rPr>
              <w:t>Controlador AIMD</w:t>
            </w:r>
          </w:p>
        </w:tc>
      </w:tr>
      <w:tr>
        <w:tc>
          <w:tcPr>
            <w:tcW w:type="dxa" w:w="5892"/>
          </w:tcPr>
          <w:p>
            <w:pPr>
              <w:pStyle w:val="Compact"/>
              <w:jc w:val="left"/>
            </w:pPr>
            <w:r>
              <w:rPr>
                <w:b w:val="0"/>
              </w:rPr>
              <w:t>src/checkpoint.py</w:t>
            </w:r>
          </w:p>
        </w:tc>
        <w:tc>
          <w:tcPr>
            <w:tcW w:type="dxa" w:w="2946"/>
          </w:tcPr>
          <w:p>
            <w:pPr>
              <w:pStyle w:val="Compact"/>
              <w:jc w:val="left"/>
            </w:pPr>
            <w:r>
              <w:rPr>
                <w:b w:val="0"/>
              </w:rPr>
              <w:t>Persistencia de estado</w:t>
            </w:r>
          </w:p>
        </w:tc>
      </w:tr>
      <w:tr>
        <w:tc>
          <w:tcPr>
            <w:tcW w:type="dxa" w:w="5892"/>
          </w:tcPr>
          <w:p>
            <w:pPr>
              <w:pStyle w:val="Compact"/>
              <w:jc w:val="left"/>
            </w:pPr>
            <w:r>
              <w:rPr>
                <w:b w:val="0"/>
              </w:rPr>
              <w:t>src/rag_manager.py</w:t>
            </w:r>
          </w:p>
        </w:tc>
        <w:tc>
          <w:tcPr>
            <w:tcW w:type="dxa" w:w="2946"/>
          </w:tcPr>
          <w:p>
            <w:pPr>
              <w:pStyle w:val="Compact"/>
              <w:jc w:val="left"/>
            </w:pPr>
            <w:r>
              <w:rPr>
                <w:b w:val="0"/>
              </w:rPr>
              <w:t>Gestor del RAG por diccionario, la primera versión del módulo</w:t>
            </w:r>
          </w:p>
        </w:tc>
      </w:tr>
      <w:tr>
        <w:tc>
          <w:tcPr>
            <w:tcW w:type="dxa" w:w="5892"/>
          </w:tcPr>
          <w:p>
            <w:pPr>
              <w:pStyle w:val="Compact"/>
              <w:jc w:val="left"/>
            </w:pPr>
            <w:r>
              <w:rPr>
                <w:b w:val="0"/>
              </w:rPr>
              <w:t>src/kb_rag_manager.py</w:t>
            </w:r>
          </w:p>
        </w:tc>
        <w:tc>
          <w:tcPr>
            <w:tcW w:type="dxa" w:w="2946"/>
          </w:tcPr>
          <w:p>
            <w:pPr>
              <w:pStyle w:val="Compact"/>
              <w:jc w:val="left"/>
            </w:pPr>
            <w:r>
              <w:rPr>
                <w:b w:val="0"/>
              </w:rPr>
              <w:t>Gestor del RAG contextual sobre la base de conocimientos</w:t>
            </w:r>
          </w:p>
        </w:tc>
      </w:tr>
      <w:tr>
        <w:tc>
          <w:tcPr>
            <w:tcW w:type="dxa" w:w="5892"/>
          </w:tcPr>
          <w:p>
            <w:pPr>
              <w:pStyle w:val="Compact"/>
              <w:jc w:val="left"/>
            </w:pPr>
            <w:r>
              <w:rPr>
                <w:b w:val="0"/>
              </w:rPr>
              <w:t>src/dashboard.py</w:t>
            </w:r>
          </w:p>
        </w:tc>
        <w:tc>
          <w:tcPr>
            <w:tcW w:type="dxa" w:w="2946"/>
          </w:tcPr>
          <w:p>
            <w:pPr>
              <w:pStyle w:val="Compact"/>
              <w:jc w:val="left"/>
            </w:pPr>
            <w:r>
              <w:rPr>
                <w:b w:val="0"/>
              </w:rPr>
              <w:t>Interfaz Streamlit (7 pestañas)</w:t>
            </w:r>
          </w:p>
        </w:tc>
      </w:tr>
      <w:tr>
        <w:tc>
          <w:tcPr>
            <w:tcW w:type="dxa" w:w="5892"/>
          </w:tcPr>
          <w:p>
            <w:pPr>
              <w:pStyle w:val="Compact"/>
              <w:jc w:val="left"/>
            </w:pPr>
            <w:r>
              <w:rPr>
                <w:b w:val="0"/>
              </w:rPr>
              <w:t>src/statistics.py</w:t>
            </w:r>
          </w:p>
        </w:tc>
        <w:tc>
          <w:tcPr>
            <w:tcW w:type="dxa" w:w="2946"/>
          </w:tcPr>
          <w:p>
            <w:pPr>
              <w:pStyle w:val="Compact"/>
              <w:jc w:val="left"/>
            </w:pPr>
            <w:r>
              <w:rPr>
                <w:b w:val="0"/>
              </w:rPr>
              <w:t>ANOVA + Tukey HSD + IC95</w:t>
            </w:r>
          </w:p>
        </w:tc>
      </w:tr>
      <w:tr>
        <w:tc>
          <w:tcPr>
            <w:tcW w:type="dxa" w:w="5892"/>
          </w:tcPr>
          <w:p>
            <w:pPr>
              <w:pStyle w:val="Compact"/>
              <w:jc w:val="left"/>
            </w:pPr>
            <w:r>
              <w:rPr>
                <w:b w:val="0"/>
              </w:rPr>
              <w:t>src/providers/</w:t>
            </w:r>
          </w:p>
        </w:tc>
        <w:tc>
          <w:tcPr>
            <w:tcW w:type="dxa" w:w="2946"/>
          </w:tcPr>
          <w:p>
            <w:pPr>
              <w:pStyle w:val="Compact"/>
              <w:jc w:val="left"/>
            </w:pPr>
            <w:r>
              <w:rPr>
                <w:b w:val="0"/>
              </w:rPr>
              <w:t>Capa de abstracción de proveedores de modelo, con su factoría</w:t>
            </w:r>
          </w:p>
        </w:tc>
      </w:tr>
      <w:tr>
        <w:tc>
          <w:tcPr>
            <w:tcW w:type="dxa" w:w="5892"/>
          </w:tcPr>
          <w:p>
            <w:pPr>
              <w:pStyle w:val="Compact"/>
              <w:jc w:val="left"/>
            </w:pPr>
            <w:r>
              <w:rPr>
                <w:b w:val="0"/>
              </w:rPr>
              <w:t>src/providers/base.py</w:t>
            </w:r>
          </w:p>
        </w:tc>
        <w:tc>
          <w:tcPr>
            <w:tcW w:type="dxa" w:w="2946"/>
          </w:tcPr>
          <w:p>
            <w:pPr>
              <w:pStyle w:val="Compact"/>
              <w:jc w:val="left"/>
            </w:pPr>
            <w:r>
              <w:rPr>
                <w:b w:val="0"/>
              </w:rPr>
              <w:t>LLMProvider ABC</w:t>
            </w:r>
          </w:p>
        </w:tc>
      </w:tr>
      <w:tr>
        <w:tc>
          <w:tcPr>
            <w:tcW w:type="dxa" w:w="5892"/>
          </w:tcPr>
          <w:p>
            <w:pPr>
              <w:pStyle w:val="Compact"/>
              <w:jc w:val="left"/>
            </w:pPr>
            <w:r>
              <w:rPr>
                <w:b w:val="0"/>
              </w:rPr>
              <w:t>src/providers/factory.py</w:t>
            </w:r>
          </w:p>
        </w:tc>
        <w:tc>
          <w:tcPr>
            <w:tcW w:type="dxa" w:w="2946"/>
          </w:tcPr>
          <w:p>
            <w:pPr>
              <w:pStyle w:val="Compact"/>
              <w:jc w:val="left"/>
            </w:pPr>
            <w:r>
              <w:rPr>
                <w:b w:val="0"/>
              </w:rPr>
              <w:t>LLMProviderFactory</w:t>
            </w:r>
          </w:p>
        </w:tc>
      </w:tr>
      <w:tr>
        <w:tc>
          <w:tcPr>
            <w:tcW w:type="dxa" w:w="5892"/>
          </w:tcPr>
          <w:p>
            <w:pPr>
              <w:pStyle w:val="Compact"/>
              <w:jc w:val="left"/>
            </w:pPr>
            <w:r>
              <w:rPr>
                <w:b w:val="0"/>
              </w:rPr>
              <w:t>src/providers/ollama_provider.py</w:t>
            </w:r>
          </w:p>
        </w:tc>
        <w:tc>
          <w:tcPr>
            <w:tcW w:type="dxa" w:w="2946"/>
          </w:tcPr>
          <w:p>
            <w:pPr>
              <w:pStyle w:val="Compact"/>
              <w:jc w:val="left"/>
            </w:pPr>
            <w:r>
              <w:rPr>
                <w:b w:val="0"/>
              </w:rPr>
              <w:t>Proveedor Ollama, con la plantilla del RAG contextual</w:t>
            </w:r>
          </w:p>
        </w:tc>
      </w:tr>
      <w:tr>
        <w:tc>
          <w:tcPr>
            <w:tcW w:type="dxa" w:w="5892"/>
          </w:tcPr>
          <w:p>
            <w:pPr>
              <w:pStyle w:val="Compact"/>
              <w:jc w:val="left"/>
            </w:pPr>
            <w:r>
              <w:rPr>
                <w:b w:val="0"/>
              </w:rPr>
              <w:t>src/providers/openai_provider.py</w:t>
            </w:r>
          </w:p>
        </w:tc>
        <w:tc>
          <w:tcPr>
            <w:tcW w:type="dxa" w:w="2946"/>
          </w:tcPr>
          <w:p>
            <w:pPr>
              <w:pStyle w:val="Compact"/>
              <w:jc w:val="left"/>
            </w:pPr>
            <w:r>
              <w:rPr>
                <w:b w:val="0"/>
              </w:rPr>
              <w:t>Proveedor OpenAI (alojado)</w:t>
            </w:r>
          </w:p>
        </w:tc>
      </w:tr>
      <w:tr>
        <w:tc>
          <w:tcPr>
            <w:tcW w:type="dxa" w:w="5892"/>
          </w:tcPr>
          <w:p>
            <w:pPr>
              <w:pStyle w:val="Compact"/>
              <w:jc w:val="left"/>
            </w:pPr>
            <w:r>
              <w:rPr>
                <w:b w:val="0"/>
              </w:rPr>
              <w:t>src/providers/anthropic_provider.py</w:t>
            </w:r>
          </w:p>
        </w:tc>
        <w:tc>
          <w:tcPr>
            <w:tcW w:type="dxa" w:w="2946"/>
          </w:tcPr>
          <w:p>
            <w:pPr>
              <w:pStyle w:val="Compact"/>
              <w:jc w:val="left"/>
            </w:pPr>
            <w:r>
              <w:rPr>
                <w:b w:val="0"/>
              </w:rPr>
              <w:t>Proveedor Anthropic (alojado)</w:t>
            </w:r>
          </w:p>
        </w:tc>
      </w:tr>
      <w:tr>
        <w:tc>
          <w:tcPr>
            <w:tcW w:type="dxa" w:w="5892"/>
          </w:tcPr>
          <w:p>
            <w:pPr>
              <w:pStyle w:val="Compact"/>
              <w:jc w:val="left"/>
            </w:pPr>
            <w:r>
              <w:rPr>
                <w:b w:val="0"/>
              </w:rPr>
              <w:t>src/providers/vertexai_provider.py</w:t>
            </w:r>
          </w:p>
        </w:tc>
        <w:tc>
          <w:tcPr>
            <w:tcW w:type="dxa" w:w="2946"/>
          </w:tcPr>
          <w:p>
            <w:pPr>
              <w:pStyle w:val="Compact"/>
              <w:jc w:val="left"/>
            </w:pPr>
            <w:r>
              <w:rPr>
                <w:b w:val="0"/>
              </w:rPr>
              <w:t>Proveedor Vertex AI (alojado)</w:t>
            </w:r>
          </w:p>
        </w:tc>
      </w:tr>
      <w:tr>
        <w:tc>
          <w:tcPr>
            <w:tcW w:type="dxa" w:w="5892"/>
          </w:tcPr>
          <w:p>
            <w:pPr>
              <w:pStyle w:val="Compact"/>
              <w:jc w:val="left"/>
            </w:pPr>
            <w:r>
              <w:rPr>
                <w:b w:val="0"/>
              </w:rPr>
              <w:t>src/providers/__init__.py</w:t>
            </w:r>
          </w:p>
        </w:tc>
        <w:tc>
          <w:tcPr>
            <w:tcW w:type="dxa" w:w="2946"/>
          </w:tcPr>
          <w:p>
            <w:pPr>
              <w:pStyle w:val="Compact"/>
              <w:jc w:val="left"/>
            </w:pPr>
            <w:r>
              <w:rPr>
                <w:b w:val="0"/>
              </w:rPr>
              <w:t>Facade get_provider()</w:t>
            </w:r>
          </w:p>
        </w:tc>
      </w:tr>
      <w:tr>
        <w:tc>
          <w:tcPr>
            <w:tcW w:type="dxa" w:w="5892"/>
          </w:tcPr>
          <w:p>
            <w:pPr>
              <w:pStyle w:val="Compact"/>
              <w:jc w:val="left"/>
            </w:pPr>
            <w:r>
              <w:rPr>
                <w:b w:val="0"/>
              </w:rPr>
              <w:t>data/</w:t>
            </w:r>
          </w:p>
        </w:tc>
        <w:tc>
          <w:tcPr>
            <w:tcW w:type="dxa" w:w="2946"/>
          </w:tcPr>
          <w:p>
            <w:pPr>
              <w:pStyle w:val="Compact"/>
              <w:jc w:val="left"/>
            </w:pPr>
            <w:r>
              <w:rPr>
                <w:b w:val="0"/>
              </w:rPr>
              <w:t>Corpus, diccionarios y base de conocimientos</w:t>
            </w:r>
          </w:p>
        </w:tc>
      </w:tr>
      <w:tr>
        <w:tc>
          <w:tcPr>
            <w:tcW w:type="dxa" w:w="5892"/>
          </w:tcPr>
          <w:p>
            <w:pPr>
              <w:pStyle w:val="Compact"/>
              <w:jc w:val="left"/>
            </w:pPr>
            <w:r>
              <w:rPr>
                <w:b w:val="0"/>
              </w:rPr>
              <w:t>data/benchmark_balanced_120.json</w:t>
            </w:r>
          </w:p>
        </w:tc>
        <w:tc>
          <w:tcPr>
            <w:tcW w:type="dxa" w:w="2946"/>
          </w:tcPr>
          <w:p>
            <w:pPr>
              <w:pStyle w:val="Compact"/>
              <w:jc w:val="left"/>
            </w:pPr>
            <w:r>
              <w:rPr>
                <w:b w:val="0"/>
              </w:rPr>
              <w:t>Corpus N=120 (Gold Standard real)</w:t>
            </w:r>
          </w:p>
        </w:tc>
      </w:tr>
      <w:tr>
        <w:tc>
          <w:tcPr>
            <w:tcW w:type="dxa" w:w="5892"/>
          </w:tcPr>
          <w:p>
            <w:pPr>
              <w:pStyle w:val="Compact"/>
              <w:jc w:val="left"/>
            </w:pPr>
            <w:r>
              <w:rPr>
                <w:b w:val="0"/>
              </w:rPr>
              <w:t>data/dictionaries/</w:t>
            </w:r>
          </w:p>
        </w:tc>
        <w:tc>
          <w:tcPr>
            <w:tcW w:type="dxa" w:w="2946"/>
          </w:tcPr>
          <w:p>
            <w:pPr>
              <w:pStyle w:val="Compact"/>
              <w:jc w:val="left"/>
            </w:pPr>
            <w:r>
              <w:rPr>
                <w:b w:val="0"/>
              </w:rPr>
              <w:t>Diccionarios de entidades del RAG por diccionario, con su fichero de procedencia</w:t>
            </w:r>
          </w:p>
        </w:tc>
      </w:tr>
      <w:tr>
        <w:tc>
          <w:tcPr>
            <w:tcW w:type="dxa" w:w="5892"/>
          </w:tcPr>
          <w:p>
            <w:pPr>
              <w:pStyle w:val="Compact"/>
              <w:jc w:val="left"/>
            </w:pPr>
            <w:r>
              <w:rPr>
                <w:b w:val="0"/>
              </w:rPr>
              <w:t>data/dictionaries/persons.json</w:t>
            </w:r>
          </w:p>
        </w:tc>
        <w:tc>
          <w:tcPr>
            <w:tcW w:type="dxa" w:w="2946"/>
          </w:tcPr>
          <w:p>
            <w:pPr>
              <w:pStyle w:val="Compact"/>
              <w:jc w:val="left"/>
            </w:pPr>
            <w:r>
              <w:rPr>
                <w:b w:val="0"/>
              </w:rPr>
              <w:t>Diccionario de personas (v1.0)</w:t>
            </w:r>
          </w:p>
        </w:tc>
      </w:tr>
      <w:tr>
        <w:tc>
          <w:tcPr>
            <w:tcW w:type="dxa" w:w="5892"/>
          </w:tcPr>
          <w:p>
            <w:pPr>
              <w:pStyle w:val="Compact"/>
              <w:jc w:val="left"/>
            </w:pPr>
            <w:r>
              <w:rPr>
                <w:b w:val="0"/>
              </w:rPr>
              <w:t>data/dictionaries/organizations.json</w:t>
            </w:r>
          </w:p>
        </w:tc>
        <w:tc>
          <w:tcPr>
            <w:tcW w:type="dxa" w:w="2946"/>
          </w:tcPr>
          <w:p>
            <w:pPr>
              <w:pStyle w:val="Compact"/>
              <w:jc w:val="left"/>
            </w:pPr>
            <w:r>
              <w:rPr>
                <w:b w:val="0"/>
              </w:rPr>
              <w:t>Diccionario de organizaciones (v1.0)</w:t>
            </w:r>
          </w:p>
        </w:tc>
      </w:tr>
      <w:tr>
        <w:tc>
          <w:tcPr>
            <w:tcW w:type="dxa" w:w="5892"/>
          </w:tcPr>
          <w:p>
            <w:pPr>
              <w:pStyle w:val="Compact"/>
              <w:jc w:val="left"/>
            </w:pPr>
            <w:r>
              <w:rPr>
                <w:b w:val="0"/>
              </w:rPr>
              <w:t>data/dictionaries/augmented_persons.json</w:t>
            </w:r>
          </w:p>
        </w:tc>
        <w:tc>
          <w:tcPr>
            <w:tcW w:type="dxa" w:w="2946"/>
          </w:tcPr>
          <w:p>
            <w:pPr>
              <w:pStyle w:val="Compact"/>
              <w:jc w:val="left"/>
            </w:pPr>
            <w:r>
              <w:rPr>
                <w:b w:val="0"/>
              </w:rPr>
              <w:t>Personas aumentadas (v1.0)</w:t>
            </w:r>
          </w:p>
        </w:tc>
      </w:tr>
      <w:tr>
        <w:tc>
          <w:tcPr>
            <w:tcW w:type="dxa" w:w="5892"/>
          </w:tcPr>
          <w:p>
            <w:pPr>
              <w:pStyle w:val="Compact"/>
              <w:jc w:val="left"/>
            </w:pPr>
            <w:r>
              <w:rPr>
                <w:b w:val="0"/>
              </w:rPr>
              <w:t>data/knowledge_base/</w:t>
            </w:r>
          </w:p>
        </w:tc>
        <w:tc>
          <w:tcPr>
            <w:tcW w:type="dxa" w:w="2946"/>
          </w:tcPr>
          <w:p>
            <w:pPr>
              <w:pStyle w:val="Compact"/>
              <w:jc w:val="left"/>
            </w:pPr>
            <w:r>
              <w:rPr>
                <w:b w:val="0"/>
              </w:rPr>
              <w:t>Base de conocimientos del RAG contextual: guías tipológicas, reglas y ejemplares</w:t>
            </w:r>
          </w:p>
        </w:tc>
      </w:tr>
      <w:tr>
        <w:tc>
          <w:tcPr>
            <w:tcW w:type="dxa" w:w="5892"/>
          </w:tcPr>
          <w:p>
            <w:pPr>
              <w:pStyle w:val="Compact"/>
              <w:jc w:val="left"/>
            </w:pPr>
            <w:r>
              <w:rPr>
                <w:b w:val="0"/>
              </w:rPr>
              <w:t>data/knowledge_base/domain_guidelines.json</w:t>
            </w:r>
          </w:p>
        </w:tc>
        <w:tc>
          <w:tcPr>
            <w:tcW w:type="dxa" w:w="2946"/>
          </w:tcPr>
          <w:p>
            <w:pPr>
              <w:pStyle w:val="Compact"/>
              <w:jc w:val="left"/>
            </w:pPr>
            <w:r>
              <w:rPr>
                <w:b w:val="0"/>
              </w:rPr>
              <w:t>5 dominios con reglas NER tipológicas</w:t>
            </w:r>
          </w:p>
        </w:tc>
      </w:tr>
      <w:tr>
        <w:tc>
          <w:tcPr>
            <w:tcW w:type="dxa" w:w="5892"/>
          </w:tcPr>
          <w:p>
            <w:pPr>
              <w:pStyle w:val="Compact"/>
              <w:jc w:val="left"/>
            </w:pPr>
            <w:r>
              <w:rPr>
                <w:b w:val="0"/>
              </w:rPr>
              <w:t>data/knowledge_base/few_shot_exemplars.json</w:t>
            </w:r>
          </w:p>
        </w:tc>
        <w:tc>
          <w:tcPr>
            <w:tcW w:type="dxa" w:w="2946"/>
          </w:tcPr>
          <w:p>
            <w:pPr>
              <w:pStyle w:val="Compact"/>
              <w:jc w:val="left"/>
            </w:pPr>
            <w:r>
              <w:rPr>
                <w:b w:val="0"/>
              </w:rPr>
              <w:t>7 ejemplares anotados (artículos reales)</w:t>
            </w:r>
          </w:p>
        </w:tc>
      </w:tr>
      <w:tr>
        <w:tc>
          <w:tcPr>
            <w:tcW w:type="dxa" w:w="5892"/>
          </w:tcPr>
          <w:p>
            <w:pPr>
              <w:pStyle w:val="Compact"/>
              <w:jc w:val="left"/>
            </w:pPr>
            <w:r>
              <w:rPr>
                <w:b w:val="0"/>
              </w:rPr>
              <w:t>results/</w:t>
            </w:r>
          </w:p>
        </w:tc>
        <w:tc>
          <w:tcPr>
            <w:tcW w:type="dxa" w:w="2946"/>
          </w:tcPr>
          <w:p>
            <w:pPr>
              <w:pStyle w:val="Compact"/>
              <w:jc w:val="left"/>
            </w:pPr>
            <w:r>
              <w:rPr>
                <w:b w:val="0"/>
              </w:rPr>
              <w:t>Salidas del benchmark</w:t>
            </w:r>
          </w:p>
        </w:tc>
      </w:tr>
      <w:tr>
        <w:tc>
          <w:tcPr>
            <w:tcW w:type="dxa" w:w="5892"/>
          </w:tcPr>
          <w:p>
            <w:pPr>
              <w:pStyle w:val="Compact"/>
              <w:jc w:val="left"/>
            </w:pPr>
            <w:r>
              <w:rPr>
                <w:b w:val="0"/>
              </w:rPr>
              <w:t>results/benchmark_results.csv</w:t>
            </w:r>
          </w:p>
        </w:tc>
        <w:tc>
          <w:tcPr>
            <w:tcW w:type="dxa" w:w="2946"/>
          </w:tcPr>
          <w:p>
            <w:pPr>
              <w:pStyle w:val="Compact"/>
              <w:jc w:val="left"/>
            </w:pPr>
            <w:r>
              <w:rPr>
                <w:b w:val="0"/>
              </w:rPr>
              <w:t>Métricas por artículo y modelo, una fila por registro evaluado</w:t>
            </w:r>
          </w:p>
        </w:tc>
      </w:tr>
      <w:tr>
        <w:tc>
          <w:tcPr>
            <w:tcW w:type="dxa" w:w="5892"/>
          </w:tcPr>
          <w:p>
            <w:pPr>
              <w:pStyle w:val="Compact"/>
              <w:jc w:val="left"/>
            </w:pPr>
            <w:r>
              <w:rPr>
                <w:b w:val="0"/>
              </w:rPr>
              <w:t>results/statistical_report.md</w:t>
            </w:r>
          </w:p>
        </w:tc>
        <w:tc>
          <w:tcPr>
            <w:tcW w:type="dxa" w:w="2946"/>
          </w:tcPr>
          <w:p>
            <w:pPr>
              <w:pStyle w:val="Compact"/>
              <w:jc w:val="left"/>
            </w:pPr>
            <w:r>
              <w:rPr>
                <w:b w:val="0"/>
              </w:rPr>
              <w:t>Informe de ANOVA, Tukey e intervalos de confianza derivado del CSV</w:t>
            </w:r>
          </w:p>
        </w:tc>
      </w:tr>
      <w:tr>
        <w:tc>
          <w:tcPr>
            <w:tcW w:type="dxa" w:w="5892"/>
          </w:tcPr>
          <w:p>
            <w:pPr>
              <w:pStyle w:val="Compact"/>
              <w:jc w:val="left"/>
            </w:pPr>
            <w:r>
              <w:rPr>
                <w:b w:val="0"/>
              </w:rPr>
              <w:t>results/benchmark_balanced_120_&lt;timestamp&gt;/</w:t>
            </w:r>
          </w:p>
        </w:tc>
        <w:tc>
          <w:tcPr>
            <w:tcW w:type="dxa" w:w="2946"/>
          </w:tcPr>
          <w:p>
            <w:pPr>
              <w:pStyle w:val="Compact"/>
              <w:jc w:val="left"/>
            </w:pPr>
            <w:r>
              <w:rPr>
                <w:b w:val="0"/>
              </w:rPr>
              <w:t>Resultados por ejecución</w:t>
            </w:r>
          </w:p>
        </w:tc>
      </w:tr>
      <w:tr>
        <w:tc>
          <w:tcPr>
            <w:tcW w:type="dxa" w:w="5892"/>
          </w:tcPr>
          <w:p>
            <w:pPr>
              <w:pStyle w:val="Compact"/>
              <w:jc w:val="left"/>
            </w:pPr>
            <w:r>
              <w:rPr>
                <w:b w:val="0"/>
              </w:rPr>
              <w:t>research/</w:t>
            </w:r>
          </w:p>
        </w:tc>
        <w:tc>
          <w:tcPr>
            <w:tcW w:type="dxa" w:w="2946"/>
          </w:tcPr>
          <w:p>
            <w:pPr>
              <w:pStyle w:val="Compact"/>
              <w:jc w:val="left"/>
            </w:pPr>
            <w:r>
              <w:rPr>
                <w:b w:val="0"/>
              </w:rPr>
              <w:t>Documentos de investigación y registros de trabajo</w:t>
            </w:r>
          </w:p>
        </w:tc>
      </w:tr>
      <w:tr>
        <w:tc>
          <w:tcPr>
            <w:tcW w:type="dxa" w:w="5892"/>
          </w:tcPr>
          <w:p>
            <w:pPr>
              <w:pStyle w:val="Compact"/>
              <w:jc w:val="left"/>
            </w:pPr>
            <w:r>
              <w:rPr>
                <w:b w:val="0"/>
              </w:rPr>
              <w:t>research/rag/</w:t>
            </w:r>
          </w:p>
        </w:tc>
        <w:tc>
          <w:tcPr>
            <w:tcW w:type="dxa" w:w="2946"/>
          </w:tcPr>
          <w:p>
            <w:pPr>
              <w:pStyle w:val="Compact"/>
              <w:jc w:val="left"/>
            </w:pPr>
            <w:r>
              <w:rPr>
                <w:b w:val="0"/>
              </w:rPr>
              <w:t>Estudio del módulo de recuperación y su registro de trabajo vigente</w:t>
            </w:r>
          </w:p>
        </w:tc>
      </w:tr>
      <w:tr>
        <w:tc>
          <w:tcPr>
            <w:tcW w:type="dxa" w:w="5892"/>
          </w:tcPr>
          <w:p>
            <w:pPr>
              <w:pStyle w:val="Compact"/>
              <w:jc w:val="left"/>
            </w:pPr>
            <w:r>
              <w:rPr>
                <w:b w:val="0"/>
              </w:rPr>
              <w:t>research/rag/2026-08-31_analisis_contenido_rag_base_conocimientos.md</w:t>
            </w:r>
          </w:p>
        </w:tc>
        <w:tc>
          <w:tcPr>
            <w:tcW w:type="dxa" w:w="2946"/>
          </w:tcPr>
          <w:p>
            <w:pPr>
              <w:pStyle w:val="Compact"/>
              <w:jc w:val="left"/>
            </w:pPr>
            <w:r>
              <w:rPr>
                <w:b w:val="0"/>
              </w:rPr>
              <w:t>Investigación RAG</w:t>
            </w:r>
          </w:p>
        </w:tc>
      </w:tr>
      <w:tr>
        <w:tc>
          <w:tcPr>
            <w:tcW w:type="dxa" w:w="5892"/>
          </w:tcPr>
          <w:p>
            <w:pPr>
              <w:pStyle w:val="Compact"/>
              <w:jc w:val="left"/>
            </w:pPr>
            <w:r>
              <w:rPr>
                <w:b w:val="0"/>
              </w:rPr>
              <w:t>research/rag/TODO-RAG-20260901.md</w:t>
            </w:r>
          </w:p>
        </w:tc>
        <w:tc>
          <w:tcPr>
            <w:tcW w:type="dxa" w:w="2946"/>
          </w:tcPr>
          <w:p>
            <w:pPr>
              <w:pStyle w:val="Compact"/>
              <w:jc w:val="left"/>
            </w:pPr>
            <w:r>
              <w:rPr>
                <w:b w:val="0"/>
              </w:rPr>
              <w:t>Tracking implementación</w:t>
            </w:r>
          </w:p>
        </w:tc>
      </w:tr>
      <w:tr>
        <w:tc>
          <w:tcPr>
            <w:tcW w:type="dxa" w:w="5892"/>
          </w:tcPr>
          <w:p>
            <w:pPr>
              <w:pStyle w:val="Compact"/>
              <w:jc w:val="left"/>
            </w:pPr>
            <w:r>
              <w:rPr>
                <w:b w:val="0"/>
              </w:rPr>
              <w:t>research/rag/WORKLOG.md</w:t>
            </w:r>
          </w:p>
        </w:tc>
        <w:tc>
          <w:tcPr>
            <w:tcW w:type="dxa" w:w="2946"/>
          </w:tcPr>
          <w:p>
            <w:pPr>
              <w:pStyle w:val="Compact"/>
              <w:jc w:val="left"/>
            </w:pPr>
            <w:r>
              <w:rPr>
                <w:b w:val="0"/>
              </w:rPr>
              <w:t>Bitácora de trabajo</w:t>
            </w:r>
          </w:p>
        </w:tc>
      </w:tr>
      <w:tr>
        <w:tc>
          <w:tcPr>
            <w:tcW w:type="dxa" w:w="5892"/>
          </w:tcPr>
          <w:p>
            <w:pPr>
              <w:pStyle w:val="Compact"/>
              <w:jc w:val="left"/>
            </w:pPr>
            <w:r>
              <w:rPr>
                <w:b w:val="0"/>
              </w:rPr>
              <w:t>SYSTEM_PROMPT.md</w:t>
            </w:r>
          </w:p>
        </w:tc>
        <w:tc>
          <w:tcPr>
            <w:tcW w:type="dxa" w:w="2946"/>
          </w:tcPr>
          <w:p>
            <w:pPr>
              <w:pStyle w:val="Compact"/>
              <w:jc w:val="left"/>
            </w:pPr>
            <w:r>
              <w:rPr>
                <w:b w:val="0"/>
              </w:rPr>
              <w:t>Prompt maestro, zero-shot en inglés; es la celda de referencia del diseño factorial y el que cargaron las corridas principales</w:t>
            </w:r>
          </w:p>
        </w:tc>
      </w:tr>
      <w:tr>
        <w:tc>
          <w:tcPr>
            <w:tcW w:type="dxa" w:w="5892"/>
          </w:tcPr>
          <w:p>
            <w:pPr>
              <w:pStyle w:val="Compact"/>
              <w:jc w:val="left"/>
            </w:pPr>
            <w:r>
              <w:rPr>
                <w:b w:val="0"/>
              </w:rPr>
              <w:t>SYSTEM_PROMPT_ES.md</w:t>
            </w:r>
          </w:p>
        </w:tc>
        <w:tc>
          <w:tcPr>
            <w:tcW w:type="dxa" w:w="2946"/>
          </w:tcPr>
          <w:p>
            <w:pPr>
              <w:pStyle w:val="Compact"/>
              <w:jc w:val="left"/>
            </w:pPr>
            <w:r>
              <w:rPr>
                <w:b w:val="0"/>
              </w:rPr>
              <w:t>Zero-shot en español</w:t>
            </w:r>
          </w:p>
        </w:tc>
      </w:tr>
      <w:tr>
        <w:tc>
          <w:tcPr>
            <w:tcW w:type="dxa" w:w="5892"/>
          </w:tcPr>
          <w:p>
            <w:pPr>
              <w:pStyle w:val="Compact"/>
              <w:jc w:val="left"/>
            </w:pPr>
            <w:r>
              <w:rPr>
                <w:b w:val="0"/>
              </w:rPr>
              <w:t>SYSTEM_PROMPT_EN_FEWSHOT.md</w:t>
            </w:r>
          </w:p>
        </w:tc>
        <w:tc>
          <w:tcPr>
            <w:tcW w:type="dxa" w:w="2946"/>
          </w:tcPr>
          <w:p>
            <w:pPr>
              <w:pStyle w:val="Compact"/>
              <w:jc w:val="left"/>
            </w:pPr>
            <w:r>
              <w:rPr>
                <w:b w:val="0"/>
              </w:rPr>
              <w:t>Few-shot en inglés</w:t>
            </w:r>
          </w:p>
        </w:tc>
      </w:tr>
      <w:tr>
        <w:tc>
          <w:tcPr>
            <w:tcW w:type="dxa" w:w="5892"/>
          </w:tcPr>
          <w:p>
            <w:pPr>
              <w:pStyle w:val="Compact"/>
              <w:jc w:val="left"/>
            </w:pPr>
            <w:r>
              <w:rPr>
                <w:b w:val="0"/>
              </w:rPr>
              <w:t>SYSTEM_PROMPT_ES_FEWSHOT.md</w:t>
            </w:r>
          </w:p>
        </w:tc>
        <w:tc>
          <w:tcPr>
            <w:tcW w:type="dxa" w:w="2946"/>
          </w:tcPr>
          <w:p>
            <w:pPr>
              <w:pStyle w:val="Compact"/>
              <w:jc w:val="left"/>
            </w:pPr>
            <w:r>
              <w:rPr>
                <w:b w:val="0"/>
              </w:rPr>
              <w:t>Few-shot en español; se reproduce íntegro en el Anexo B</w:t>
            </w:r>
          </w:p>
        </w:tc>
      </w:tr>
    </w:tbl>
    <w:p>
      <w:pPr>
        <w:numPr>
          <w:ilvl w:val="0"/>
          <w:numId w:val="0"/>
        </w:numPr>
        <w:pStyle w:val="heading4"/>
      </w:pPr>
      <w:r>
        <w:t>A.1 Interfaz común de proveedores (LLMProvider)</w:t>
      </w:r>
    </w:p>
    <w:p>
      <w:pPr>
        <w:numPr>
          <w:ilvl w:val="0"/>
          <w:numId w:val="0"/>
        </w:numPr>
        <w:pStyle w:val="Normal"/>
      </w:pPr>
      <w:r>
        <w:t xml:space="preserve">Citada desde §3.2. Los patrones </w:t>
      </w:r>
      <w:r>
        <w:rPr>
          <w:i/>
        </w:rPr>
        <w:t>Factory</w:t>
      </w:r>
      <w:r>
        <w:t xml:space="preserve"> y </w:t>
      </w:r>
      <w:r>
        <w:rPr>
          <w:i/>
        </w:rPr>
        <w:t>Facade</w:t>
      </w:r>
      <w:r>
        <w:t xml:space="preserve">, comparados contra su alternativa en §2.4, se apoyan en esta interfaz abstracta común a </w:t>
      </w:r>
      <w:r>
        <w:t>OllamaProvider</w:t>
      </w:r>
      <w:r>
        <w:t xml:space="preserve">, </w:t>
      </w:r>
      <w:r>
        <w:t>OpenAIProvider</w:t>
      </w:r>
      <w:r>
        <w:t xml:space="preserve"> y </w:t>
      </w:r>
      <w:r>
        <w:t>AnthropicProvider</w:t>
      </w:r>
      <w:r>
        <w:t>:</w:t>
      </w:r>
    </w:p>
    <w:p>
      <w:pPr>
        <w:numPr>
          <w:ilvl w:val="0"/>
          <w:numId w:val="0"/>
        </w:numPr>
        <w:pStyle w:val="program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heading2"/>
      </w:pPr>
      <w:r>
        <w:t>Anexo B — Prompt del Sistema (Versión Few-Shot Español)</w:t>
      </w:r>
    </w:p>
    <w:p>
      <w:pPr>
        <w:numPr>
          <w:ilvl w:val="0"/>
          <w:numId w:val="0"/>
        </w:numPr>
        <w:pStyle w:val="p1a"/>
      </w:pPr>
      <w:r>
        <w:t>El prompt de sistema en español (few-shot) incluye: (1) instrucciones de rol (analista de cumplimiento normativo), (2) formato de salida JSON estricto con tipos de entidades, (3) dos ejemplos completos de texto y extracción esperada, y (4) reglas de comportamiento ante ambigüedad (no alucinar, preferir omisión a invención).</w:t>
      </w:r>
    </w:p>
    <w:p>
      <w:pPr>
        <w:numPr>
          <w:ilvl w:val="0"/>
          <w:numId w:val="0"/>
        </w:numPr>
        <w:pStyle w:val="Normal"/>
      </w:pPr>
      <w:r>
        <w:rPr>
          <w:b/>
        </w:rPr>
        <w:t>Ejemplos few-shot de la configuración FS-ES</w:t>
      </w:r>
      <w:r>
        <w:t xml:space="preserve"> (§4.3), transcritos literalmente de </w:t>
      </w:r>
      <w:r>
        <w:t>SYSTEM_PROMPT_ES_FEWSHOT.md</w:t>
      </w:r>
      <w:r>
        <w:t>, que es el fichero que la corrida cargó:</w:t>
      </w:r>
    </w:p>
    <w:p>
      <w:pPr>
        <w:numPr>
          <w:ilvl w:val="0"/>
          <w:numId w:val="0"/>
        </w:numPr>
        <w:pStyle w:val="Normal"/>
      </w:pPr>
      <w:r>
        <w:rPr>
          <w:b/>
        </w:rPr>
        <w:t>Ejemplo 1:</w:t>
      </w:r>
    </w:p>
    <w:p>
      <w:pPr>
        <w:numPr>
          <w:ilvl w:val="0"/>
          <w:numId w:val="0"/>
        </w:numPr>
        <w:pStyle w:val="programcode"/>
      </w:pPr>
      <w:r>
        <w:t>Texto: "La Superintendencia de Bancos de Panamá multó a Juan Pérez por transacciones sospechosas en Ciudad de Panamá."</w:t>
      </w:r>
      <w:r>
        <w:br/>
      </w:r>
      <w:r>
        <w:t>Salida: {"Persons": ["Juan Pérez"],</w:t>
      </w:r>
      <w:r>
        <w:br/>
      </w:r>
      <w:r>
        <w:t xml:space="preserve">         "Organizations": ["Superintendencia de Bancos de Panamá"],</w:t>
      </w:r>
      <w:r>
        <w:br/>
      </w:r>
      <w:r>
        <w:t xml:space="preserve">         "Locations": ["Ciudad de Panamá", "Panamá"]}</w:t>
      </w:r>
    </w:p>
    <w:p>
      <w:pPr>
        <w:numPr>
          <w:ilvl w:val="0"/>
          <w:numId w:val="0"/>
        </w:numPr>
        <w:pStyle w:val="Normal"/>
      </w:pPr>
      <w:r>
        <w:rPr>
          <w:b/>
        </w:rPr>
        <w:t>Ejemplo 2:</w:t>
      </w:r>
    </w:p>
    <w:p>
      <w:pPr>
        <w:numPr>
          <w:ilvl w:val="0"/>
          <w:numId w:val="0"/>
        </w:numPr>
        <w:pStyle w:val="programcode"/>
      </w:pPr>
      <w:r>
        <w:t>Texto: "El Ministerio Público de Chile formalizó la investigación por fraude fiscal en contra de ejecutivos de ACME SpA en Santiago."</w:t>
      </w:r>
      <w:r>
        <w:br/>
      </w:r>
      <w:r>
        <w:t>Salida: {"Persons": [],</w:t>
      </w:r>
      <w:r>
        <w:br/>
      </w:r>
      <w:r>
        <w:t xml:space="preserve">         "Organizations": ["Ministerio Público", "ACME SpA"],</w:t>
      </w:r>
      <w:r>
        <w:br/>
      </w:r>
      <w:r>
        <w:t xml:space="preserve">         "Locations": ["Chile", "Santiago"]}</w:t>
      </w:r>
    </w:p>
    <w:p>
      <w:pPr>
        <w:numPr>
          <w:ilvl w:val="0"/>
          <w:numId w:val="0"/>
        </w:numPr>
        <w:pStyle w:val="Normal"/>
      </w:pPr>
      <w:r>
        <w:t xml:space="preserve">Merece la pena detenerse en un detalle de estos ejemplos, porque documenta el defecto de medición que se discute en §3.3: ambos enseñan al modelo a devolver un campo </w:t>
      </w:r>
      <w:r>
        <w:t>Locations</w:t>
      </w:r>
      <w:r>
        <w:t xml:space="preserve">, y ninguno de los tres corpus anota esa categoría. El </w:t>
      </w:r>
      <w:r>
        <w:rPr>
          <w:i/>
        </w:rPr>
        <w:t>prompt</w:t>
      </w:r>
      <w:r>
        <w:t xml:space="preserve"> pide sistemáticamente algo que la anotación de referencia no puede premiar.</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program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p1a"/>
      </w:pPr>
      <w:r>
        <w:t>La Tabla 10 detalla el equipamiento y las versiones de software con que se ejecutaron las corridas.</w:t>
      </w:r>
    </w:p>
    <w:p>
      <w:pPr>
        <w:numPr>
          <w:ilvl w:val="0"/>
          <w:numId w:val="0"/>
        </w:numPr>
        <w:pStyle w:val="tablecaption"/>
      </w:pPr>
      <w:r>
        <w:t>Tabla 10. Configuración del entorno de pruebas</w:t>
      </w:r>
    </w:p>
    <w:tbl>
      <w:tblPr>
        <w:tblStyle w:val="Table"/>
        <w:tblW w:type="dxa" w:w="8838"/>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p1a"/>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4"/>
      </w:pPr>
      <w:r>
        <w:t>D.1 Implementación técnica del módulo KB RAG (src/kb_rag_manager.py)</w:t>
      </w:r>
    </w:p>
    <w:p>
      <w:pPr>
        <w:numPr>
          <w:ilvl w:val="0"/>
          <w:numId w:val="0"/>
        </w:numPr>
        <w:pStyle w:val="Normal"/>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 La Tabla 11 recoge los modos disponibles en la interfaz de línea de órdenes.</w:t>
      </w:r>
    </w:p>
    <w:p>
      <w:pPr>
        <w:numPr>
          <w:ilvl w:val="0"/>
          <w:numId w:val="0"/>
        </w:numPr>
        <w:pStyle w:val="tablecaption"/>
      </w:pPr>
      <w:r>
        <w:t>Tabla 11. Configuración CLI del Módulo KB RAG</w:t>
      </w:r>
    </w:p>
    <w:tbl>
      <w:tblPr>
        <w:tblStyle w:val="Table"/>
        <w:tblW w:type="dxa" w:w="8838"/>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[32]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program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4"/>
      </w:pPr>
      <w:r>
        <w:t>D.2 Catálogo de guías tipológicas y ejemplares de la base de Conocimientos</w:t>
      </w:r>
    </w:p>
    <w:p>
      <w:pPr>
        <w:numPr>
          <w:ilvl w:val="0"/>
          <w:numId w:val="0"/>
        </w:numPr>
        <w:pStyle w:val="Normal"/>
      </w:pPr>
      <w:r>
        <w:t>La Tabla 12 enumera las guías tipológicas de la base de conocimientos con su idioma y sus palabras clave.</w:t>
      </w:r>
    </w:p>
    <w:p>
      <w:pPr>
        <w:numPr>
          <w:ilvl w:val="0"/>
          <w:numId w:val="0"/>
        </w:numPr>
        <w:pStyle w:val="tablecaption"/>
      </w:pPr>
      <w:r>
        <w:t>Tabla 12. Guías Tipológicas de Dominio de la Base de Conocimientos</w:t>
      </w:r>
    </w:p>
    <w:tbl>
      <w:tblPr>
        <w:tblStyle w:val="Table"/>
        <w:tblW w:type="dxa" w:w="8838"/>
        <w:tblLayout w:type="fixed"/>
        <w:tblLook w:firstRow="1" w:lastRow="0" w:firstColumn="0" w:lastColumn="0" w:noHBand="0" w:noVBand="0" w:val="0020"/>
      </w:tblPr>
      <w:tblGrid>
        <w:gridCol w:w="2513"/>
        <w:gridCol w:w="2211"/>
        <w:gridCol w:w="900"/>
        <w:gridCol w:w="3214"/>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900"/>
          </w:tcPr>
          <w:p>
            <w:pPr>
              <w:pStyle w:val="Compact"/>
              <w:jc w:val="left"/>
            </w:pPr>
            <w:r>
              <w:rPr>
                <w:b/>
              </w:rPr>
              <w:t>Idioma</w:t>
            </w:r>
          </w:p>
        </w:tc>
        <w:tc>
          <w:tcPr>
            <w:tcW w:type="dxa" w:w="3214"/>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Normal"/>
      </w:pPr>
      <w:r>
        <w:t>La Tabla 13 enumera los ejemplares anotados de la base de conocimientos con su dominio y su procedencia.</w:t>
      </w:r>
    </w:p>
    <w:p>
      <w:pPr>
        <w:numPr>
          <w:ilvl w:val="0"/>
          <w:numId w:val="0"/>
        </w:numPr>
        <w:pStyle w:val="tablecaption"/>
      </w:pPr>
      <w:r>
        <w:t>Tabla 13. Ejemplares Few-Shot de la Base de Conocimientos</w:t>
      </w:r>
    </w:p>
    <w:tbl>
      <w:tblPr>
        <w:tblStyle w:val="Table"/>
        <w:tblW w:type="dxa" w:w="8838"/>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4"/>
      </w:pPr>
      <w:r>
        <w:t>D.3 Reglas de la base de conocimientos contextual</w:t>
      </w:r>
    </w:p>
    <w:p>
      <w:pPr>
        <w:numPr>
          <w:ilvl w:val="0"/>
          <w:numId w:val="0"/>
        </w:numPr>
        <w:pStyle w:val="Normal"/>
      </w:pPr>
      <w:r>
        <w:t>La Tabla 14 reproduce, a modo de ejemplo, las reglas de una de esas guías.</w:t>
      </w:r>
    </w:p>
    <w:p>
      <w:pPr>
        <w:numPr>
          <w:ilvl w:val="0"/>
          <w:numId w:val="0"/>
        </w:numPr>
        <w:pStyle w:val="tablecaption"/>
      </w:pPr>
      <w:r>
        <w:t>Tabla 14. Reglas de la guía tipológica del dominio político-administrativo (politics_es), a modo de ejemplo</w:t>
      </w:r>
    </w:p>
    <w:tbl>
      <w:tblPr>
        <w:tblStyle w:val="Table"/>
        <w:tblW w:type="dxa" w:w="8838"/>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p1a"/>
      </w:pPr>
      <w:r>
        <w:t>La Tabla 15 declara de qué corrida procede cada fila del benchmark exploratorio.</w:t>
      </w:r>
    </w:p>
    <w:p>
      <w:pPr>
        <w:numPr>
          <w:ilvl w:val="0"/>
          <w:numId w:val="0"/>
        </w:numPr>
        <w:pStyle w:val="tablecaption"/>
      </w:pPr>
      <w:r>
        <w:t>Tabla 15. Procedencia de cada fila del benchmark exploratorio: correspondencia con su corrida de origen</w:t>
      </w:r>
    </w:p>
    <w:tbl>
      <w:tblPr>
        <w:tblStyle w:val="Table"/>
        <w:tblW w:type="dxa" w:w="8838"/>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4</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bl>
    <w:p>
      <w:pPr>
        <w:numPr>
          <w:ilvl w:val="0"/>
          <w:numId w:val="0"/>
        </w:numPr>
        <w:pStyle w:val="Normal"/>
      </w:pPr>
      <w:r>
        <w:t xml:space="preserve">Las tres primeras filas proceden de una corrida propia por un motivo distinto en cada caso, y el de </w:t>
      </w:r>
      <w:r>
        <w:t>gemma4:31b-cloud</w:t>
      </w:r>
      <w:r>
        <w:t xml:space="preserve"> conviene declararlo. Su primera medición quedó invalidada el 3 de septiembre de 2026 por la cuota semanal del servicio alojado, que devolvió HTTP 429 en seis de los quince artículos de cada modo; esas seis peticiones no llegaron a atenderse, de modo que registran latencia y rendimiento nulos y ninguna entidad. La corrida </w:t>
      </w:r>
      <w:r>
        <w:t>cloud_n15_limpio_20260905</w:t>
      </w:r>
      <w:r>
        <w:t xml:space="preserve"> la sustituye y resuelve los quince por análisis directo del JSON. Sus cifras invalidadas no se recogen en este informe, por la razón expuesta en el Anexo I: un número que no mide lo que dice medir no es un resultado. La contramedida quedó incorporada al sistema como el limitador de tasa descrito en §3.2.</w:t>
      </w:r>
    </w:p>
    <w:p>
      <w:pPr>
        <w:numPr>
          <w:ilvl w:val="0"/>
          <w:numId w:val="0"/>
        </w:numPr>
        <w:pStyle w:val="heading2"/>
      </w:pPr>
      <w:r>
        <w:t>Anexo F — Metodología Detallada de Generación del Corpus Sintético N=30</w:t>
      </w:r>
    </w:p>
    <w:p>
      <w:pPr>
        <w:numPr>
          <w:ilvl w:val="0"/>
          <w:numId w:val="0"/>
        </w:numPr>
        <w:pStyle w:val="p1a"/>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El corpus resultante excede ese mínimo, porque el generador introdujo menciones adicionales: la media es de 1,2 personas y 2,3 organizaciones por artículo, y solo 2 de los 30 contienen exactamente una de cada objetivo. Las entidades fueron seleccionadas de la lista SDN del Departamento del Tesoro de los Estados Unidos [19]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program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p1a"/>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(más de 130 commits entre el 1 de julio y el 8 de septiembre de 2026), los registros de trabajo WORKLOG.md (raíz del repositorio y research/rag/), y los informes de investigación asociados.</w:t>
      </w:r>
    </w:p>
    <w:p>
      <w:pPr>
        <w:numPr>
          <w:ilvl w:val="0"/>
          <w:numId w:val="0"/>
        </w:numPr>
        <w:pStyle w:val="heading4"/>
      </w:pPr>
      <w:r>
        <w:t>G.1 Trabajo realizado por el autor de la tesina</w:t>
      </w:r>
    </w:p>
    <w:p>
      <w:pPr>
        <w:numPr>
          <w:ilvl w:val="0"/>
          <w:numId w:val="0"/>
        </w:numPr>
        <w:pStyle w:val="Normal"/>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4"/>
      </w:pPr>
      <w:r>
        <w:t>G.2 Apoyo de IA en la elaboración de artefactos de prueba</w:t>
      </w:r>
    </w:p>
    <w:p>
      <w:pPr>
        <w:numPr>
          <w:ilvl w:val="0"/>
          <w:numId w:val="0"/>
        </w:numPr>
        <w:pStyle w:val="Normal"/>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la lista SDN del Departamento del Tesoro de los Estados Unidos [19]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4"/>
      </w:pPr>
      <w:r>
        <w:t>G.3 Apoyo de IA en implementación, documentación y formato</w:t>
      </w:r>
    </w:p>
    <w:p>
      <w:pPr>
        <w:numPr>
          <w:ilvl w:val="0"/>
          <w:numId w:val="0"/>
        </w:numPr>
        <w:pStyle w:val="Normal"/>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4"/>
      </w:pPr>
      <w:r>
        <w:t>G.4 Límites y verificación</w:t>
      </w:r>
    </w:p>
    <w:p>
      <w:pPr>
        <w:numPr>
          <w:ilvl w:val="0"/>
          <w:numId w:val="0"/>
        </w:numPr>
        <w:pStyle w:val="Normal"/>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las que el capítulo 6 discute sobre la codificación del corpus y el alcance de la medición. El autor asume la responsabilidad final sobre el contenido, la exactitud y la integridad académica de este documento.</w:t>
      </w:r>
    </w:p>
    <w:p>
      <w:pPr>
        <w:numPr>
          <w:ilvl w:val="0"/>
          <w:numId w:val="0"/>
        </w:numPr>
        <w:pStyle w:val="heading2"/>
      </w:pPr>
      <w:r>
        <w:t>Anexo H — Codificación del corpus: análisis del mojibake y su efecto sobre la medición</w:t>
      </w:r>
    </w:p>
    <w:p>
      <w:pPr>
        <w:numPr>
          <w:ilvl w:val="0"/>
          <w:numId w:val="0"/>
        </w:numPr>
        <w:pStyle w:val="heading4"/>
      </w:pPr>
      <w:r>
        <w:t>H.1 Naturaleza y alcance del defecto</w:t>
      </w:r>
    </w:p>
    <w:p>
      <w:pPr>
        <w:numPr>
          <w:ilvl w:val="0"/>
          <w:numId w:val="0"/>
        </w:numPr>
        <w:pStyle w:val="p1a"/>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 La Tabla 16 muestra las formas corruptas frente a su representación real.</w:t>
      </w:r>
    </w:p>
    <w:p>
      <w:pPr>
        <w:numPr>
          <w:ilvl w:val="0"/>
          <w:numId w:val="0"/>
        </w:numPr>
        <w:pStyle w:val="tablecaption"/>
      </w:pPr>
      <w:r>
        <w:t>Tabla 16. Formas corruptas de los nombres almacenados y su representación real</w:t>
      </w:r>
    </w:p>
    <w:tbl>
      <w:tblPr>
        <w:tblStyle w:val="Table"/>
        <w:tblW w:type="dxa" w:w="8838"/>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4"/>
      </w:pPr>
      <w:r>
        <w:t>H.2 Alcance medido y consecuencia sobre la comparación</w:t>
      </w:r>
    </w:p>
    <w:p>
      <w:pPr>
        <w:numPr>
          <w:ilvl w:val="0"/>
          <w:numId w:val="0"/>
        </w:numPr>
        <w:pStyle w:val="Normal"/>
      </w:pPr>
      <w:r>
        <w:t>La Tabla 17 resume las comprobaciones realizadas sobre el corpus y su resultado.</w:t>
      </w:r>
    </w:p>
    <w:p>
      <w:pPr>
        <w:numPr>
          <w:ilvl w:val="0"/>
          <w:numId w:val="0"/>
        </w:numPr>
        <w:pStyle w:val="tablecaption"/>
      </w:pPr>
      <w:r>
        <w:t>Tabla 17. Alcance medido del defecto de codificación sobre el corpus N=120</w:t>
      </w:r>
    </w:p>
    <w:tbl>
      <w:tblPr>
        <w:tblStyle w:val="Table"/>
        <w:tblW w:type="dxa" w:w="8838"/>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4"/>
      </w:pPr>
      <w:r>
        <w:t>H.3 Evidencia empírica del efecto diferencial</w:t>
      </w:r>
    </w:p>
    <w:p>
      <w:pPr>
        <w:numPr>
          <w:ilvl w:val="0"/>
          <w:numId w:val="0"/>
        </w:numPr>
        <w:pStyle w:val="Normal"/>
      </w:pPr>
      <w:r>
        <w:t xml:space="preserve">El efecto se midió sobre las </w:t>
      </w:r>
      <w:r>
        <w:rPr>
          <w:b/>
        </w:rPr>
        <w:t>veintiséis configuraciones</w:t>
      </w:r>
      <w:r>
        <w:t xml:space="preserve"> del estudio —los trece modelos en sus dos modos— con el script </w:t>
      </w:r>
      <w:r>
        <w:t>tools/analisis_mojibake.py</w:t>
      </w:r>
      <w:r>
        <w:t xml:space="preserve">, que se publica para que la tabla sea reproducible. Se toma una corrida por configuración, y el orden de preferencia del script antepone las corridas sanas: la medición de </w:t>
      </w:r>
      <w:r>
        <w:t>gemma4:12b-mlx</w:t>
      </w:r>
      <w:r>
        <w:t xml:space="preserve"> de </w:t>
      </w:r>
      <w:r>
        <w:t>benchmark_n120_REMOTO</w:t>
      </w:r>
      <w:r>
        <w:t xml:space="preserve"> está averiada por el modo de razonamiento, con 68 y 98 registros sin ninguna entidad recuperada, y habría distorsionado el resultado.</w:t>
      </w:r>
    </w:p>
    <w:p>
      <w:pPr>
        <w:numPr>
          <w:ilvl w:val="0"/>
          <w:numId w:val="0"/>
        </w:numPr>
        <w:pStyle w:val="Normal"/>
      </w:pPr>
      <w:r>
        <w:t xml:space="preserve">La medición obliga a declarar el criterio de «artículo afectado», porque </w:t>
      </w:r>
      <w:r>
        <w:rPr>
          <w:b/>
        </w:rPr>
        <w:t>el sentido del efecto depende de cuál se elija</w:t>
      </w:r>
      <w:r>
        <w:t>, y esa dependencia es en sí misma el resultado:</w:t>
      </w:r>
    </w:p>
    <w:p>
      <w:pPr>
        <w:numPr>
          <w:ilvl w:val="0"/>
          <w:numId w:val="0"/>
        </w:numPr>
        <w:pStyle w:val="bulletitem"/>
      </w:pPr>
      <w:r>
        <w:rPr>
          <w:b/>
        </w:rPr>
        <w:t>Por entidad de referencia corrupta</w:t>
      </w:r>
      <w:r>
        <w:t>: 89 artículos afectados y 31 no.</w:t>
      </w:r>
    </w:p>
    <w:p>
      <w:pPr>
        <w:numPr>
          <w:ilvl w:val="0"/>
          <w:numId w:val="0"/>
        </w:numPr>
        <w:pStyle w:val="bulletitem"/>
      </w:pPr>
      <w:r>
        <w:rPr>
          <w:b/>
        </w:rPr>
        <w:t>Por texto de entrada corrupto</w:t>
      </w:r>
      <w:r>
        <w:t>: 104 artículos afectados y 16 no.</w:t>
      </w:r>
    </w:p>
    <w:p>
      <w:pPr>
        <w:numPr>
          <w:ilvl w:val="0"/>
          <w:numId w:val="0"/>
        </w:numPr>
        <w:pStyle w:val="Normal"/>
      </w:pPr>
      <w:r>
        <w:t>La Tabla 18 recoge el efecto por configuración y por criterio de artículo afectado.</w:t>
      </w:r>
    </w:p>
    <w:p>
      <w:pPr>
        <w:numPr>
          <w:ilvl w:val="0"/>
          <w:numId w:val="0"/>
        </w:numPr>
        <w:pStyle w:val="tablecaption"/>
      </w:pPr>
      <w:r>
        <w:t xml:space="preserve">Tabla 18. Efecto diferencial del </w:t>
      </w:r>
      <w:r>
        <w:rPr>
          <w:i/>
        </w:rPr>
        <w:t>mojibake</w:t>
      </w:r>
      <w:r>
        <w:t xml:space="preserve"> sobre el F1 según el criterio de artículo afectado</w:t>
      </w:r>
    </w:p>
    <w:tbl>
      <w:tblPr>
        <w:tblStyle w:val="Table"/>
        <w:tblW w:type="dxa" w:w="8838"/>
        <w:tblLayout w:type="fixed"/>
        <w:tblLook w:firstRow="1" w:lastRow="0" w:firstColumn="0" w:lastColumn="0" w:noHBand="0" w:noVBand="0" w:val="0020"/>
      </w:tblPr>
      <w:tblGrid>
        <w:gridCol w:w="2981"/>
        <w:gridCol w:w="3194"/>
        <w:gridCol w:w="2663"/>
      </w:tblGrid>
      <w:tr>
        <w:trPr>
          <w:tblHeader w:val="on"/>
        </w:trPr>
        <w:tc>
          <w:tcPr>
            <w:tcW w:type="dxa" w:w="2981"/>
          </w:tcPr>
          <w:p>
            <w:pPr>
              <w:pStyle w:val="Compact"/>
              <w:jc w:val="left"/>
            </w:pPr>
            <w:r>
              <w:rPr>
                <w:b/>
              </w:rPr>
              <w:t>Configuración</w:t>
            </w:r>
          </w:p>
        </w:tc>
        <w:tc>
          <w:tcPr>
            <w:tcW w:type="dxa" w:w="3194"/>
          </w:tcPr>
          <w:p>
            <w:pPr>
              <w:pStyle w:val="Compact"/>
              <w:jc w:val="left"/>
            </w:pPr>
            <w:r>
              <w:rPr>
                <w:b/>
              </w:rPr>
              <w:t>Δ F1 por entidad de referencia</w:t>
            </w:r>
          </w:p>
        </w:tc>
        <w:tc>
          <w:tcPr>
            <w:tcW w:type="dxa" w:w="2663"/>
          </w:tcPr>
          <w:p>
            <w:pPr>
              <w:pStyle w:val="Compact"/>
              <w:jc w:val="left"/>
            </w:pPr>
            <w:r>
              <w:rPr>
                <w:b/>
              </w:rPr>
              <w:t>Δ F1 por texto de entrada</w:t>
            </w:r>
          </w:p>
        </w:tc>
      </w:tr>
      <w:tr>
        <w:tc>
          <w:tcPr>
            <w:tcW w:type="dxa" w:w="2981"/>
          </w:tcPr>
          <w:p>
            <w:pPr>
              <w:pStyle w:val="Compact"/>
              <w:jc w:val="left"/>
            </w:pPr>
            <w:r>
              <w:rPr>
                <w:b w:val="0"/>
              </w:rPr>
              <w:t>qwen3:8b_kb_rag</w:t>
            </w:r>
          </w:p>
        </w:tc>
        <w:tc>
          <w:tcPr>
            <w:tcW w:type="dxa" w:w="3194"/>
          </w:tcPr>
          <w:p>
            <w:pPr>
              <w:pStyle w:val="Compact"/>
              <w:jc w:val="left"/>
            </w:pPr>
            <w:r>
              <w:rPr>
                <w:b w:val="0"/>
              </w:rPr>
              <w:t>+0.1554</w:t>
            </w:r>
          </w:p>
        </w:tc>
        <w:tc>
          <w:tcPr>
            <w:tcW w:type="dxa" w:w="2663"/>
          </w:tcPr>
          <w:p>
            <w:pPr>
              <w:pStyle w:val="Compact"/>
              <w:jc w:val="left"/>
            </w:pPr>
            <w:r>
              <w:rPr>
                <w:b w:val="0"/>
              </w:rPr>
              <w:t>+0.0152</w:t>
            </w:r>
          </w:p>
        </w:tc>
      </w:tr>
      <w:tr>
        <w:tc>
          <w:tcPr>
            <w:tcW w:type="dxa" w:w="2981"/>
          </w:tcPr>
          <w:p>
            <w:pPr>
              <w:pStyle w:val="Compact"/>
              <w:jc w:val="left"/>
            </w:pPr>
            <w:r>
              <w:rPr>
                <w:b w:val="0"/>
              </w:rPr>
              <w:t>gemma4:31b-cloud_baseline</w:t>
            </w:r>
          </w:p>
        </w:tc>
        <w:tc>
          <w:tcPr>
            <w:tcW w:type="dxa" w:w="3194"/>
          </w:tcPr>
          <w:p>
            <w:pPr>
              <w:pStyle w:val="Compact"/>
              <w:jc w:val="left"/>
            </w:pPr>
            <w:r>
              <w:rPr>
                <w:b w:val="0"/>
              </w:rPr>
              <w:t>+0.1418</w:t>
            </w:r>
          </w:p>
        </w:tc>
        <w:tc>
          <w:tcPr>
            <w:tcW w:type="dxa" w:w="2663"/>
          </w:tcPr>
          <w:p>
            <w:pPr>
              <w:pStyle w:val="Compact"/>
              <w:jc w:val="left"/>
            </w:pPr>
            <w:r>
              <w:rPr>
                <w:b w:val="0"/>
              </w:rPr>
              <w:t>+0.0029</w:t>
            </w:r>
          </w:p>
        </w:tc>
      </w:tr>
      <w:tr>
        <w:tc>
          <w:tcPr>
            <w:tcW w:type="dxa" w:w="2981"/>
          </w:tcPr>
          <w:p>
            <w:pPr>
              <w:pStyle w:val="Compact"/>
              <w:jc w:val="left"/>
            </w:pPr>
            <w:r>
              <w:rPr>
                <w:b w:val="0"/>
              </w:rPr>
              <w:t>gemma4:31b-cloud_kb_rag</w:t>
            </w:r>
          </w:p>
        </w:tc>
        <w:tc>
          <w:tcPr>
            <w:tcW w:type="dxa" w:w="3194"/>
          </w:tcPr>
          <w:p>
            <w:pPr>
              <w:pStyle w:val="Compact"/>
              <w:jc w:val="left"/>
            </w:pPr>
            <w:r>
              <w:rPr>
                <w:b w:val="0"/>
              </w:rPr>
              <w:t>+0.1131</w:t>
            </w:r>
          </w:p>
        </w:tc>
        <w:tc>
          <w:tcPr>
            <w:tcW w:type="dxa" w:w="2663"/>
          </w:tcPr>
          <w:p>
            <w:pPr>
              <w:pStyle w:val="Compact"/>
              <w:jc w:val="left"/>
            </w:pPr>
            <w:r>
              <w:rPr>
                <w:b w:val="0"/>
              </w:rPr>
              <w:t>-0.0433</w:t>
            </w:r>
          </w:p>
        </w:tc>
      </w:tr>
      <w:tr>
        <w:tc>
          <w:tcPr>
            <w:tcW w:type="dxa" w:w="2981"/>
          </w:tcPr>
          <w:p>
            <w:pPr>
              <w:pStyle w:val="Compact"/>
              <w:jc w:val="left"/>
            </w:pPr>
            <w:r>
              <w:rPr>
                <w:b w:val="0"/>
              </w:rPr>
              <w:t>gemma4:31b-mlx_kb_rag</w:t>
            </w:r>
          </w:p>
        </w:tc>
        <w:tc>
          <w:tcPr>
            <w:tcW w:type="dxa" w:w="3194"/>
          </w:tcPr>
          <w:p>
            <w:pPr>
              <w:pStyle w:val="Compact"/>
              <w:jc w:val="left"/>
            </w:pPr>
            <w:r>
              <w:rPr>
                <w:b w:val="0"/>
              </w:rPr>
              <w:t>+0.0999</w:t>
            </w:r>
          </w:p>
        </w:tc>
        <w:tc>
          <w:tcPr>
            <w:tcW w:type="dxa" w:w="2663"/>
          </w:tcPr>
          <w:p>
            <w:pPr>
              <w:pStyle w:val="Compact"/>
              <w:jc w:val="left"/>
            </w:pPr>
            <w:r>
              <w:rPr>
                <w:b w:val="0"/>
              </w:rPr>
              <w:t>-0.0102</w:t>
            </w:r>
          </w:p>
        </w:tc>
      </w:tr>
      <w:tr>
        <w:tc>
          <w:tcPr>
            <w:tcW w:type="dxa" w:w="2981"/>
          </w:tcPr>
          <w:p>
            <w:pPr>
              <w:pStyle w:val="Compact"/>
              <w:jc w:val="left"/>
            </w:pPr>
            <w:r>
              <w:rPr>
                <w:b w:val="0"/>
              </w:rPr>
              <w:t>gemma4:latest_kb_rag</w:t>
            </w:r>
          </w:p>
        </w:tc>
        <w:tc>
          <w:tcPr>
            <w:tcW w:type="dxa" w:w="3194"/>
          </w:tcPr>
          <w:p>
            <w:pPr>
              <w:pStyle w:val="Compact"/>
              <w:jc w:val="left"/>
            </w:pPr>
            <w:r>
              <w:rPr>
                <w:b w:val="0"/>
              </w:rPr>
              <w:t>+0.0976</w:t>
            </w:r>
          </w:p>
        </w:tc>
        <w:tc>
          <w:tcPr>
            <w:tcW w:type="dxa" w:w="2663"/>
          </w:tcPr>
          <w:p>
            <w:pPr>
              <w:pStyle w:val="Compact"/>
              <w:jc w:val="left"/>
            </w:pPr>
            <w:r>
              <w:rPr>
                <w:b w:val="0"/>
              </w:rPr>
              <w:t>-0.0666</w:t>
            </w:r>
          </w:p>
        </w:tc>
      </w:tr>
      <w:tr>
        <w:tc>
          <w:tcPr>
            <w:tcW w:type="dxa" w:w="2981"/>
          </w:tcPr>
          <w:p>
            <w:pPr>
              <w:pStyle w:val="Compact"/>
              <w:jc w:val="left"/>
            </w:pPr>
            <w:r>
              <w:rPr>
                <w:b w:val="0"/>
              </w:rPr>
              <w:t>gemma:latest_kb_rag</w:t>
            </w:r>
          </w:p>
        </w:tc>
        <w:tc>
          <w:tcPr>
            <w:tcW w:type="dxa" w:w="3194"/>
          </w:tcPr>
          <w:p>
            <w:pPr>
              <w:pStyle w:val="Compact"/>
              <w:jc w:val="left"/>
            </w:pPr>
            <w:r>
              <w:rPr>
                <w:b w:val="0"/>
              </w:rPr>
              <w:t>+0.0965</w:t>
            </w:r>
          </w:p>
        </w:tc>
        <w:tc>
          <w:tcPr>
            <w:tcW w:type="dxa" w:w="2663"/>
          </w:tcPr>
          <w:p>
            <w:pPr>
              <w:pStyle w:val="Compact"/>
              <w:jc w:val="left"/>
            </w:pPr>
            <w:r>
              <w:rPr>
                <w:b w:val="0"/>
              </w:rPr>
              <w:t>-0.0845</w:t>
            </w:r>
          </w:p>
        </w:tc>
      </w:tr>
      <w:tr>
        <w:tc>
          <w:tcPr>
            <w:tcW w:type="dxa" w:w="2981"/>
          </w:tcPr>
          <w:p>
            <w:pPr>
              <w:pStyle w:val="Compact"/>
              <w:jc w:val="left"/>
            </w:pPr>
            <w:r>
              <w:rPr>
                <w:b w:val="0"/>
              </w:rPr>
              <w:t>nemotron-mini:4b_kb_rag</w:t>
            </w:r>
          </w:p>
        </w:tc>
        <w:tc>
          <w:tcPr>
            <w:tcW w:type="dxa" w:w="3194"/>
          </w:tcPr>
          <w:p>
            <w:pPr>
              <w:pStyle w:val="Compact"/>
              <w:jc w:val="left"/>
            </w:pPr>
            <w:r>
              <w:rPr>
                <w:b w:val="0"/>
              </w:rPr>
              <w:t>+0.0948</w:t>
            </w:r>
          </w:p>
        </w:tc>
        <w:tc>
          <w:tcPr>
            <w:tcW w:type="dxa" w:w="2663"/>
          </w:tcPr>
          <w:p>
            <w:pPr>
              <w:pStyle w:val="Compact"/>
              <w:jc w:val="left"/>
            </w:pPr>
            <w:r>
              <w:rPr>
                <w:b w:val="0"/>
              </w:rPr>
              <w:t>-0.0609</w:t>
            </w:r>
          </w:p>
        </w:tc>
      </w:tr>
      <w:tr>
        <w:tc>
          <w:tcPr>
            <w:tcW w:type="dxa" w:w="2981"/>
          </w:tcPr>
          <w:p>
            <w:pPr>
              <w:pStyle w:val="Compact"/>
              <w:jc w:val="left"/>
            </w:pPr>
            <w:r>
              <w:rPr>
                <w:b w:val="0"/>
              </w:rPr>
              <w:t>gemma4:31b-mlx_baseline</w:t>
            </w:r>
          </w:p>
        </w:tc>
        <w:tc>
          <w:tcPr>
            <w:tcW w:type="dxa" w:w="3194"/>
          </w:tcPr>
          <w:p>
            <w:pPr>
              <w:pStyle w:val="Compact"/>
              <w:jc w:val="left"/>
            </w:pPr>
            <w:r>
              <w:rPr>
                <w:b w:val="0"/>
              </w:rPr>
              <w:t>+0.0873</w:t>
            </w:r>
          </w:p>
        </w:tc>
        <w:tc>
          <w:tcPr>
            <w:tcW w:type="dxa" w:w="2663"/>
          </w:tcPr>
          <w:p>
            <w:pPr>
              <w:pStyle w:val="Compact"/>
              <w:jc w:val="left"/>
            </w:pPr>
            <w:r>
              <w:rPr>
                <w:b w:val="0"/>
              </w:rPr>
              <w:t>-0.0613</w:t>
            </w:r>
          </w:p>
        </w:tc>
      </w:tr>
      <w:tr>
        <w:tc>
          <w:tcPr>
            <w:tcW w:type="dxa" w:w="2981"/>
          </w:tcPr>
          <w:p>
            <w:pPr>
              <w:pStyle w:val="Compact"/>
              <w:jc w:val="left"/>
            </w:pPr>
            <w:r>
              <w:rPr>
                <w:b w:val="0"/>
              </w:rPr>
              <w:t>gpt-oss:20b_baseline</w:t>
            </w:r>
          </w:p>
        </w:tc>
        <w:tc>
          <w:tcPr>
            <w:tcW w:type="dxa" w:w="3194"/>
          </w:tcPr>
          <w:p>
            <w:pPr>
              <w:pStyle w:val="Compact"/>
              <w:jc w:val="left"/>
            </w:pPr>
            <w:r>
              <w:rPr>
                <w:b w:val="0"/>
              </w:rPr>
              <w:t>+0.0819</w:t>
            </w:r>
          </w:p>
        </w:tc>
        <w:tc>
          <w:tcPr>
            <w:tcW w:type="dxa" w:w="2663"/>
          </w:tcPr>
          <w:p>
            <w:pPr>
              <w:pStyle w:val="Compact"/>
              <w:jc w:val="left"/>
            </w:pPr>
            <w:r>
              <w:rPr>
                <w:b w:val="0"/>
              </w:rPr>
              <w:t>-0.0438</w:t>
            </w:r>
          </w:p>
        </w:tc>
      </w:tr>
      <w:tr>
        <w:tc>
          <w:tcPr>
            <w:tcW w:type="dxa" w:w="2981"/>
          </w:tcPr>
          <w:p>
            <w:pPr>
              <w:pStyle w:val="Compact"/>
              <w:jc w:val="left"/>
            </w:pPr>
            <w:r>
              <w:rPr>
                <w:b w:val="0"/>
              </w:rPr>
              <w:t>gemma4:12b-mlx_baseline</w:t>
            </w:r>
          </w:p>
        </w:tc>
        <w:tc>
          <w:tcPr>
            <w:tcW w:type="dxa" w:w="3194"/>
          </w:tcPr>
          <w:p>
            <w:pPr>
              <w:pStyle w:val="Compact"/>
              <w:jc w:val="left"/>
            </w:pPr>
            <w:r>
              <w:rPr>
                <w:b w:val="0"/>
              </w:rPr>
              <w:t>+0.0789</w:t>
            </w:r>
          </w:p>
        </w:tc>
        <w:tc>
          <w:tcPr>
            <w:tcW w:type="dxa" w:w="2663"/>
          </w:tcPr>
          <w:p>
            <w:pPr>
              <w:pStyle w:val="Compact"/>
              <w:jc w:val="left"/>
            </w:pPr>
            <w:r>
              <w:rPr>
                <w:b w:val="0"/>
              </w:rPr>
              <w:t>-0.0612</w:t>
            </w:r>
          </w:p>
        </w:tc>
      </w:tr>
      <w:tr>
        <w:tc>
          <w:tcPr>
            <w:tcW w:type="dxa" w:w="2981"/>
          </w:tcPr>
          <w:p>
            <w:pPr>
              <w:pStyle w:val="Compact"/>
              <w:jc w:val="left"/>
            </w:pPr>
            <w:r>
              <w:rPr>
                <w:b w:val="0"/>
              </w:rPr>
              <w:t>mistral-nemo:latest_baseline</w:t>
            </w:r>
          </w:p>
        </w:tc>
        <w:tc>
          <w:tcPr>
            <w:tcW w:type="dxa" w:w="3194"/>
          </w:tcPr>
          <w:p>
            <w:pPr>
              <w:pStyle w:val="Compact"/>
              <w:jc w:val="left"/>
            </w:pPr>
            <w:r>
              <w:rPr>
                <w:b w:val="0"/>
              </w:rPr>
              <w:t>+0.0684</w:t>
            </w:r>
          </w:p>
        </w:tc>
        <w:tc>
          <w:tcPr>
            <w:tcW w:type="dxa" w:w="2663"/>
          </w:tcPr>
          <w:p>
            <w:pPr>
              <w:pStyle w:val="Compact"/>
              <w:jc w:val="left"/>
            </w:pPr>
            <w:r>
              <w:rPr>
                <w:b w:val="0"/>
              </w:rPr>
              <w:t>-0.1122</w:t>
            </w:r>
          </w:p>
        </w:tc>
      </w:tr>
      <w:tr>
        <w:tc>
          <w:tcPr>
            <w:tcW w:type="dxa" w:w="2981"/>
          </w:tcPr>
          <w:p>
            <w:pPr>
              <w:pStyle w:val="Compact"/>
              <w:jc w:val="left"/>
            </w:pPr>
            <w:r>
              <w:rPr>
                <w:b w:val="0"/>
              </w:rPr>
              <w:t>qwen2.5:14b_baseline</w:t>
            </w:r>
          </w:p>
        </w:tc>
        <w:tc>
          <w:tcPr>
            <w:tcW w:type="dxa" w:w="3194"/>
          </w:tcPr>
          <w:p>
            <w:pPr>
              <w:pStyle w:val="Compact"/>
              <w:jc w:val="left"/>
            </w:pPr>
            <w:r>
              <w:rPr>
                <w:b w:val="0"/>
              </w:rPr>
              <w:t>+0.0681</w:t>
            </w:r>
          </w:p>
        </w:tc>
        <w:tc>
          <w:tcPr>
            <w:tcW w:type="dxa" w:w="2663"/>
          </w:tcPr>
          <w:p>
            <w:pPr>
              <w:pStyle w:val="Compact"/>
              <w:jc w:val="left"/>
            </w:pPr>
            <w:r>
              <w:rPr>
                <w:b w:val="0"/>
              </w:rPr>
              <w:t>-0.0821</w:t>
            </w:r>
          </w:p>
        </w:tc>
      </w:tr>
      <w:tr>
        <w:tc>
          <w:tcPr>
            <w:tcW w:type="dxa" w:w="2981"/>
          </w:tcPr>
          <w:p>
            <w:pPr>
              <w:pStyle w:val="Compact"/>
              <w:jc w:val="left"/>
            </w:pPr>
            <w:r>
              <w:rPr>
                <w:b w:val="0"/>
              </w:rPr>
              <w:t>gemma4:latest_baseline</w:t>
            </w:r>
          </w:p>
        </w:tc>
        <w:tc>
          <w:tcPr>
            <w:tcW w:type="dxa" w:w="3194"/>
          </w:tcPr>
          <w:p>
            <w:pPr>
              <w:pStyle w:val="Compact"/>
              <w:jc w:val="left"/>
            </w:pPr>
            <w:r>
              <w:rPr>
                <w:b w:val="0"/>
              </w:rPr>
              <w:t>+0.0620</w:t>
            </w:r>
          </w:p>
        </w:tc>
        <w:tc>
          <w:tcPr>
            <w:tcW w:type="dxa" w:w="2663"/>
          </w:tcPr>
          <w:p>
            <w:pPr>
              <w:pStyle w:val="Compact"/>
              <w:jc w:val="left"/>
            </w:pPr>
            <w:r>
              <w:rPr>
                <w:b w:val="0"/>
              </w:rPr>
              <w:t>-0.0958</w:t>
            </w:r>
          </w:p>
        </w:tc>
      </w:tr>
      <w:tr>
        <w:tc>
          <w:tcPr>
            <w:tcW w:type="dxa" w:w="2981"/>
          </w:tcPr>
          <w:p>
            <w:pPr>
              <w:pStyle w:val="Compact"/>
              <w:jc w:val="left"/>
            </w:pPr>
            <w:r>
              <w:rPr>
                <w:b w:val="0"/>
              </w:rPr>
              <w:t>gemma4:12b-mlx_kb_rag</w:t>
            </w:r>
          </w:p>
        </w:tc>
        <w:tc>
          <w:tcPr>
            <w:tcW w:type="dxa" w:w="3194"/>
          </w:tcPr>
          <w:p>
            <w:pPr>
              <w:pStyle w:val="Compact"/>
              <w:jc w:val="left"/>
            </w:pPr>
            <w:r>
              <w:rPr>
                <w:b w:val="0"/>
              </w:rPr>
              <w:t>+0.0604</w:t>
            </w:r>
          </w:p>
        </w:tc>
        <w:tc>
          <w:tcPr>
            <w:tcW w:type="dxa" w:w="2663"/>
          </w:tcPr>
          <w:p>
            <w:pPr>
              <w:pStyle w:val="Compact"/>
              <w:jc w:val="left"/>
            </w:pPr>
            <w:r>
              <w:rPr>
                <w:b w:val="0"/>
              </w:rPr>
              <w:t>-0.0897</w:t>
            </w:r>
          </w:p>
        </w:tc>
      </w:tr>
      <w:tr>
        <w:tc>
          <w:tcPr>
            <w:tcW w:type="dxa" w:w="2981"/>
          </w:tcPr>
          <w:p>
            <w:pPr>
              <w:pStyle w:val="Compact"/>
              <w:jc w:val="left"/>
            </w:pPr>
            <w:r>
              <w:rPr>
                <w:b w:val="0"/>
              </w:rPr>
              <w:t>llama3.1:8b_baseline</w:t>
            </w:r>
          </w:p>
        </w:tc>
        <w:tc>
          <w:tcPr>
            <w:tcW w:type="dxa" w:w="3194"/>
          </w:tcPr>
          <w:p>
            <w:pPr>
              <w:pStyle w:val="Compact"/>
              <w:jc w:val="left"/>
            </w:pPr>
            <w:r>
              <w:rPr>
                <w:b w:val="0"/>
              </w:rPr>
              <w:t>+0.0514</w:t>
            </w:r>
          </w:p>
        </w:tc>
        <w:tc>
          <w:tcPr>
            <w:tcW w:type="dxa" w:w="2663"/>
          </w:tcPr>
          <w:p>
            <w:pPr>
              <w:pStyle w:val="Compact"/>
              <w:jc w:val="left"/>
            </w:pPr>
            <w:r>
              <w:rPr>
                <w:b w:val="0"/>
              </w:rPr>
              <w:t>-0.0709</w:t>
            </w:r>
          </w:p>
        </w:tc>
      </w:tr>
      <w:tr>
        <w:tc>
          <w:tcPr>
            <w:tcW w:type="dxa" w:w="2981"/>
          </w:tcPr>
          <w:p>
            <w:pPr>
              <w:pStyle w:val="Compact"/>
              <w:jc w:val="left"/>
            </w:pPr>
            <w:r>
              <w:rPr>
                <w:b w:val="0"/>
              </w:rPr>
              <w:t>gpt-oss:20b_kb_rag</w:t>
            </w:r>
          </w:p>
        </w:tc>
        <w:tc>
          <w:tcPr>
            <w:tcW w:type="dxa" w:w="3194"/>
          </w:tcPr>
          <w:p>
            <w:pPr>
              <w:pStyle w:val="Compact"/>
              <w:jc w:val="left"/>
            </w:pPr>
            <w:r>
              <w:rPr>
                <w:b w:val="0"/>
              </w:rPr>
              <w:t>+0.0511</w:t>
            </w:r>
          </w:p>
        </w:tc>
        <w:tc>
          <w:tcPr>
            <w:tcW w:type="dxa" w:w="2663"/>
          </w:tcPr>
          <w:p>
            <w:pPr>
              <w:pStyle w:val="Compact"/>
              <w:jc w:val="left"/>
            </w:pPr>
            <w:r>
              <w:rPr>
                <w:b w:val="0"/>
              </w:rPr>
              <w:t>-0.0997</w:t>
            </w:r>
          </w:p>
        </w:tc>
      </w:tr>
      <w:tr>
        <w:tc>
          <w:tcPr>
            <w:tcW w:type="dxa" w:w="2981"/>
          </w:tcPr>
          <w:p>
            <w:pPr>
              <w:pStyle w:val="Compact"/>
              <w:jc w:val="left"/>
            </w:pPr>
            <w:r>
              <w:rPr>
                <w:b w:val="0"/>
              </w:rPr>
              <w:t>gemma:latest_baseline</w:t>
            </w:r>
          </w:p>
        </w:tc>
        <w:tc>
          <w:tcPr>
            <w:tcW w:type="dxa" w:w="3194"/>
          </w:tcPr>
          <w:p>
            <w:pPr>
              <w:pStyle w:val="Compact"/>
              <w:jc w:val="left"/>
            </w:pPr>
            <w:r>
              <w:rPr>
                <w:b w:val="0"/>
              </w:rPr>
              <w:t>+0.0409</w:t>
            </w:r>
          </w:p>
        </w:tc>
        <w:tc>
          <w:tcPr>
            <w:tcW w:type="dxa" w:w="2663"/>
          </w:tcPr>
          <w:p>
            <w:pPr>
              <w:pStyle w:val="Compact"/>
              <w:jc w:val="left"/>
            </w:pPr>
            <w:r>
              <w:rPr>
                <w:b w:val="0"/>
              </w:rPr>
              <w:t>-0.1678</w:t>
            </w:r>
          </w:p>
        </w:tc>
      </w:tr>
      <w:tr>
        <w:tc>
          <w:tcPr>
            <w:tcW w:type="dxa" w:w="2981"/>
          </w:tcPr>
          <w:p>
            <w:pPr>
              <w:pStyle w:val="Compact"/>
              <w:jc w:val="left"/>
            </w:pPr>
            <w:r>
              <w:rPr>
                <w:b w:val="0"/>
              </w:rPr>
              <w:t>qwen2.5:14b_kb_rag</w:t>
            </w:r>
          </w:p>
        </w:tc>
        <w:tc>
          <w:tcPr>
            <w:tcW w:type="dxa" w:w="3194"/>
          </w:tcPr>
          <w:p>
            <w:pPr>
              <w:pStyle w:val="Compact"/>
              <w:jc w:val="left"/>
            </w:pPr>
            <w:r>
              <w:rPr>
                <w:b w:val="0"/>
              </w:rPr>
              <w:t>+0.0380</w:t>
            </w:r>
          </w:p>
        </w:tc>
        <w:tc>
          <w:tcPr>
            <w:tcW w:type="dxa" w:w="2663"/>
          </w:tcPr>
          <w:p>
            <w:pPr>
              <w:pStyle w:val="Compact"/>
              <w:jc w:val="left"/>
            </w:pPr>
            <w:r>
              <w:rPr>
                <w:b w:val="0"/>
              </w:rPr>
              <w:t>-0.0887</w:t>
            </w:r>
          </w:p>
        </w:tc>
      </w:tr>
      <w:tr>
        <w:tc>
          <w:tcPr>
            <w:tcW w:type="dxa" w:w="2981"/>
          </w:tcPr>
          <w:p>
            <w:pPr>
              <w:pStyle w:val="Compact"/>
              <w:jc w:val="left"/>
            </w:pPr>
            <w:r>
              <w:rPr>
                <w:b w:val="0"/>
              </w:rPr>
              <w:t>llama3.2:latest_kb_rag</w:t>
            </w:r>
          </w:p>
        </w:tc>
        <w:tc>
          <w:tcPr>
            <w:tcW w:type="dxa" w:w="3194"/>
          </w:tcPr>
          <w:p>
            <w:pPr>
              <w:pStyle w:val="Compact"/>
              <w:jc w:val="left"/>
            </w:pPr>
            <w:r>
              <w:rPr>
                <w:b w:val="0"/>
              </w:rPr>
              <w:t>+0.0254</w:t>
            </w:r>
          </w:p>
        </w:tc>
        <w:tc>
          <w:tcPr>
            <w:tcW w:type="dxa" w:w="2663"/>
          </w:tcPr>
          <w:p>
            <w:pPr>
              <w:pStyle w:val="Compact"/>
              <w:jc w:val="left"/>
            </w:pPr>
            <w:r>
              <w:rPr>
                <w:b w:val="0"/>
              </w:rPr>
              <w:t>-0.1130</w:t>
            </w:r>
          </w:p>
        </w:tc>
      </w:tr>
      <w:tr>
        <w:tc>
          <w:tcPr>
            <w:tcW w:type="dxa" w:w="2981"/>
          </w:tcPr>
          <w:p>
            <w:pPr>
              <w:pStyle w:val="Compact"/>
              <w:jc w:val="left"/>
            </w:pPr>
            <w:r>
              <w:rPr>
                <w:b w:val="0"/>
              </w:rPr>
              <w:t>llama3.1:8b_kb_rag</w:t>
            </w:r>
          </w:p>
        </w:tc>
        <w:tc>
          <w:tcPr>
            <w:tcW w:type="dxa" w:w="3194"/>
          </w:tcPr>
          <w:p>
            <w:pPr>
              <w:pStyle w:val="Compact"/>
              <w:jc w:val="left"/>
            </w:pPr>
            <w:r>
              <w:rPr>
                <w:b w:val="0"/>
              </w:rPr>
              <w:t>+0.0186</w:t>
            </w:r>
          </w:p>
        </w:tc>
        <w:tc>
          <w:tcPr>
            <w:tcW w:type="dxa" w:w="2663"/>
          </w:tcPr>
          <w:p>
            <w:pPr>
              <w:pStyle w:val="Compact"/>
              <w:jc w:val="left"/>
            </w:pPr>
            <w:r>
              <w:rPr>
                <w:b w:val="0"/>
              </w:rPr>
              <w:t>-0.1428</w:t>
            </w:r>
          </w:p>
        </w:tc>
      </w:tr>
      <w:tr>
        <w:tc>
          <w:tcPr>
            <w:tcW w:type="dxa" w:w="2981"/>
          </w:tcPr>
          <w:p>
            <w:pPr>
              <w:pStyle w:val="Compact"/>
              <w:jc w:val="left"/>
            </w:pPr>
            <w:r>
              <w:rPr>
                <w:b w:val="0"/>
              </w:rPr>
              <w:t>mistral-nemo:latest_kb_rag</w:t>
            </w:r>
          </w:p>
        </w:tc>
        <w:tc>
          <w:tcPr>
            <w:tcW w:type="dxa" w:w="3194"/>
          </w:tcPr>
          <w:p>
            <w:pPr>
              <w:pStyle w:val="Compact"/>
              <w:jc w:val="left"/>
            </w:pPr>
            <w:r>
              <w:rPr>
                <w:b w:val="0"/>
              </w:rPr>
              <w:t>+0.0122</w:t>
            </w:r>
          </w:p>
        </w:tc>
        <w:tc>
          <w:tcPr>
            <w:tcW w:type="dxa" w:w="2663"/>
          </w:tcPr>
          <w:p>
            <w:pPr>
              <w:pStyle w:val="Compact"/>
              <w:jc w:val="left"/>
            </w:pPr>
            <w:r>
              <w:rPr>
                <w:b w:val="0"/>
              </w:rPr>
              <w:t>-0.1256</w:t>
            </w:r>
          </w:p>
        </w:tc>
      </w:tr>
      <w:tr>
        <w:tc>
          <w:tcPr>
            <w:tcW w:type="dxa" w:w="2981"/>
          </w:tcPr>
          <w:p>
            <w:pPr>
              <w:pStyle w:val="Compact"/>
              <w:jc w:val="left"/>
            </w:pPr>
            <w:r>
              <w:rPr>
                <w:b w:val="0"/>
              </w:rPr>
              <w:t>qwen3:8b_baseline</w:t>
            </w:r>
          </w:p>
        </w:tc>
        <w:tc>
          <w:tcPr>
            <w:tcW w:type="dxa" w:w="3194"/>
          </w:tcPr>
          <w:p>
            <w:pPr>
              <w:pStyle w:val="Compact"/>
              <w:jc w:val="left"/>
            </w:pPr>
            <w:r>
              <w:rPr>
                <w:b w:val="0"/>
              </w:rPr>
              <w:t>-0.0076</w:t>
            </w:r>
          </w:p>
        </w:tc>
        <w:tc>
          <w:tcPr>
            <w:tcW w:type="dxa" w:w="2663"/>
          </w:tcPr>
          <w:p>
            <w:pPr>
              <w:pStyle w:val="Compact"/>
              <w:jc w:val="left"/>
            </w:pPr>
            <w:r>
              <w:rPr>
                <w:b w:val="0"/>
              </w:rPr>
              <w:t>-0.1359</w:t>
            </w:r>
          </w:p>
        </w:tc>
      </w:tr>
      <w:tr>
        <w:tc>
          <w:tcPr>
            <w:tcW w:type="dxa" w:w="2981"/>
          </w:tcPr>
          <w:p>
            <w:pPr>
              <w:pStyle w:val="Compact"/>
              <w:jc w:val="left"/>
            </w:pPr>
            <w:r>
              <w:rPr>
                <w:b w:val="0"/>
              </w:rPr>
              <w:t>deepseek-r1:1.5b_baseline</w:t>
            </w:r>
          </w:p>
        </w:tc>
        <w:tc>
          <w:tcPr>
            <w:tcW w:type="dxa" w:w="3194"/>
          </w:tcPr>
          <w:p>
            <w:pPr>
              <w:pStyle w:val="Compact"/>
              <w:jc w:val="left"/>
            </w:pPr>
            <w:r>
              <w:rPr>
                <w:b w:val="0"/>
              </w:rPr>
              <w:t>-0.0124</w:t>
            </w:r>
          </w:p>
        </w:tc>
        <w:tc>
          <w:tcPr>
            <w:tcW w:type="dxa" w:w="2663"/>
          </w:tcPr>
          <w:p>
            <w:pPr>
              <w:pStyle w:val="Compact"/>
              <w:jc w:val="left"/>
            </w:pPr>
            <w:r>
              <w:rPr>
                <w:b w:val="0"/>
              </w:rPr>
              <w:t>+0.0028</w:t>
            </w:r>
          </w:p>
        </w:tc>
      </w:tr>
      <w:tr>
        <w:tc>
          <w:tcPr>
            <w:tcW w:type="dxa" w:w="2981"/>
          </w:tcPr>
          <w:p>
            <w:pPr>
              <w:pStyle w:val="Compact"/>
              <w:jc w:val="left"/>
            </w:pPr>
            <w:r>
              <w:rPr>
                <w:b w:val="0"/>
              </w:rPr>
              <w:t>nemotron-mini:4b_baseline</w:t>
            </w:r>
          </w:p>
        </w:tc>
        <w:tc>
          <w:tcPr>
            <w:tcW w:type="dxa" w:w="3194"/>
          </w:tcPr>
          <w:p>
            <w:pPr>
              <w:pStyle w:val="Compact"/>
              <w:jc w:val="left"/>
            </w:pPr>
            <w:r>
              <w:rPr>
                <w:b w:val="0"/>
              </w:rPr>
              <w:t>-0.0477</w:t>
            </w:r>
          </w:p>
        </w:tc>
        <w:tc>
          <w:tcPr>
            <w:tcW w:type="dxa" w:w="2663"/>
          </w:tcPr>
          <w:p>
            <w:pPr>
              <w:pStyle w:val="Compact"/>
              <w:jc w:val="left"/>
            </w:pPr>
            <w:r>
              <w:rPr>
                <w:b w:val="0"/>
              </w:rPr>
              <w:t>-0.1942</w:t>
            </w:r>
          </w:p>
        </w:tc>
      </w:tr>
      <w:tr>
        <w:tc>
          <w:tcPr>
            <w:tcW w:type="dxa" w:w="2981"/>
          </w:tcPr>
          <w:p>
            <w:pPr>
              <w:pStyle w:val="Compact"/>
              <w:jc w:val="left"/>
            </w:pPr>
            <w:r>
              <w:rPr>
                <w:b w:val="0"/>
              </w:rPr>
              <w:t>deepseek-r1:1.5b_kb_rag</w:t>
            </w:r>
          </w:p>
        </w:tc>
        <w:tc>
          <w:tcPr>
            <w:tcW w:type="dxa" w:w="3194"/>
          </w:tcPr>
          <w:p>
            <w:pPr>
              <w:pStyle w:val="Compact"/>
              <w:jc w:val="left"/>
            </w:pPr>
            <w:r>
              <w:rPr>
                <w:b w:val="0"/>
              </w:rPr>
              <w:t>-0.0717</w:t>
            </w:r>
          </w:p>
        </w:tc>
        <w:tc>
          <w:tcPr>
            <w:tcW w:type="dxa" w:w="2663"/>
          </w:tcPr>
          <w:p>
            <w:pPr>
              <w:pStyle w:val="Compact"/>
              <w:jc w:val="left"/>
            </w:pPr>
            <w:r>
              <w:rPr>
                <w:b w:val="0"/>
              </w:rPr>
              <w:t>-0.1796</w:t>
            </w:r>
          </w:p>
        </w:tc>
      </w:tr>
      <w:tr>
        <w:tc>
          <w:tcPr>
            <w:tcW w:type="dxa" w:w="2981"/>
          </w:tcPr>
          <w:p>
            <w:pPr>
              <w:pStyle w:val="Compact"/>
              <w:jc w:val="left"/>
            </w:pPr>
            <w:r>
              <w:rPr>
                <w:b w:val="0"/>
              </w:rPr>
              <w:t>llama3.2:latest_baseline</w:t>
            </w:r>
          </w:p>
        </w:tc>
        <w:tc>
          <w:tcPr>
            <w:tcW w:type="dxa" w:w="3194"/>
          </w:tcPr>
          <w:p>
            <w:pPr>
              <w:pStyle w:val="Compact"/>
              <w:jc w:val="left"/>
            </w:pPr>
            <w:r>
              <w:rPr>
                <w:b w:val="0"/>
              </w:rPr>
              <w:t>-0.0816</w:t>
            </w:r>
          </w:p>
        </w:tc>
        <w:tc>
          <w:tcPr>
            <w:tcW w:type="dxa" w:w="2663"/>
          </w:tcPr>
          <w:p>
            <w:pPr>
              <w:pStyle w:val="Compact"/>
              <w:jc w:val="left"/>
            </w:pPr>
            <w:r>
              <w:rPr>
                <w:b w:val="0"/>
              </w:rPr>
              <w:t>-0.2665</w:t>
            </w:r>
          </w:p>
        </w:tc>
      </w:tr>
    </w:tbl>
    <w:p>
      <w:pPr>
        <w:numPr>
          <w:ilvl w:val="0"/>
          <w:numId w:val="0"/>
        </w:numPr>
        <w:pStyle w:val="Normal"/>
      </w:pPr>
      <w:r>
        <w:t xml:space="preserve">Los dos criterios apuntan en direcciones opuestas y de forma sistemática: </w:t>
      </w:r>
      <w:r>
        <w:rPr>
          <w:b/>
        </w:rPr>
        <w:t>veintiuna de las veintiséis configuraciones puntúan mejor</w:t>
      </w:r>
      <w:r>
        <w:t xml:space="preserve"> en los artículos cuya anotación de referencia está corrompida, y </w:t>
      </w:r>
      <w:r>
        <w:rPr>
          <w:b/>
        </w:rPr>
        <w:t>veintitrés puntúan peor</w:t>
      </w:r>
      <w:r>
        <w:t xml:space="preserve"> en aquellos cuyo texto lo está. La lectura es coherente con el mecanismo del cotejo difuso. Cuando la corrupción está en la referencia, el corpus premia la transcripción literal de los bytes y penaliza al modelo que escribe el nombre correctamente, porque </w:t>
      </w:r>
      <w:r>
        <w:t>José Bono</w:t>
      </w:r>
      <w:r>
        <w:t xml:space="preserve"> no casa con </w:t>
      </w:r>
      <w:r>
        <w:t>JosÃ© Bono</w:t>
      </w:r>
      <w:r>
        <w:t>. Cuando está en el texto de entrada, en cambio, dificulta la extracción para todos.</w:t>
      </w:r>
    </w:p>
    <w:p>
      <w:pPr>
        <w:numPr>
          <w:ilvl w:val="0"/>
          <w:numId w:val="0"/>
        </w:numPr>
        <w:pStyle w:val="p1a"/>
      </w:pPr>
      <w:r>
        <w:rPr>
          <w:b/>
        </w:rPr>
        <w:t>Cautela metodológica, y dos advertencias sobre versiones anteriores de esta tabla.</w:t>
      </w:r>
      <w:r>
        <w:t xml:space="preserve"> Los artículos afectados podrían ser además más largos o intrínsecamente más difíciles, lo que confundiría la magnitud absoluta de cada diferencia; el sentido del efecto, sin embargo, es consistente dentro de cada criterio. Una primera versión declaraba una partición de 88 artículos afectados y 31 no —cuya suma es 119 y no 120— y unas diferencias que no se reproducen con ninguno de los dos criterios. Una segunda tomaba para </w:t>
      </w:r>
      <w:r>
        <w:t>gemma4:12b-mlx</w:t>
      </w:r>
      <w:r>
        <w:t xml:space="preserve"> la corrida averiada por el modo de razonamiento, y de ahí salía un valor extremo de +0,1795 por criterio de texto que era artefacto de configuración y no efecto de la codificación. Con la corrida sana, el máximo por ese criterio baja a +0.0152. Se conservan estas notas para que ambas correcciones queden trazables.</w:t>
      </w:r>
    </w:p>
    <w:p>
      <w:pPr>
        <w:numPr>
          <w:ilvl w:val="0"/>
          <w:numId w:val="0"/>
        </w:numPr>
        <w:pStyle w:val="heading4"/>
      </w:pPr>
      <w:r>
        <w:t>H.4 Cómo debe repararse</w:t>
      </w:r>
    </w:p>
    <w:p>
      <w:pPr>
        <w:numPr>
          <w:ilvl w:val="0"/>
          <w:numId w:val="0"/>
        </w:numPr>
        <w:pStyle w:val="Normal"/>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(§5.3.1) y como línea de trabajo futuro (§7.2, punto 7).</w:t>
      </w:r>
    </w:p>
    <w:p>
      <w:pPr>
        <w:numPr>
          <w:ilvl w:val="0"/>
          <w:numId w:val="0"/>
        </w:numPr>
        <w:pStyle w:val="heading4"/>
      </w:pPr>
      <w:r>
        <w:t>H.5 Implicaciones para la evaluación de sistemas NER</w:t>
      </w:r>
    </w:p>
    <w:p>
      <w:pPr>
        <w:numPr>
          <w:ilvl w:val="0"/>
          <w:numId w:val="0"/>
        </w:numPr>
        <w:pStyle w:val="numbereditem"/>
      </w:pPr>
      <w:r>
        <w:rPr>
          <w:b/>
        </w:rPr>
        <w:t>Verificar la codificación de la entrada, no solo la de la referencia.</w:t>
      </w:r>
      <w:r>
        <w:t xml:space="preserve"> Un defecto presente en ambas no se comporta como el mismo defecto presente en una sola.</w:t>
      </w:r>
    </w:p>
    <w:p>
      <w:pPr>
        <w:numPr>
          <w:ilvl w:val="0"/>
          <w:numId w:val="0"/>
        </w:numPr>
        <w:pStyle w:val="numbereditem"/>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numbereditem"/>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numbereditem"/>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p>
      <w:pPr>
        <w:numPr>
          <w:ilvl w:val="0"/>
          <w:numId w:val="0"/>
        </w:numPr>
        <w:pStyle w:val="heading2"/>
      </w:pPr>
      <w:r>
        <w:t>Anexo I — Medición restringida a las categorías anotadas por el corpus</w:t>
      </w:r>
    </w:p>
    <w:p>
      <w:pPr>
        <w:numPr>
          <w:ilvl w:val="0"/>
          <w:numId w:val="0"/>
        </w:numPr>
        <w:pStyle w:val="p1a"/>
      </w:pPr>
      <w:r>
        <w:t xml:space="preserve">Los prompts solicitan tres categorías de entidad y los corpus anotan dos, de modo que toda localización extraída se contabiliza como falso positivo (§3.3). Esta tabla acompaña cada cifra publicada de su equivalente restringido a las categorías que el corpus efectivamente anota. Se obtuvo reagregando los desgloses por tipo ya almacenados en los resultados por corrida, </w:t>
      </w:r>
      <w:r>
        <w:rPr>
          <w:b/>
        </w:rPr>
        <w:t>sin repetir la inferencia</w:t>
      </w:r>
      <w:r>
        <w:t>, tomando por configuración la corrida más reciente que aporta exactamente 120 registros. La exhaustividad es idéntica en ambas columnas porque el corpus no anota localizaciones y, por tanto, tampoco puede omitirlas: la corrección afecta solo a la precisión. La Tabla 19 acompaña cada cifra publicada de su equivalente restringido.</w:t>
      </w:r>
    </w:p>
    <w:p>
      <w:pPr>
        <w:numPr>
          <w:ilvl w:val="0"/>
          <w:numId w:val="0"/>
        </w:numPr>
        <w:pStyle w:val="tablecaption"/>
      </w:pPr>
      <w:r>
        <w:t>Tabla 19. Desempeño publicado y desempeño restringido a personas y organizaciones (N=120, 42 configuraciones)</w:t>
      </w:r>
    </w:p>
    <w:tbl>
      <w:tblPr>
        <w:tblStyle w:val="Table"/>
        <w:tblW w:type="dxa" w:w="8838"/>
        <w:tblLayout w:type="fixed"/>
        <w:tblLook w:firstRow="1" w:lastRow="0" w:firstColumn="0" w:lastColumn="0" w:noHBand="0" w:noVBand="0" w:val="0020"/>
      </w:tblPr>
      <w:tblGrid>
        <w:gridCol w:w="2322"/>
        <w:gridCol w:w="1116"/>
        <w:gridCol w:w="900"/>
        <w:gridCol w:w="900"/>
        <w:gridCol w:w="900"/>
        <w:gridCol w:w="900"/>
        <w:gridCol w:w="900"/>
        <w:gridCol w:w="900"/>
      </w:tblGrid>
      <w:tr>
        <w:trPr>
          <w:tblHeader w:val="on"/>
        </w:trPr>
        <w:tc>
          <w:tcPr>
            <w:tcW w:type="dxa" w:w="2322"/>
          </w:tcPr>
          <w:p>
            <w:pPr>
              <w:pStyle w:val="Compact"/>
              <w:jc w:val="left"/>
            </w:pPr>
            <w:r>
              <w:rPr>
                <w:b/>
              </w:rPr>
              <w:t>Configuración</w:t>
            </w:r>
          </w:p>
        </w:tc>
        <w:tc>
          <w:tcPr>
            <w:tcW w:type="dxa" w:w="1116"/>
          </w:tcPr>
          <w:p>
            <w:pPr>
              <w:pStyle w:val="Compact"/>
              <w:jc w:val="left"/>
            </w:pPr>
            <w:r>
              <w:rPr>
                <w:b/>
              </w:rPr>
              <w:t>Corrida</w:t>
            </w:r>
          </w:p>
        </w:tc>
        <w:tc>
          <w:tcPr>
            <w:tcW w:type="dxa" w:w="900"/>
          </w:tcPr>
          <w:p>
            <w:pPr>
              <w:pStyle w:val="Compact"/>
              <w:jc w:val="left"/>
            </w:pPr>
            <w:r>
              <w:rPr>
                <w:b/>
              </w:rPr>
              <w:t>P</w:t>
            </w:r>
          </w:p>
        </w:tc>
        <w:tc>
          <w:tcPr>
            <w:tcW w:type="dxa" w:w="900"/>
          </w:tcPr>
          <w:p>
            <w:pPr>
              <w:pStyle w:val="Compact"/>
              <w:jc w:val="center"/>
            </w:pPr>
            <w:r>
              <w:rPr>
                <w:b/>
              </w:rPr>
              <w:t>R</w:t>
            </w:r>
          </w:p>
        </w:tc>
        <w:tc>
          <w:tcPr>
            <w:tcW w:type="dxa" w:w="900"/>
          </w:tcPr>
          <w:p>
            <w:pPr>
              <w:pStyle w:val="Compact"/>
              <w:jc w:val="center"/>
            </w:pPr>
            <w:r>
              <w:rPr>
                <w:b/>
              </w:rPr>
              <w:t>F1</w:t>
            </w:r>
          </w:p>
        </w:tc>
        <w:tc>
          <w:tcPr>
            <w:tcW w:type="dxa" w:w="900"/>
          </w:tcPr>
          <w:p>
            <w:pPr>
              <w:pStyle w:val="Compact"/>
              <w:jc w:val="left"/>
            </w:pPr>
            <w:r>
              <w:rPr>
                <w:b/>
              </w:rPr>
              <w:t>P restr.</w:t>
            </w:r>
          </w:p>
        </w:tc>
        <w:tc>
          <w:tcPr>
            <w:tcW w:type="dxa" w:w="900"/>
          </w:tcPr>
          <w:p>
            <w:pPr>
              <w:pStyle w:val="Compact"/>
              <w:jc w:val="left"/>
            </w:pPr>
            <w:r>
              <w:rPr>
                <w:b/>
              </w:rPr>
              <w:t>F1 restr.</w:t>
            </w:r>
          </w:p>
        </w:tc>
        <w:tc>
          <w:tcPr>
            <w:tcW w:type="dxa" w:w="900"/>
          </w:tcPr>
          <w:p>
            <w:pPr>
              <w:pStyle w:val="Compact"/>
              <w:jc w:val="left"/>
            </w:pPr>
            <w:r>
              <w:rPr>
                <w:b/>
              </w:rPr>
              <w:t>Δ F1</w:t>
            </w:r>
          </w:p>
        </w:tc>
      </w:tr>
      <w:tr>
        <w:tc>
          <w:tcPr>
            <w:tcW w:type="dxa" w:w="2322"/>
          </w:tcPr>
          <w:p>
            <w:pPr>
              <w:pStyle w:val="Compact"/>
              <w:jc w:val="left"/>
            </w:pPr>
            <w:r>
              <w:rPr>
                <w:b w:val="0"/>
              </w:rPr>
              <w:t>gemma4:31b-cloud_baseline</w:t>
            </w:r>
          </w:p>
        </w:tc>
        <w:tc>
          <w:tcPr>
            <w:tcW w:type="dxa" w:w="1116"/>
          </w:tcPr>
          <w:p>
            <w:pPr>
              <w:pStyle w:val="Compact"/>
              <w:jc w:val="left"/>
            </w:pPr>
            <w:r>
              <w:rPr>
                <w:b w:val="0"/>
              </w:rPr>
              <w:t>gemma4_31b_cloud_n120_REMOTO</w:t>
            </w:r>
          </w:p>
        </w:tc>
        <w:tc>
          <w:tcPr>
            <w:tcW w:type="dxa" w:w="900"/>
          </w:tcPr>
          <w:p>
            <w:pPr>
              <w:pStyle w:val="Compact"/>
              <w:jc w:val="left"/>
            </w:pPr>
            <w:r>
              <w:rPr>
                <w:b w:val="0"/>
              </w:rPr>
              <w:t>55.80</w:t>
            </w:r>
          </w:p>
        </w:tc>
        <w:tc>
          <w:tcPr>
            <w:tcW w:type="dxa" w:w="900"/>
          </w:tcPr>
          <w:p>
            <w:pPr>
              <w:pStyle w:val="Compact"/>
              <w:jc w:val="center"/>
            </w:pPr>
            <w:r>
              <w:rPr>
                <w:b w:val="0"/>
              </w:rPr>
              <w:t>75.30</w:t>
            </w:r>
          </w:p>
        </w:tc>
        <w:tc>
          <w:tcPr>
            <w:tcW w:type="dxa" w:w="900"/>
          </w:tcPr>
          <w:p>
            <w:pPr>
              <w:pStyle w:val="Compact"/>
              <w:jc w:val="center"/>
            </w:pPr>
            <w:r>
              <w:rPr>
                <w:b w:val="0"/>
              </w:rPr>
              <w:t>62.38</w:t>
            </w:r>
          </w:p>
        </w:tc>
        <w:tc>
          <w:tcPr>
            <w:tcW w:type="dxa" w:w="900"/>
          </w:tcPr>
          <w:p>
            <w:pPr>
              <w:pStyle w:val="Compact"/>
              <w:jc w:val="left"/>
            </w:pPr>
            <w:r>
              <w:rPr>
                <w:b w:val="0"/>
              </w:rPr>
              <w:t>85.51</w:t>
            </w:r>
          </w:p>
        </w:tc>
        <w:tc>
          <w:tcPr>
            <w:tcW w:type="dxa" w:w="900"/>
          </w:tcPr>
          <w:p>
            <w:pPr>
              <w:pStyle w:val="Compact"/>
              <w:jc w:val="left"/>
            </w:pPr>
            <w:r>
              <w:rPr>
                <w:b w:val="0"/>
              </w:rPr>
              <w:t>80.42</w:t>
            </w:r>
          </w:p>
        </w:tc>
        <w:tc>
          <w:tcPr>
            <w:tcW w:type="dxa" w:w="900"/>
          </w:tcPr>
          <w:p>
            <w:pPr>
              <w:pStyle w:val="Compact"/>
              <w:jc w:val="left"/>
            </w:pPr>
            <w:r>
              <w:rPr>
                <w:b w:val="0"/>
              </w:rPr>
              <w:t>+18.03</w:t>
            </w:r>
          </w:p>
        </w:tc>
      </w:tr>
      <w:tr>
        <w:tc>
          <w:tcPr>
            <w:tcW w:type="dxa" w:w="2322"/>
          </w:tcPr>
          <w:p>
            <w:pPr>
              <w:pStyle w:val="Compact"/>
              <w:jc w:val="left"/>
            </w:pPr>
            <w:r>
              <w:rPr>
                <w:b w:val="0"/>
              </w:rPr>
              <w:t>gemma4:31b-cloud_kb_rag</w:t>
            </w:r>
          </w:p>
        </w:tc>
        <w:tc>
          <w:tcPr>
            <w:tcW w:type="dxa" w:w="1116"/>
          </w:tcPr>
          <w:p>
            <w:pPr>
              <w:pStyle w:val="Compact"/>
              <w:jc w:val="left"/>
            </w:pPr>
            <w:r>
              <w:rPr>
                <w:b w:val="0"/>
              </w:rPr>
              <w:t>gemma4_31b_cloud_n120_REMOTO</w:t>
            </w:r>
          </w:p>
        </w:tc>
        <w:tc>
          <w:tcPr>
            <w:tcW w:type="dxa" w:w="900"/>
          </w:tcPr>
          <w:p>
            <w:pPr>
              <w:pStyle w:val="Compact"/>
              <w:jc w:val="left"/>
            </w:pPr>
            <w:r>
              <w:rPr>
                <w:b w:val="0"/>
              </w:rPr>
              <w:t>54.92</w:t>
            </w:r>
          </w:p>
        </w:tc>
        <w:tc>
          <w:tcPr>
            <w:tcW w:type="dxa" w:w="900"/>
          </w:tcPr>
          <w:p>
            <w:pPr>
              <w:pStyle w:val="Compact"/>
              <w:jc w:val="center"/>
            </w:pPr>
            <w:r>
              <w:rPr>
                <w:b w:val="0"/>
              </w:rPr>
              <w:t>75.11</w:t>
            </w:r>
          </w:p>
        </w:tc>
        <w:tc>
          <w:tcPr>
            <w:tcW w:type="dxa" w:w="900"/>
          </w:tcPr>
          <w:p>
            <w:pPr>
              <w:pStyle w:val="Compact"/>
              <w:jc w:val="center"/>
            </w:pPr>
            <w:r>
              <w:rPr>
                <w:b w:val="0"/>
              </w:rPr>
              <w:t>61.85</w:t>
            </w:r>
          </w:p>
        </w:tc>
        <w:tc>
          <w:tcPr>
            <w:tcW w:type="dxa" w:w="900"/>
          </w:tcPr>
          <w:p>
            <w:pPr>
              <w:pStyle w:val="Compact"/>
              <w:jc w:val="left"/>
            </w:pPr>
            <w:r>
              <w:rPr>
                <w:b w:val="0"/>
              </w:rPr>
              <w:t>82.40</w:t>
            </w:r>
          </w:p>
        </w:tc>
        <w:tc>
          <w:tcPr>
            <w:tcW w:type="dxa" w:w="900"/>
          </w:tcPr>
          <w:p>
            <w:pPr>
              <w:pStyle w:val="Compact"/>
              <w:jc w:val="left"/>
            </w:pPr>
            <w:r>
              <w:rPr>
                <w:b w:val="0"/>
              </w:rPr>
              <w:t>78.89</w:t>
            </w:r>
          </w:p>
        </w:tc>
        <w:tc>
          <w:tcPr>
            <w:tcW w:type="dxa" w:w="900"/>
          </w:tcPr>
          <w:p>
            <w:pPr>
              <w:pStyle w:val="Compact"/>
              <w:jc w:val="left"/>
            </w:pPr>
            <w:r>
              <w:rPr>
                <w:b w:val="0"/>
              </w:rPr>
              <w:t>+17.05</w:t>
            </w:r>
          </w:p>
        </w:tc>
      </w:tr>
      <w:tr>
        <w:tc>
          <w:tcPr>
            <w:tcW w:type="dxa" w:w="2322"/>
          </w:tcPr>
          <w:p>
            <w:pPr>
              <w:pStyle w:val="Compact"/>
              <w:jc w:val="left"/>
            </w:pPr>
            <w:r>
              <w:rPr>
                <w:b w:val="0"/>
              </w:rPr>
              <w:t>gemma4:31b-mlx_baseline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52.89</w:t>
            </w:r>
          </w:p>
        </w:tc>
        <w:tc>
          <w:tcPr>
            <w:tcW w:type="dxa" w:w="900"/>
          </w:tcPr>
          <w:p>
            <w:pPr>
              <w:pStyle w:val="Compact"/>
              <w:jc w:val="center"/>
            </w:pPr>
            <w:r>
              <w:rPr>
                <w:b w:val="0"/>
              </w:rPr>
              <w:t>72.35</w:t>
            </w:r>
          </w:p>
        </w:tc>
        <w:tc>
          <w:tcPr>
            <w:tcW w:type="dxa" w:w="900"/>
          </w:tcPr>
          <w:p>
            <w:pPr>
              <w:pStyle w:val="Compact"/>
              <w:jc w:val="center"/>
            </w:pPr>
            <w:r>
              <w:rPr>
                <w:b w:val="0"/>
              </w:rPr>
              <w:t>59.25</w:t>
            </w:r>
          </w:p>
        </w:tc>
        <w:tc>
          <w:tcPr>
            <w:tcW w:type="dxa" w:w="900"/>
          </w:tcPr>
          <w:p>
            <w:pPr>
              <w:pStyle w:val="Compact"/>
              <w:jc w:val="left"/>
            </w:pPr>
            <w:r>
              <w:rPr>
                <w:b w:val="0"/>
              </w:rPr>
              <w:t>80.85</w:t>
            </w:r>
          </w:p>
        </w:tc>
        <w:tc>
          <w:tcPr>
            <w:tcW w:type="dxa" w:w="900"/>
          </w:tcPr>
          <w:p>
            <w:pPr>
              <w:pStyle w:val="Compact"/>
              <w:jc w:val="left"/>
            </w:pPr>
            <w:r>
              <w:rPr>
                <w:b w:val="0"/>
              </w:rPr>
              <w:t>76.55</w:t>
            </w:r>
          </w:p>
        </w:tc>
        <w:tc>
          <w:tcPr>
            <w:tcW w:type="dxa" w:w="900"/>
          </w:tcPr>
          <w:p>
            <w:pPr>
              <w:pStyle w:val="Compact"/>
              <w:jc w:val="left"/>
            </w:pPr>
            <w:r>
              <w:rPr>
                <w:b w:val="0"/>
              </w:rPr>
              <w:t>+17.30</w:t>
            </w:r>
          </w:p>
        </w:tc>
      </w:tr>
      <w:tr>
        <w:tc>
          <w:tcPr>
            <w:tcW w:type="dxa" w:w="2322"/>
          </w:tcPr>
          <w:p>
            <w:pPr>
              <w:pStyle w:val="Compact"/>
              <w:jc w:val="left"/>
            </w:pPr>
            <w:r>
              <w:rPr>
                <w:b w:val="0"/>
              </w:rPr>
              <w:t>gemma4:31b-mlx_kb_rag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51.67</w:t>
            </w:r>
          </w:p>
        </w:tc>
        <w:tc>
          <w:tcPr>
            <w:tcW w:type="dxa" w:w="900"/>
          </w:tcPr>
          <w:p>
            <w:pPr>
              <w:pStyle w:val="Compact"/>
              <w:jc w:val="center"/>
            </w:pPr>
            <w:r>
              <w:rPr>
                <w:b w:val="0"/>
              </w:rPr>
              <w:t>73.59</w:t>
            </w:r>
          </w:p>
        </w:tc>
        <w:tc>
          <w:tcPr>
            <w:tcW w:type="dxa" w:w="900"/>
          </w:tcPr>
          <w:p>
            <w:pPr>
              <w:pStyle w:val="Compact"/>
              <w:jc w:val="center"/>
            </w:pPr>
            <w:r>
              <w:rPr>
                <w:b w:val="0"/>
              </w:rPr>
              <w:t>59.07</w:t>
            </w:r>
          </w:p>
        </w:tc>
        <w:tc>
          <w:tcPr>
            <w:tcW w:type="dxa" w:w="900"/>
          </w:tcPr>
          <w:p>
            <w:pPr>
              <w:pStyle w:val="Compact"/>
              <w:jc w:val="left"/>
            </w:pPr>
            <w:r>
              <w:rPr>
                <w:b w:val="0"/>
              </w:rPr>
              <w:t>77.11</w:t>
            </w:r>
          </w:p>
        </w:tc>
        <w:tc>
          <w:tcPr>
            <w:tcW w:type="dxa" w:w="900"/>
          </w:tcPr>
          <w:p>
            <w:pPr>
              <w:pStyle w:val="Compact"/>
              <w:jc w:val="left"/>
            </w:pPr>
            <w:r>
              <w:rPr>
                <w:b w:val="0"/>
              </w:rPr>
              <w:t>75.63</w:t>
            </w:r>
          </w:p>
        </w:tc>
        <w:tc>
          <w:tcPr>
            <w:tcW w:type="dxa" w:w="900"/>
          </w:tcPr>
          <w:p>
            <w:pPr>
              <w:pStyle w:val="Compact"/>
              <w:jc w:val="left"/>
            </w:pPr>
            <w:r>
              <w:rPr>
                <w:b w:val="0"/>
              </w:rPr>
              <w:t>+16.55</w:t>
            </w:r>
          </w:p>
        </w:tc>
      </w:tr>
      <w:tr>
        <w:tc>
          <w:tcPr>
            <w:tcW w:type="dxa" w:w="2322"/>
          </w:tcPr>
          <w:p>
            <w:pPr>
              <w:pStyle w:val="Compact"/>
              <w:jc w:val="left"/>
            </w:pPr>
            <w:r>
              <w:rPr>
                <w:b w:val="0"/>
              </w:rPr>
              <w:t>gemma4:31b-mlx_rag_enhanced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52.09</w:t>
            </w:r>
          </w:p>
        </w:tc>
        <w:tc>
          <w:tcPr>
            <w:tcW w:type="dxa" w:w="900"/>
          </w:tcPr>
          <w:p>
            <w:pPr>
              <w:pStyle w:val="Compact"/>
              <w:jc w:val="center"/>
            </w:pPr>
            <w:r>
              <w:rPr>
                <w:b w:val="0"/>
              </w:rPr>
              <w:t>69.18</w:t>
            </w:r>
          </w:p>
        </w:tc>
        <w:tc>
          <w:tcPr>
            <w:tcW w:type="dxa" w:w="900"/>
          </w:tcPr>
          <w:p>
            <w:pPr>
              <w:pStyle w:val="Compact"/>
              <w:jc w:val="center"/>
            </w:pPr>
            <w:r>
              <w:rPr>
                <w:b w:val="0"/>
              </w:rPr>
              <w:t>57.85</w:t>
            </w:r>
          </w:p>
        </w:tc>
        <w:tc>
          <w:tcPr>
            <w:tcW w:type="dxa" w:w="900"/>
          </w:tcPr>
          <w:p>
            <w:pPr>
              <w:pStyle w:val="Compact"/>
              <w:jc w:val="left"/>
            </w:pPr>
            <w:r>
              <w:rPr>
                <w:b w:val="0"/>
              </w:rPr>
              <w:t>80.34</w:t>
            </w:r>
          </w:p>
        </w:tc>
        <w:tc>
          <w:tcPr>
            <w:tcW w:type="dxa" w:w="900"/>
          </w:tcPr>
          <w:p>
            <w:pPr>
              <w:pStyle w:val="Compact"/>
              <w:jc w:val="left"/>
            </w:pPr>
            <w:r>
              <w:rPr>
                <w:b w:val="0"/>
              </w:rPr>
              <w:t>74.66</w:t>
            </w:r>
          </w:p>
        </w:tc>
        <w:tc>
          <w:tcPr>
            <w:tcW w:type="dxa" w:w="900"/>
          </w:tcPr>
          <w:p>
            <w:pPr>
              <w:pStyle w:val="Compact"/>
              <w:jc w:val="left"/>
            </w:pPr>
            <w:r>
              <w:rPr>
                <w:b w:val="0"/>
              </w:rPr>
              <w:t>+16.81</w:t>
            </w:r>
          </w:p>
        </w:tc>
      </w:tr>
      <w:tr>
        <w:tc>
          <w:tcPr>
            <w:tcW w:type="dxa" w:w="2322"/>
          </w:tcPr>
          <w:p>
            <w:pPr>
              <w:pStyle w:val="Compact"/>
              <w:jc w:val="left"/>
            </w:pPr>
            <w:r>
              <w:rPr>
                <w:b w:val="0"/>
              </w:rPr>
              <w:t>zs-es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51.90</w:t>
            </w:r>
          </w:p>
        </w:tc>
        <w:tc>
          <w:tcPr>
            <w:tcW w:type="dxa" w:w="900"/>
          </w:tcPr>
          <w:p>
            <w:pPr>
              <w:pStyle w:val="Compact"/>
              <w:jc w:val="center"/>
            </w:pPr>
            <w:r>
              <w:rPr>
                <w:b w:val="0"/>
              </w:rPr>
              <w:t>67.86</w:t>
            </w:r>
          </w:p>
        </w:tc>
        <w:tc>
          <w:tcPr>
            <w:tcW w:type="dxa" w:w="900"/>
          </w:tcPr>
          <w:p>
            <w:pPr>
              <w:pStyle w:val="Compact"/>
              <w:jc w:val="center"/>
            </w:pPr>
            <w:r>
              <w:rPr>
                <w:b w:val="0"/>
              </w:rPr>
              <w:t>55.62</w:t>
            </w:r>
          </w:p>
        </w:tc>
        <w:tc>
          <w:tcPr>
            <w:tcW w:type="dxa" w:w="900"/>
          </w:tcPr>
          <w:p>
            <w:pPr>
              <w:pStyle w:val="Compact"/>
              <w:jc w:val="left"/>
            </w:pPr>
            <w:r>
              <w:rPr>
                <w:b w:val="0"/>
              </w:rPr>
              <w:t>79.49</w:t>
            </w:r>
          </w:p>
        </w:tc>
        <w:tc>
          <w:tcPr>
            <w:tcW w:type="dxa" w:w="900"/>
          </w:tcPr>
          <w:p>
            <w:pPr>
              <w:pStyle w:val="Compact"/>
              <w:jc w:val="left"/>
            </w:pPr>
            <w:r>
              <w:rPr>
                <w:b w:val="0"/>
              </w:rPr>
              <w:t>71.07</w:t>
            </w:r>
          </w:p>
        </w:tc>
        <w:tc>
          <w:tcPr>
            <w:tcW w:type="dxa" w:w="900"/>
          </w:tcPr>
          <w:p>
            <w:pPr>
              <w:pStyle w:val="Compact"/>
              <w:jc w:val="left"/>
            </w:pPr>
            <w:r>
              <w:rPr>
                <w:b w:val="0"/>
              </w:rPr>
              <w:t>+15.45</w:t>
            </w:r>
          </w:p>
        </w:tc>
      </w:tr>
      <w:tr>
        <w:tc>
          <w:tcPr>
            <w:tcW w:type="dxa" w:w="2322"/>
          </w:tcPr>
          <w:p>
            <w:pPr>
              <w:pStyle w:val="Compact"/>
              <w:jc w:val="left"/>
            </w:pPr>
            <w:r>
              <w:rPr>
                <w:b w:val="0"/>
              </w:rPr>
              <w:t>gpt-oss:20b_kb_rag</w:t>
            </w:r>
          </w:p>
        </w:tc>
        <w:tc>
          <w:tcPr>
            <w:tcW w:type="dxa" w:w="1116"/>
          </w:tcPr>
          <w:p>
            <w:pPr>
              <w:pStyle w:val="Compact"/>
              <w:jc w:val="left"/>
            </w:pPr>
            <w:r>
              <w:rPr>
                <w:b w:val="0"/>
              </w:rPr>
              <w:t>gptoss_rerun_REMOTO</w:t>
            </w:r>
          </w:p>
        </w:tc>
        <w:tc>
          <w:tcPr>
            <w:tcW w:type="dxa" w:w="900"/>
          </w:tcPr>
          <w:p>
            <w:pPr>
              <w:pStyle w:val="Compact"/>
              <w:jc w:val="left"/>
            </w:pPr>
            <w:r>
              <w:rPr>
                <w:b w:val="0"/>
              </w:rPr>
              <w:t>49.18</w:t>
            </w:r>
          </w:p>
        </w:tc>
        <w:tc>
          <w:tcPr>
            <w:tcW w:type="dxa" w:w="900"/>
          </w:tcPr>
          <w:p>
            <w:pPr>
              <w:pStyle w:val="Compact"/>
              <w:jc w:val="center"/>
            </w:pPr>
            <w:r>
              <w:rPr>
                <w:b w:val="0"/>
              </w:rPr>
              <w:t>69.09</w:t>
            </w:r>
          </w:p>
        </w:tc>
        <w:tc>
          <w:tcPr>
            <w:tcW w:type="dxa" w:w="900"/>
          </w:tcPr>
          <w:p>
            <w:pPr>
              <w:pStyle w:val="Compact"/>
              <w:jc w:val="center"/>
            </w:pPr>
            <w:r>
              <w:rPr>
                <w:b w:val="0"/>
              </w:rPr>
              <w:t>55.67</w:t>
            </w:r>
          </w:p>
        </w:tc>
        <w:tc>
          <w:tcPr>
            <w:tcW w:type="dxa" w:w="900"/>
          </w:tcPr>
          <w:p>
            <w:pPr>
              <w:pStyle w:val="Compact"/>
              <w:jc w:val="left"/>
            </w:pPr>
            <w:r>
              <w:rPr>
                <w:b w:val="0"/>
              </w:rPr>
              <w:t>75.40</w:t>
            </w:r>
          </w:p>
        </w:tc>
        <w:tc>
          <w:tcPr>
            <w:tcW w:type="dxa" w:w="900"/>
          </w:tcPr>
          <w:p>
            <w:pPr>
              <w:pStyle w:val="Compact"/>
              <w:jc w:val="left"/>
            </w:pPr>
            <w:r>
              <w:rPr>
                <w:b w:val="0"/>
              </w:rPr>
              <w:t>71.99</w:t>
            </w:r>
          </w:p>
        </w:tc>
        <w:tc>
          <w:tcPr>
            <w:tcW w:type="dxa" w:w="900"/>
          </w:tcPr>
          <w:p>
            <w:pPr>
              <w:pStyle w:val="Compact"/>
              <w:jc w:val="left"/>
            </w:pPr>
            <w:r>
              <w:rPr>
                <w:b w:val="0"/>
              </w:rPr>
              <w:t>+16.32</w:t>
            </w:r>
          </w:p>
        </w:tc>
      </w:tr>
      <w:tr>
        <w:tc>
          <w:tcPr>
            <w:tcW w:type="dxa" w:w="2322"/>
          </w:tcPr>
          <w:p>
            <w:pPr>
              <w:pStyle w:val="Compact"/>
              <w:jc w:val="left"/>
            </w:pPr>
            <w:r>
              <w:rPr>
                <w:b w:val="0"/>
              </w:rPr>
              <w:t>gemma4:latest_baseline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52.91</w:t>
            </w:r>
          </w:p>
        </w:tc>
        <w:tc>
          <w:tcPr>
            <w:tcW w:type="dxa" w:w="900"/>
          </w:tcPr>
          <w:p>
            <w:pPr>
              <w:pStyle w:val="Compact"/>
              <w:jc w:val="center"/>
            </w:pPr>
            <w:r>
              <w:rPr>
                <w:b w:val="0"/>
              </w:rPr>
              <w:t>63.87</w:t>
            </w:r>
          </w:p>
        </w:tc>
        <w:tc>
          <w:tcPr>
            <w:tcW w:type="dxa" w:w="900"/>
          </w:tcPr>
          <w:p>
            <w:pPr>
              <w:pStyle w:val="Compact"/>
              <w:jc w:val="center"/>
            </w:pPr>
            <w:r>
              <w:rPr>
                <w:b w:val="0"/>
              </w:rPr>
              <w:t>55.91</w:t>
            </w:r>
          </w:p>
        </w:tc>
        <w:tc>
          <w:tcPr>
            <w:tcW w:type="dxa" w:w="900"/>
          </w:tcPr>
          <w:p>
            <w:pPr>
              <w:pStyle w:val="Compact"/>
              <w:jc w:val="left"/>
            </w:pPr>
            <w:r>
              <w:rPr>
                <w:b w:val="0"/>
              </w:rPr>
              <w:t>78.81</w:t>
            </w:r>
          </w:p>
        </w:tc>
        <w:tc>
          <w:tcPr>
            <w:tcW w:type="dxa" w:w="900"/>
          </w:tcPr>
          <w:p>
            <w:pPr>
              <w:pStyle w:val="Compact"/>
              <w:jc w:val="left"/>
            </w:pPr>
            <w:r>
              <w:rPr>
                <w:b w:val="0"/>
              </w:rPr>
              <w:t>70.52</w:t>
            </w:r>
          </w:p>
        </w:tc>
        <w:tc>
          <w:tcPr>
            <w:tcW w:type="dxa" w:w="900"/>
          </w:tcPr>
          <w:p>
            <w:pPr>
              <w:pStyle w:val="Compact"/>
              <w:jc w:val="left"/>
            </w:pPr>
            <w:r>
              <w:rPr>
                <w:b w:val="0"/>
              </w:rPr>
              <w:t>+14.61</w:t>
            </w:r>
          </w:p>
        </w:tc>
      </w:tr>
      <w:tr>
        <w:tc>
          <w:tcPr>
            <w:tcW w:type="dxa" w:w="2322"/>
          </w:tcPr>
          <w:p>
            <w:pPr>
              <w:pStyle w:val="Compact"/>
              <w:jc w:val="left"/>
            </w:pPr>
            <w:r>
              <w:rPr>
                <w:b w:val="0"/>
              </w:rPr>
              <w:t>gemma4:latest_kb_rag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51.29</w:t>
            </w:r>
          </w:p>
        </w:tc>
        <w:tc>
          <w:tcPr>
            <w:tcW w:type="dxa" w:w="900"/>
          </w:tcPr>
          <w:p>
            <w:pPr>
              <w:pStyle w:val="Compact"/>
              <w:jc w:val="center"/>
            </w:pPr>
            <w:r>
              <w:rPr>
                <w:b w:val="0"/>
              </w:rPr>
              <w:t>62.76</w:t>
            </w:r>
          </w:p>
        </w:tc>
        <w:tc>
          <w:tcPr>
            <w:tcW w:type="dxa" w:w="900"/>
          </w:tcPr>
          <w:p>
            <w:pPr>
              <w:pStyle w:val="Compact"/>
              <w:jc w:val="center"/>
            </w:pPr>
            <w:r>
              <w:rPr>
                <w:b w:val="0"/>
              </w:rPr>
              <w:t>54.74</w:t>
            </w:r>
          </w:p>
        </w:tc>
        <w:tc>
          <w:tcPr>
            <w:tcW w:type="dxa" w:w="900"/>
          </w:tcPr>
          <w:p>
            <w:pPr>
              <w:pStyle w:val="Compact"/>
              <w:jc w:val="left"/>
            </w:pPr>
            <w:r>
              <w:rPr>
                <w:b w:val="0"/>
              </w:rPr>
              <w:t>79.72</w:t>
            </w:r>
          </w:p>
        </w:tc>
        <w:tc>
          <w:tcPr>
            <w:tcW w:type="dxa" w:w="900"/>
          </w:tcPr>
          <w:p>
            <w:pPr>
              <w:pStyle w:val="Compact"/>
              <w:jc w:val="left"/>
            </w:pPr>
            <w:r>
              <w:rPr>
                <w:b w:val="0"/>
              </w:rPr>
              <w:t>70.34</w:t>
            </w:r>
          </w:p>
        </w:tc>
        <w:tc>
          <w:tcPr>
            <w:tcW w:type="dxa" w:w="900"/>
          </w:tcPr>
          <w:p>
            <w:pPr>
              <w:pStyle w:val="Compact"/>
              <w:jc w:val="left"/>
            </w:pPr>
            <w:r>
              <w:rPr>
                <w:b w:val="0"/>
              </w:rPr>
              <w:t>+15.59</w:t>
            </w:r>
          </w:p>
        </w:tc>
      </w:tr>
      <w:tr>
        <w:tc>
          <w:tcPr>
            <w:tcW w:type="dxa" w:w="2322"/>
          </w:tcPr>
          <w:p>
            <w:pPr>
              <w:pStyle w:val="Compact"/>
              <w:jc w:val="left"/>
            </w:pPr>
            <w:r>
              <w:rPr>
                <w:b w:val="0"/>
              </w:rPr>
              <w:t>zs-en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52.47</w:t>
            </w:r>
          </w:p>
        </w:tc>
        <w:tc>
          <w:tcPr>
            <w:tcW w:type="dxa" w:w="900"/>
          </w:tcPr>
          <w:p>
            <w:pPr>
              <w:pStyle w:val="Compact"/>
              <w:jc w:val="center"/>
            </w:pPr>
            <w:r>
              <w:rPr>
                <w:b w:val="0"/>
              </w:rPr>
              <w:t>65.39</w:t>
            </w:r>
          </w:p>
        </w:tc>
        <w:tc>
          <w:tcPr>
            <w:tcW w:type="dxa" w:w="900"/>
          </w:tcPr>
          <w:p>
            <w:pPr>
              <w:pStyle w:val="Compact"/>
              <w:jc w:val="center"/>
            </w:pPr>
            <w:r>
              <w:rPr>
                <w:b w:val="0"/>
              </w:rPr>
              <w:t>54.46</w:t>
            </w:r>
          </w:p>
        </w:tc>
        <w:tc>
          <w:tcPr>
            <w:tcW w:type="dxa" w:w="900"/>
          </w:tcPr>
          <w:p>
            <w:pPr>
              <w:pStyle w:val="Compact"/>
              <w:jc w:val="left"/>
            </w:pPr>
            <w:r>
              <w:rPr>
                <w:b w:val="0"/>
              </w:rPr>
              <w:t>77.93</w:t>
            </w:r>
          </w:p>
        </w:tc>
        <w:tc>
          <w:tcPr>
            <w:tcW w:type="dxa" w:w="900"/>
          </w:tcPr>
          <w:p>
            <w:pPr>
              <w:pStyle w:val="Compact"/>
              <w:jc w:val="left"/>
            </w:pPr>
            <w:r>
              <w:rPr>
                <w:b w:val="0"/>
              </w:rPr>
              <w:t>69.06</w:t>
            </w:r>
          </w:p>
        </w:tc>
        <w:tc>
          <w:tcPr>
            <w:tcW w:type="dxa" w:w="900"/>
          </w:tcPr>
          <w:p>
            <w:pPr>
              <w:pStyle w:val="Compact"/>
              <w:jc w:val="left"/>
            </w:pPr>
            <w:r>
              <w:rPr>
                <w:b w:val="0"/>
              </w:rPr>
              <w:t>+14.60</w:t>
            </w:r>
          </w:p>
        </w:tc>
      </w:tr>
      <w:tr>
        <w:tc>
          <w:tcPr>
            <w:tcW w:type="dxa" w:w="2322"/>
          </w:tcPr>
          <w:p>
            <w:pPr>
              <w:pStyle w:val="Compact"/>
              <w:jc w:val="left"/>
            </w:pPr>
            <w:r>
              <w:rPr>
                <w:b w:val="0"/>
              </w:rPr>
              <w:t>fs-es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51.35</w:t>
            </w:r>
          </w:p>
        </w:tc>
        <w:tc>
          <w:tcPr>
            <w:tcW w:type="dxa" w:w="900"/>
          </w:tcPr>
          <w:p>
            <w:pPr>
              <w:pStyle w:val="Compact"/>
              <w:jc w:val="center"/>
            </w:pPr>
            <w:r>
              <w:rPr>
                <w:b w:val="0"/>
              </w:rPr>
              <w:t>64.59</w:t>
            </w:r>
          </w:p>
        </w:tc>
        <w:tc>
          <w:tcPr>
            <w:tcW w:type="dxa" w:w="900"/>
          </w:tcPr>
          <w:p>
            <w:pPr>
              <w:pStyle w:val="Compact"/>
              <w:jc w:val="center"/>
            </w:pPr>
            <w:r>
              <w:rPr>
                <w:b w:val="0"/>
              </w:rPr>
              <w:t>54.02</w:t>
            </w:r>
          </w:p>
        </w:tc>
        <w:tc>
          <w:tcPr>
            <w:tcW w:type="dxa" w:w="900"/>
          </w:tcPr>
          <w:p>
            <w:pPr>
              <w:pStyle w:val="Compact"/>
              <w:jc w:val="left"/>
            </w:pPr>
            <w:r>
              <w:rPr>
                <w:b w:val="0"/>
              </w:rPr>
              <w:t>80.76</w:t>
            </w:r>
          </w:p>
        </w:tc>
        <w:tc>
          <w:tcPr>
            <w:tcW w:type="dxa" w:w="900"/>
          </w:tcPr>
          <w:p>
            <w:pPr>
              <w:pStyle w:val="Compact"/>
              <w:jc w:val="left"/>
            </w:pPr>
            <w:r>
              <w:rPr>
                <w:b w:val="0"/>
              </w:rPr>
              <w:t>69.89</w:t>
            </w:r>
          </w:p>
        </w:tc>
        <w:tc>
          <w:tcPr>
            <w:tcW w:type="dxa" w:w="900"/>
          </w:tcPr>
          <w:p>
            <w:pPr>
              <w:pStyle w:val="Compact"/>
              <w:jc w:val="left"/>
            </w:pPr>
            <w:r>
              <w:rPr>
                <w:b w:val="0"/>
              </w:rPr>
              <w:t>+15.86</w:t>
            </w:r>
          </w:p>
        </w:tc>
      </w:tr>
      <w:tr>
        <w:tc>
          <w:tcPr>
            <w:tcW w:type="dxa" w:w="2322"/>
          </w:tcPr>
          <w:p>
            <w:pPr>
              <w:pStyle w:val="Compact"/>
              <w:jc w:val="left"/>
            </w:pPr>
            <w:r>
              <w:rPr>
                <w:b w:val="0"/>
              </w:rPr>
              <w:t>fs-en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51.61</w:t>
            </w:r>
          </w:p>
        </w:tc>
        <w:tc>
          <w:tcPr>
            <w:tcW w:type="dxa" w:w="900"/>
          </w:tcPr>
          <w:p>
            <w:pPr>
              <w:pStyle w:val="Compact"/>
              <w:jc w:val="center"/>
            </w:pPr>
            <w:r>
              <w:rPr>
                <w:b w:val="0"/>
              </w:rPr>
              <w:t>65.28</w:t>
            </w:r>
          </w:p>
        </w:tc>
        <w:tc>
          <w:tcPr>
            <w:tcW w:type="dxa" w:w="900"/>
          </w:tcPr>
          <w:p>
            <w:pPr>
              <w:pStyle w:val="Compact"/>
              <w:jc w:val="center"/>
            </w:pPr>
            <w:r>
              <w:rPr>
                <w:b w:val="0"/>
              </w:rPr>
              <w:t>54.50</w:t>
            </w:r>
          </w:p>
        </w:tc>
        <w:tc>
          <w:tcPr>
            <w:tcW w:type="dxa" w:w="900"/>
          </w:tcPr>
          <w:p>
            <w:pPr>
              <w:pStyle w:val="Compact"/>
              <w:jc w:val="left"/>
            </w:pPr>
            <w:r>
              <w:rPr>
                <w:b w:val="0"/>
              </w:rPr>
              <w:t>80.26</w:t>
            </w:r>
          </w:p>
        </w:tc>
        <w:tc>
          <w:tcPr>
            <w:tcW w:type="dxa" w:w="900"/>
          </w:tcPr>
          <w:p>
            <w:pPr>
              <w:pStyle w:val="Compact"/>
              <w:jc w:val="left"/>
            </w:pPr>
            <w:r>
              <w:rPr>
                <w:b w:val="0"/>
              </w:rPr>
              <w:t>70.23</w:t>
            </w:r>
          </w:p>
        </w:tc>
        <w:tc>
          <w:tcPr>
            <w:tcW w:type="dxa" w:w="900"/>
          </w:tcPr>
          <w:p>
            <w:pPr>
              <w:pStyle w:val="Compact"/>
              <w:jc w:val="left"/>
            </w:pPr>
            <w:r>
              <w:rPr>
                <w:b w:val="0"/>
              </w:rPr>
              <w:t>+15.72</w:t>
            </w:r>
          </w:p>
        </w:tc>
      </w:tr>
      <w:tr>
        <w:tc>
          <w:tcPr>
            <w:tcW w:type="dxa" w:w="2322"/>
          </w:tcPr>
          <w:p>
            <w:pPr>
              <w:pStyle w:val="Compact"/>
              <w:jc w:val="left"/>
            </w:pPr>
            <w:r>
              <w:rPr>
                <w:b w:val="0"/>
              </w:rPr>
              <w:t>gemma4:latest_rag_enhanced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50.61</w:t>
            </w:r>
          </w:p>
        </w:tc>
        <w:tc>
          <w:tcPr>
            <w:tcW w:type="dxa" w:w="900"/>
          </w:tcPr>
          <w:p>
            <w:pPr>
              <w:pStyle w:val="Compact"/>
              <w:jc w:val="center"/>
            </w:pPr>
            <w:r>
              <w:rPr>
                <w:b w:val="0"/>
              </w:rPr>
              <w:t>58.82</w:t>
            </w:r>
          </w:p>
        </w:tc>
        <w:tc>
          <w:tcPr>
            <w:tcW w:type="dxa" w:w="900"/>
          </w:tcPr>
          <w:p>
            <w:pPr>
              <w:pStyle w:val="Compact"/>
              <w:jc w:val="center"/>
            </w:pPr>
            <w:r>
              <w:rPr>
                <w:b w:val="0"/>
              </w:rPr>
              <w:t>52.57</w:t>
            </w:r>
          </w:p>
        </w:tc>
        <w:tc>
          <w:tcPr>
            <w:tcW w:type="dxa" w:w="900"/>
          </w:tcPr>
          <w:p>
            <w:pPr>
              <w:pStyle w:val="Compact"/>
              <w:jc w:val="left"/>
            </w:pPr>
            <w:r>
              <w:rPr>
                <w:b w:val="0"/>
              </w:rPr>
              <w:t>78.80</w:t>
            </w:r>
          </w:p>
        </w:tc>
        <w:tc>
          <w:tcPr>
            <w:tcW w:type="dxa" w:w="900"/>
          </w:tcPr>
          <w:p>
            <w:pPr>
              <w:pStyle w:val="Compact"/>
              <w:jc w:val="left"/>
            </w:pPr>
            <w:r>
              <w:rPr>
                <w:b w:val="0"/>
              </w:rPr>
              <w:t>67.22</w:t>
            </w:r>
          </w:p>
        </w:tc>
        <w:tc>
          <w:tcPr>
            <w:tcW w:type="dxa" w:w="900"/>
          </w:tcPr>
          <w:p>
            <w:pPr>
              <w:pStyle w:val="Compact"/>
              <w:jc w:val="left"/>
            </w:pPr>
            <w:r>
              <w:rPr>
                <w:b w:val="0"/>
              </w:rPr>
              <w:t>+14.65</w:t>
            </w:r>
          </w:p>
        </w:tc>
      </w:tr>
      <w:tr>
        <w:tc>
          <w:tcPr>
            <w:tcW w:type="dxa" w:w="2322"/>
          </w:tcPr>
          <w:p>
            <w:pPr>
              <w:pStyle w:val="Compact"/>
              <w:jc w:val="left"/>
            </w:pPr>
            <w:r>
              <w:rPr>
                <w:b w:val="0"/>
              </w:rPr>
              <w:t>gpt-oss:20b_baseline</w:t>
            </w:r>
          </w:p>
        </w:tc>
        <w:tc>
          <w:tcPr>
            <w:tcW w:type="dxa" w:w="1116"/>
          </w:tcPr>
          <w:p>
            <w:pPr>
              <w:pStyle w:val="Compact"/>
              <w:jc w:val="left"/>
            </w:pPr>
            <w:r>
              <w:rPr>
                <w:b w:val="0"/>
              </w:rPr>
              <w:t>gptoss_rerun_REMOTO</w:t>
            </w:r>
          </w:p>
        </w:tc>
        <w:tc>
          <w:tcPr>
            <w:tcW w:type="dxa" w:w="900"/>
          </w:tcPr>
          <w:p>
            <w:pPr>
              <w:pStyle w:val="Compact"/>
              <w:jc w:val="left"/>
            </w:pPr>
            <w:r>
              <w:rPr>
                <w:b w:val="0"/>
              </w:rPr>
              <w:t>46.49</w:t>
            </w:r>
          </w:p>
        </w:tc>
        <w:tc>
          <w:tcPr>
            <w:tcW w:type="dxa" w:w="900"/>
          </w:tcPr>
          <w:p>
            <w:pPr>
              <w:pStyle w:val="Compact"/>
              <w:jc w:val="center"/>
            </w:pPr>
            <w:r>
              <w:rPr>
                <w:b w:val="0"/>
              </w:rPr>
              <w:t>64.40</w:t>
            </w:r>
          </w:p>
        </w:tc>
        <w:tc>
          <w:tcPr>
            <w:tcW w:type="dxa" w:w="900"/>
          </w:tcPr>
          <w:p>
            <w:pPr>
              <w:pStyle w:val="Compact"/>
              <w:jc w:val="center"/>
            </w:pPr>
            <w:r>
              <w:rPr>
                <w:b w:val="0"/>
              </w:rPr>
              <w:t>52.39</w:t>
            </w:r>
          </w:p>
        </w:tc>
        <w:tc>
          <w:tcPr>
            <w:tcW w:type="dxa" w:w="900"/>
          </w:tcPr>
          <w:p>
            <w:pPr>
              <w:pStyle w:val="Compact"/>
              <w:jc w:val="left"/>
            </w:pPr>
            <w:r>
              <w:rPr>
                <w:b w:val="0"/>
              </w:rPr>
              <w:t>73.69</w:t>
            </w:r>
          </w:p>
        </w:tc>
        <w:tc>
          <w:tcPr>
            <w:tcW w:type="dxa" w:w="900"/>
          </w:tcPr>
          <w:p>
            <w:pPr>
              <w:pStyle w:val="Compact"/>
              <w:jc w:val="left"/>
            </w:pPr>
            <w:r>
              <w:rPr>
                <w:b w:val="0"/>
              </w:rPr>
              <w:t>68.89</w:t>
            </w:r>
          </w:p>
        </w:tc>
        <w:tc>
          <w:tcPr>
            <w:tcW w:type="dxa" w:w="900"/>
          </w:tcPr>
          <w:p>
            <w:pPr>
              <w:pStyle w:val="Compact"/>
              <w:jc w:val="left"/>
            </w:pPr>
            <w:r>
              <w:rPr>
                <w:b w:val="0"/>
              </w:rPr>
              <w:t>+16.50</w:t>
            </w:r>
          </w:p>
        </w:tc>
      </w:tr>
      <w:tr>
        <w:tc>
          <w:tcPr>
            <w:tcW w:type="dxa" w:w="2322"/>
          </w:tcPr>
          <w:p>
            <w:pPr>
              <w:pStyle w:val="Compact"/>
              <w:jc w:val="left"/>
            </w:pPr>
            <w:r>
              <w:rPr>
                <w:b w:val="0"/>
              </w:rPr>
              <w:t>qwen2.5:14b_kb_rag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55.48</w:t>
            </w:r>
          </w:p>
        </w:tc>
        <w:tc>
          <w:tcPr>
            <w:tcW w:type="dxa" w:w="900"/>
          </w:tcPr>
          <w:p>
            <w:pPr>
              <w:pStyle w:val="Compact"/>
              <w:jc w:val="center"/>
            </w:pPr>
            <w:r>
              <w:rPr>
                <w:b w:val="0"/>
              </w:rPr>
              <w:t>58.74</w:t>
            </w:r>
          </w:p>
        </w:tc>
        <w:tc>
          <w:tcPr>
            <w:tcW w:type="dxa" w:w="900"/>
          </w:tcPr>
          <w:p>
            <w:pPr>
              <w:pStyle w:val="Compact"/>
              <w:jc w:val="center"/>
            </w:pPr>
            <w:r>
              <w:rPr>
                <w:b w:val="0"/>
              </w:rPr>
              <w:t>54.84</w:t>
            </w:r>
          </w:p>
        </w:tc>
        <w:tc>
          <w:tcPr>
            <w:tcW w:type="dxa" w:w="900"/>
          </w:tcPr>
          <w:p>
            <w:pPr>
              <w:pStyle w:val="Compact"/>
              <w:jc w:val="left"/>
            </w:pPr>
            <w:r>
              <w:rPr>
                <w:b w:val="0"/>
              </w:rPr>
              <w:t>82.69</w:t>
            </w:r>
          </w:p>
        </w:tc>
        <w:tc>
          <w:tcPr>
            <w:tcW w:type="dxa" w:w="900"/>
          </w:tcPr>
          <w:p>
            <w:pPr>
              <w:pStyle w:val="Compact"/>
              <w:jc w:val="left"/>
            </w:pPr>
            <w:r>
              <w:rPr>
                <w:b w:val="0"/>
              </w:rPr>
              <w:t>68.11</w:t>
            </w:r>
          </w:p>
        </w:tc>
        <w:tc>
          <w:tcPr>
            <w:tcW w:type="dxa" w:w="900"/>
          </w:tcPr>
          <w:p>
            <w:pPr>
              <w:pStyle w:val="Compact"/>
              <w:jc w:val="left"/>
            </w:pPr>
            <w:r>
              <w:rPr>
                <w:b w:val="0"/>
              </w:rPr>
              <w:t>+13.27</w:t>
            </w:r>
          </w:p>
        </w:tc>
      </w:tr>
      <w:tr>
        <w:tc>
          <w:tcPr>
            <w:tcW w:type="dxa" w:w="2322"/>
          </w:tcPr>
          <w:p>
            <w:pPr>
              <w:pStyle w:val="Compact"/>
              <w:jc w:val="left"/>
            </w:pPr>
            <w:r>
              <w:rPr>
                <w:b w:val="0"/>
              </w:rPr>
              <w:t>qwen2.5:14b_baseline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50.29</w:t>
            </w:r>
          </w:p>
        </w:tc>
        <w:tc>
          <w:tcPr>
            <w:tcW w:type="dxa" w:w="900"/>
          </w:tcPr>
          <w:p>
            <w:pPr>
              <w:pStyle w:val="Compact"/>
              <w:jc w:val="center"/>
            </w:pPr>
            <w:r>
              <w:rPr>
                <w:b w:val="0"/>
              </w:rPr>
              <w:t>54.02</w:t>
            </w:r>
          </w:p>
        </w:tc>
        <w:tc>
          <w:tcPr>
            <w:tcW w:type="dxa" w:w="900"/>
          </w:tcPr>
          <w:p>
            <w:pPr>
              <w:pStyle w:val="Compact"/>
              <w:jc w:val="center"/>
            </w:pPr>
            <w:r>
              <w:rPr>
                <w:b w:val="0"/>
              </w:rPr>
              <w:t>50.22</w:t>
            </w:r>
          </w:p>
        </w:tc>
        <w:tc>
          <w:tcPr>
            <w:tcW w:type="dxa" w:w="900"/>
          </w:tcPr>
          <w:p>
            <w:pPr>
              <w:pStyle w:val="Compact"/>
              <w:jc w:val="left"/>
            </w:pPr>
            <w:r>
              <w:rPr>
                <w:b w:val="0"/>
              </w:rPr>
              <w:t>83.40</w:t>
            </w:r>
          </w:p>
        </w:tc>
        <w:tc>
          <w:tcPr>
            <w:tcW w:type="dxa" w:w="900"/>
          </w:tcPr>
          <w:p>
            <w:pPr>
              <w:pStyle w:val="Compact"/>
              <w:jc w:val="left"/>
            </w:pPr>
            <w:r>
              <w:rPr>
                <w:b w:val="0"/>
              </w:rPr>
              <w:t>66.11</w:t>
            </w:r>
          </w:p>
        </w:tc>
        <w:tc>
          <w:tcPr>
            <w:tcW w:type="dxa" w:w="900"/>
          </w:tcPr>
          <w:p>
            <w:pPr>
              <w:pStyle w:val="Compact"/>
              <w:jc w:val="left"/>
            </w:pPr>
            <w:r>
              <w:rPr>
                <w:b w:val="0"/>
              </w:rPr>
              <w:t>+15.89</w:t>
            </w:r>
          </w:p>
        </w:tc>
      </w:tr>
      <w:tr>
        <w:tc>
          <w:tcPr>
            <w:tcW w:type="dxa" w:w="2322"/>
          </w:tcPr>
          <w:p>
            <w:pPr>
              <w:pStyle w:val="Compact"/>
              <w:jc w:val="left"/>
            </w:pPr>
            <w:r>
              <w:rPr>
                <w:b w:val="0"/>
              </w:rPr>
              <w:t>llama3.1:8b_baseline</w:t>
            </w:r>
          </w:p>
        </w:tc>
        <w:tc>
          <w:tcPr>
            <w:tcW w:type="dxa" w:w="1116"/>
          </w:tcPr>
          <w:p>
            <w:pPr>
              <w:pStyle w:val="Compact"/>
              <w:jc w:val="left"/>
            </w:pPr>
            <w:r>
              <w:rPr>
                <w:b w:val="0"/>
              </w:rPr>
              <w:t>benchmark_n120_REMOTO</w:t>
            </w:r>
          </w:p>
        </w:tc>
        <w:tc>
          <w:tcPr>
            <w:tcW w:type="dxa" w:w="900"/>
          </w:tcPr>
          <w:p>
            <w:pPr>
              <w:pStyle w:val="Compact"/>
              <w:jc w:val="left"/>
            </w:pPr>
            <w:r>
              <w:rPr>
                <w:b w:val="0"/>
              </w:rPr>
              <w:t>47.37</w:t>
            </w:r>
          </w:p>
        </w:tc>
        <w:tc>
          <w:tcPr>
            <w:tcW w:type="dxa" w:w="900"/>
          </w:tcPr>
          <w:p>
            <w:pPr>
              <w:pStyle w:val="Compact"/>
              <w:jc w:val="center"/>
            </w:pPr>
            <w:r>
              <w:rPr>
                <w:b w:val="0"/>
              </w:rPr>
              <w:t>54.91</w:t>
            </w:r>
          </w:p>
        </w:tc>
        <w:tc>
          <w:tcPr>
            <w:tcW w:type="dxa" w:w="900"/>
          </w:tcPr>
          <w:p>
            <w:pPr>
              <w:pStyle w:val="Compact"/>
              <w:jc w:val="center"/>
            </w:pPr>
            <w:r>
              <w:rPr>
                <w:b w:val="0"/>
              </w:rPr>
              <w:t>48.76</w:t>
            </w:r>
          </w:p>
        </w:tc>
        <w:tc>
          <w:tcPr>
            <w:tcW w:type="dxa" w:w="900"/>
          </w:tcPr>
          <w:p>
            <w:pPr>
              <w:pStyle w:val="Compact"/>
              <w:jc w:val="left"/>
            </w:pPr>
            <w:r>
              <w:rPr>
                <w:b w:val="0"/>
              </w:rPr>
              <w:t>80.52</w:t>
            </w:r>
          </w:p>
        </w:tc>
        <w:tc>
          <w:tcPr>
            <w:tcW w:type="dxa" w:w="900"/>
          </w:tcPr>
          <w:p>
            <w:pPr>
              <w:pStyle w:val="Compact"/>
              <w:jc w:val="left"/>
            </w:pPr>
            <w:r>
              <w:rPr>
                <w:b w:val="0"/>
              </w:rPr>
              <w:t>64.53</w:t>
            </w:r>
          </w:p>
        </w:tc>
        <w:tc>
          <w:tcPr>
            <w:tcW w:type="dxa" w:w="900"/>
          </w:tcPr>
          <w:p>
            <w:pPr>
              <w:pStyle w:val="Compact"/>
              <w:jc w:val="left"/>
            </w:pPr>
            <w:r>
              <w:rPr>
                <w:b w:val="0"/>
              </w:rPr>
              <w:t>+15.77</w:t>
            </w:r>
          </w:p>
        </w:tc>
      </w:tr>
      <w:tr>
        <w:tc>
          <w:tcPr>
            <w:tcW w:type="dxa" w:w="2322"/>
          </w:tcPr>
          <w:p>
            <w:pPr>
              <w:pStyle w:val="Compact"/>
              <w:jc w:val="left"/>
            </w:pPr>
            <w:r>
              <w:rPr>
                <w:b w:val="0"/>
              </w:rPr>
              <w:t>llama3.1:8b_kb_rag</w:t>
            </w:r>
          </w:p>
        </w:tc>
        <w:tc>
          <w:tcPr>
            <w:tcW w:type="dxa" w:w="1116"/>
          </w:tcPr>
          <w:p>
            <w:pPr>
              <w:pStyle w:val="Compact"/>
              <w:jc w:val="left"/>
            </w:pPr>
            <w:r>
              <w:rPr>
                <w:b w:val="0"/>
              </w:rPr>
              <w:t>benchmark_n120_REMOTO</w:t>
            </w:r>
          </w:p>
        </w:tc>
        <w:tc>
          <w:tcPr>
            <w:tcW w:type="dxa" w:w="900"/>
          </w:tcPr>
          <w:p>
            <w:pPr>
              <w:pStyle w:val="Compact"/>
              <w:jc w:val="left"/>
            </w:pPr>
            <w:r>
              <w:rPr>
                <w:b w:val="0"/>
              </w:rPr>
              <w:t>50.85</w:t>
            </w:r>
          </w:p>
        </w:tc>
        <w:tc>
          <w:tcPr>
            <w:tcW w:type="dxa" w:w="900"/>
          </w:tcPr>
          <w:p>
            <w:pPr>
              <w:pStyle w:val="Compact"/>
              <w:jc w:val="center"/>
            </w:pPr>
            <w:r>
              <w:rPr>
                <w:b w:val="0"/>
              </w:rPr>
              <w:t>55.23</w:t>
            </w:r>
          </w:p>
        </w:tc>
        <w:tc>
          <w:tcPr>
            <w:tcW w:type="dxa" w:w="900"/>
          </w:tcPr>
          <w:p>
            <w:pPr>
              <w:pStyle w:val="Compact"/>
              <w:jc w:val="center"/>
            </w:pPr>
            <w:r>
              <w:rPr>
                <w:b w:val="0"/>
              </w:rPr>
              <w:t>50.75</w:t>
            </w:r>
          </w:p>
        </w:tc>
        <w:tc>
          <w:tcPr>
            <w:tcW w:type="dxa" w:w="900"/>
          </w:tcPr>
          <w:p>
            <w:pPr>
              <w:pStyle w:val="Compact"/>
              <w:jc w:val="left"/>
            </w:pPr>
            <w:r>
              <w:rPr>
                <w:b w:val="0"/>
              </w:rPr>
              <w:t>76.28</w:t>
            </w:r>
          </w:p>
        </w:tc>
        <w:tc>
          <w:tcPr>
            <w:tcW w:type="dxa" w:w="900"/>
          </w:tcPr>
          <w:p>
            <w:pPr>
              <w:pStyle w:val="Compact"/>
              <w:jc w:val="left"/>
            </w:pPr>
            <w:r>
              <w:rPr>
                <w:b w:val="0"/>
              </w:rPr>
              <w:t>63.62</w:t>
            </w:r>
          </w:p>
        </w:tc>
        <w:tc>
          <w:tcPr>
            <w:tcW w:type="dxa" w:w="900"/>
          </w:tcPr>
          <w:p>
            <w:pPr>
              <w:pStyle w:val="Compact"/>
              <w:jc w:val="left"/>
            </w:pPr>
            <w:r>
              <w:rPr>
                <w:b w:val="0"/>
              </w:rPr>
              <w:t>+12.87</w:t>
            </w:r>
          </w:p>
        </w:tc>
      </w:tr>
      <w:tr>
        <w:tc>
          <w:tcPr>
            <w:tcW w:type="dxa" w:w="2322"/>
          </w:tcPr>
          <w:p>
            <w:pPr>
              <w:pStyle w:val="Compact"/>
              <w:jc w:val="left"/>
            </w:pPr>
            <w:r>
              <w:rPr>
                <w:b w:val="0"/>
              </w:rPr>
              <w:t>qwen3:8b_kb_rag</w:t>
            </w:r>
          </w:p>
        </w:tc>
        <w:tc>
          <w:tcPr>
            <w:tcW w:type="dxa" w:w="1116"/>
          </w:tcPr>
          <w:p>
            <w:pPr>
              <w:pStyle w:val="Compact"/>
              <w:jc w:val="left"/>
            </w:pPr>
            <w:r>
              <w:rPr>
                <w:b w:val="0"/>
              </w:rPr>
              <w:t>qwen3_nothink_n120_REMOTO</w:t>
            </w:r>
          </w:p>
        </w:tc>
        <w:tc>
          <w:tcPr>
            <w:tcW w:type="dxa" w:w="900"/>
          </w:tcPr>
          <w:p>
            <w:pPr>
              <w:pStyle w:val="Compact"/>
              <w:jc w:val="left"/>
            </w:pPr>
            <w:r>
              <w:rPr>
                <w:b w:val="0"/>
              </w:rPr>
              <w:t>48.51</w:t>
            </w:r>
          </w:p>
        </w:tc>
        <w:tc>
          <w:tcPr>
            <w:tcW w:type="dxa" w:w="900"/>
          </w:tcPr>
          <w:p>
            <w:pPr>
              <w:pStyle w:val="Compact"/>
              <w:jc w:val="center"/>
            </w:pPr>
            <w:r>
              <w:rPr>
                <w:b w:val="0"/>
              </w:rPr>
              <w:t>59.68</w:t>
            </w:r>
          </w:p>
        </w:tc>
        <w:tc>
          <w:tcPr>
            <w:tcW w:type="dxa" w:w="900"/>
          </w:tcPr>
          <w:p>
            <w:pPr>
              <w:pStyle w:val="Compact"/>
              <w:jc w:val="center"/>
            </w:pPr>
            <w:r>
              <w:rPr>
                <w:b w:val="0"/>
              </w:rPr>
              <w:t>51.46</w:t>
            </w:r>
          </w:p>
        </w:tc>
        <w:tc>
          <w:tcPr>
            <w:tcW w:type="dxa" w:w="900"/>
          </w:tcPr>
          <w:p>
            <w:pPr>
              <w:pStyle w:val="Compact"/>
              <w:jc w:val="left"/>
            </w:pPr>
            <w:r>
              <w:rPr>
                <w:b w:val="0"/>
              </w:rPr>
              <w:t>72.59</w:t>
            </w:r>
          </w:p>
        </w:tc>
        <w:tc>
          <w:tcPr>
            <w:tcW w:type="dxa" w:w="900"/>
          </w:tcPr>
          <w:p>
            <w:pPr>
              <w:pStyle w:val="Compact"/>
              <w:jc w:val="left"/>
            </w:pPr>
            <w:r>
              <w:rPr>
                <w:b w:val="0"/>
              </w:rPr>
              <w:t>64.87</w:t>
            </w:r>
          </w:p>
        </w:tc>
        <w:tc>
          <w:tcPr>
            <w:tcW w:type="dxa" w:w="900"/>
          </w:tcPr>
          <w:p>
            <w:pPr>
              <w:pStyle w:val="Compact"/>
              <w:jc w:val="left"/>
            </w:pPr>
            <w:r>
              <w:rPr>
                <w:b w:val="0"/>
              </w:rPr>
              <w:t>+13.41</w:t>
            </w:r>
          </w:p>
        </w:tc>
      </w:tr>
      <w:tr>
        <w:tc>
          <w:tcPr>
            <w:tcW w:type="dxa" w:w="2322"/>
          </w:tcPr>
          <w:p>
            <w:pPr>
              <w:pStyle w:val="Compact"/>
              <w:jc w:val="left"/>
            </w:pPr>
            <w:r>
              <w:rPr>
                <w:b w:val="0"/>
              </w:rPr>
              <w:t>qwen3:8b_baseline</w:t>
            </w:r>
          </w:p>
        </w:tc>
        <w:tc>
          <w:tcPr>
            <w:tcW w:type="dxa" w:w="1116"/>
          </w:tcPr>
          <w:p>
            <w:pPr>
              <w:pStyle w:val="Compact"/>
              <w:jc w:val="left"/>
            </w:pPr>
            <w:r>
              <w:rPr>
                <w:b w:val="0"/>
              </w:rPr>
              <w:t>qwen3_nothink_n120_REMOTO</w:t>
            </w:r>
          </w:p>
        </w:tc>
        <w:tc>
          <w:tcPr>
            <w:tcW w:type="dxa" w:w="900"/>
          </w:tcPr>
          <w:p>
            <w:pPr>
              <w:pStyle w:val="Compact"/>
              <w:jc w:val="left"/>
            </w:pPr>
            <w:r>
              <w:rPr>
                <w:b w:val="0"/>
              </w:rPr>
              <w:t>46.25</w:t>
            </w:r>
          </w:p>
        </w:tc>
        <w:tc>
          <w:tcPr>
            <w:tcW w:type="dxa" w:w="900"/>
          </w:tcPr>
          <w:p>
            <w:pPr>
              <w:pStyle w:val="Compact"/>
              <w:jc w:val="center"/>
            </w:pPr>
            <w:r>
              <w:rPr>
                <w:b w:val="0"/>
              </w:rPr>
              <w:t>55.02</w:t>
            </w:r>
          </w:p>
        </w:tc>
        <w:tc>
          <w:tcPr>
            <w:tcW w:type="dxa" w:w="900"/>
          </w:tcPr>
          <w:p>
            <w:pPr>
              <w:pStyle w:val="Compact"/>
              <w:jc w:val="center"/>
            </w:pPr>
            <w:r>
              <w:rPr>
                <w:b w:val="0"/>
              </w:rPr>
              <w:t>48.21</w:t>
            </w:r>
          </w:p>
        </w:tc>
        <w:tc>
          <w:tcPr>
            <w:tcW w:type="dxa" w:w="900"/>
          </w:tcPr>
          <w:p>
            <w:pPr>
              <w:pStyle w:val="Compact"/>
              <w:jc w:val="left"/>
            </w:pPr>
            <w:r>
              <w:rPr>
                <w:b w:val="0"/>
              </w:rPr>
              <w:t>75.27</w:t>
            </w:r>
          </w:p>
        </w:tc>
        <w:tc>
          <w:tcPr>
            <w:tcW w:type="dxa" w:w="900"/>
          </w:tcPr>
          <w:p>
            <w:pPr>
              <w:pStyle w:val="Compact"/>
              <w:jc w:val="left"/>
            </w:pPr>
            <w:r>
              <w:rPr>
                <w:b w:val="0"/>
              </w:rPr>
              <w:t>63.05</w:t>
            </w:r>
          </w:p>
        </w:tc>
        <w:tc>
          <w:tcPr>
            <w:tcW w:type="dxa" w:w="900"/>
          </w:tcPr>
          <w:p>
            <w:pPr>
              <w:pStyle w:val="Compact"/>
              <w:jc w:val="left"/>
            </w:pPr>
            <w:r>
              <w:rPr>
                <w:b w:val="0"/>
              </w:rPr>
              <w:t>+14.84</w:t>
            </w:r>
          </w:p>
        </w:tc>
      </w:tr>
      <w:tr>
        <w:tc>
          <w:tcPr>
            <w:tcW w:type="dxa" w:w="2322"/>
          </w:tcPr>
          <w:p>
            <w:pPr>
              <w:pStyle w:val="Compact"/>
              <w:jc w:val="left"/>
            </w:pPr>
            <w:r>
              <w:rPr>
                <w:b w:val="0"/>
              </w:rPr>
              <w:t>qwen2.5:14b_rag_enhanced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50.99</w:t>
            </w:r>
          </w:p>
        </w:tc>
        <w:tc>
          <w:tcPr>
            <w:tcW w:type="dxa" w:w="900"/>
          </w:tcPr>
          <w:p>
            <w:pPr>
              <w:pStyle w:val="Compact"/>
              <w:jc w:val="center"/>
            </w:pPr>
            <w:r>
              <w:rPr>
                <w:b w:val="0"/>
              </w:rPr>
              <w:t>51.31</w:t>
            </w:r>
          </w:p>
        </w:tc>
        <w:tc>
          <w:tcPr>
            <w:tcW w:type="dxa" w:w="900"/>
          </w:tcPr>
          <w:p>
            <w:pPr>
              <w:pStyle w:val="Compact"/>
              <w:jc w:val="center"/>
            </w:pPr>
            <w:r>
              <w:rPr>
                <w:b w:val="0"/>
              </w:rPr>
              <w:t>49.05</w:t>
            </w:r>
          </w:p>
        </w:tc>
        <w:tc>
          <w:tcPr>
            <w:tcW w:type="dxa" w:w="900"/>
          </w:tcPr>
          <w:p>
            <w:pPr>
              <w:pStyle w:val="Compact"/>
              <w:jc w:val="left"/>
            </w:pPr>
            <w:r>
              <w:rPr>
                <w:b w:val="0"/>
              </w:rPr>
              <w:t>85.30</w:t>
            </w:r>
          </w:p>
        </w:tc>
        <w:tc>
          <w:tcPr>
            <w:tcW w:type="dxa" w:w="900"/>
          </w:tcPr>
          <w:p>
            <w:pPr>
              <w:pStyle w:val="Compact"/>
              <w:jc w:val="left"/>
            </w:pPr>
            <w:r>
              <w:rPr>
                <w:b w:val="0"/>
              </w:rPr>
              <w:t>63.64</w:t>
            </w:r>
          </w:p>
        </w:tc>
        <w:tc>
          <w:tcPr>
            <w:tcW w:type="dxa" w:w="900"/>
          </w:tcPr>
          <w:p>
            <w:pPr>
              <w:pStyle w:val="Compact"/>
              <w:jc w:val="left"/>
            </w:pPr>
            <w:r>
              <w:rPr>
                <w:b w:val="0"/>
              </w:rPr>
              <w:t>+14.59</w:t>
            </w:r>
          </w:p>
        </w:tc>
      </w:tr>
      <w:tr>
        <w:tc>
          <w:tcPr>
            <w:tcW w:type="dxa" w:w="2322"/>
          </w:tcPr>
          <w:p>
            <w:pPr>
              <w:pStyle w:val="Compact"/>
              <w:jc w:val="left"/>
            </w:pPr>
            <w:r>
              <w:rPr>
                <w:b w:val="0"/>
              </w:rPr>
              <w:t>llama3.2:latest_kb_rag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48.92</w:t>
            </w:r>
          </w:p>
        </w:tc>
        <w:tc>
          <w:tcPr>
            <w:tcW w:type="dxa" w:w="900"/>
          </w:tcPr>
          <w:p>
            <w:pPr>
              <w:pStyle w:val="Compact"/>
              <w:jc w:val="center"/>
            </w:pPr>
            <w:r>
              <w:rPr>
                <w:b w:val="0"/>
              </w:rPr>
              <w:t>51.81</w:t>
            </w:r>
          </w:p>
        </w:tc>
        <w:tc>
          <w:tcPr>
            <w:tcW w:type="dxa" w:w="900"/>
          </w:tcPr>
          <w:p>
            <w:pPr>
              <w:pStyle w:val="Compact"/>
              <w:jc w:val="center"/>
            </w:pPr>
            <w:r>
              <w:rPr>
                <w:b w:val="0"/>
              </w:rPr>
              <w:t>46.93</w:t>
            </w:r>
          </w:p>
        </w:tc>
        <w:tc>
          <w:tcPr>
            <w:tcW w:type="dxa" w:w="900"/>
          </w:tcPr>
          <w:p>
            <w:pPr>
              <w:pStyle w:val="Compact"/>
              <w:jc w:val="left"/>
            </w:pPr>
            <w:r>
              <w:rPr>
                <w:b w:val="0"/>
              </w:rPr>
              <w:t>75.45</w:t>
            </w:r>
          </w:p>
        </w:tc>
        <w:tc>
          <w:tcPr>
            <w:tcW w:type="dxa" w:w="900"/>
          </w:tcPr>
          <w:p>
            <w:pPr>
              <w:pStyle w:val="Compact"/>
              <w:jc w:val="left"/>
            </w:pPr>
            <w:r>
              <w:rPr>
                <w:b w:val="0"/>
              </w:rPr>
              <w:t>59.86</w:t>
            </w:r>
          </w:p>
        </w:tc>
        <w:tc>
          <w:tcPr>
            <w:tcW w:type="dxa" w:w="900"/>
          </w:tcPr>
          <w:p>
            <w:pPr>
              <w:pStyle w:val="Compact"/>
              <w:jc w:val="left"/>
            </w:pPr>
            <w:r>
              <w:rPr>
                <w:b w:val="0"/>
              </w:rPr>
              <w:t>+12.92</w:t>
            </w:r>
          </w:p>
        </w:tc>
      </w:tr>
      <w:tr>
        <w:tc>
          <w:tcPr>
            <w:tcW w:type="dxa" w:w="2322"/>
          </w:tcPr>
          <w:p>
            <w:pPr>
              <w:pStyle w:val="Compact"/>
              <w:jc w:val="left"/>
            </w:pPr>
            <w:r>
              <w:rPr>
                <w:b w:val="0"/>
              </w:rPr>
              <w:t>llama3.1:8b_rag_enhanced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47.02</w:t>
            </w:r>
          </w:p>
        </w:tc>
        <w:tc>
          <w:tcPr>
            <w:tcW w:type="dxa" w:w="900"/>
          </w:tcPr>
          <w:p>
            <w:pPr>
              <w:pStyle w:val="Compact"/>
              <w:jc w:val="center"/>
            </w:pPr>
            <w:r>
              <w:rPr>
                <w:b w:val="0"/>
              </w:rPr>
              <w:t>46.98</w:t>
            </w:r>
          </w:p>
        </w:tc>
        <w:tc>
          <w:tcPr>
            <w:tcW w:type="dxa" w:w="900"/>
          </w:tcPr>
          <w:p>
            <w:pPr>
              <w:pStyle w:val="Compact"/>
              <w:jc w:val="center"/>
            </w:pPr>
            <w:r>
              <w:rPr>
                <w:b w:val="0"/>
              </w:rPr>
              <w:t>44.56</w:t>
            </w:r>
          </w:p>
        </w:tc>
        <w:tc>
          <w:tcPr>
            <w:tcW w:type="dxa" w:w="900"/>
          </w:tcPr>
          <w:p>
            <w:pPr>
              <w:pStyle w:val="Compact"/>
              <w:jc w:val="left"/>
            </w:pPr>
            <w:r>
              <w:rPr>
                <w:b w:val="0"/>
              </w:rPr>
              <w:t>87.02</w:t>
            </w:r>
          </w:p>
        </w:tc>
        <w:tc>
          <w:tcPr>
            <w:tcW w:type="dxa" w:w="900"/>
          </w:tcPr>
          <w:p>
            <w:pPr>
              <w:pStyle w:val="Compact"/>
              <w:jc w:val="left"/>
            </w:pPr>
            <w:r>
              <w:rPr>
                <w:b w:val="0"/>
              </w:rPr>
              <w:t>59.25</w:t>
            </w:r>
          </w:p>
        </w:tc>
        <w:tc>
          <w:tcPr>
            <w:tcW w:type="dxa" w:w="900"/>
          </w:tcPr>
          <w:p>
            <w:pPr>
              <w:pStyle w:val="Compact"/>
              <w:jc w:val="left"/>
            </w:pPr>
            <w:r>
              <w:rPr>
                <w:b w:val="0"/>
              </w:rPr>
              <w:t>+14.69</w:t>
            </w:r>
          </w:p>
        </w:tc>
      </w:tr>
      <w:tr>
        <w:tc>
          <w:tcPr>
            <w:tcW w:type="dxa" w:w="2322"/>
          </w:tcPr>
          <w:p>
            <w:pPr>
              <w:pStyle w:val="Compact"/>
              <w:jc w:val="left"/>
            </w:pPr>
            <w:r>
              <w:rPr>
                <w:b w:val="0"/>
              </w:rPr>
              <w:t>gemma:latest_kb_rag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52.31</w:t>
            </w:r>
          </w:p>
        </w:tc>
        <w:tc>
          <w:tcPr>
            <w:tcW w:type="dxa" w:w="900"/>
          </w:tcPr>
          <w:p>
            <w:pPr>
              <w:pStyle w:val="Compact"/>
              <w:jc w:val="center"/>
            </w:pPr>
            <w:r>
              <w:rPr>
                <w:b w:val="0"/>
              </w:rPr>
              <w:t>56.62</w:t>
            </w:r>
          </w:p>
        </w:tc>
        <w:tc>
          <w:tcPr>
            <w:tcW w:type="dxa" w:w="900"/>
          </w:tcPr>
          <w:p>
            <w:pPr>
              <w:pStyle w:val="Compact"/>
              <w:jc w:val="center"/>
            </w:pPr>
            <w:r>
              <w:rPr>
                <w:b w:val="0"/>
              </w:rPr>
              <w:t>51.36</w:t>
            </w:r>
          </w:p>
        </w:tc>
        <w:tc>
          <w:tcPr>
            <w:tcW w:type="dxa" w:w="900"/>
          </w:tcPr>
          <w:p>
            <w:pPr>
              <w:pStyle w:val="Compact"/>
              <w:jc w:val="left"/>
            </w:pPr>
            <w:r>
              <w:rPr>
                <w:b w:val="0"/>
              </w:rPr>
              <w:t>61.48</w:t>
            </w:r>
          </w:p>
        </w:tc>
        <w:tc>
          <w:tcPr>
            <w:tcW w:type="dxa" w:w="900"/>
          </w:tcPr>
          <w:p>
            <w:pPr>
              <w:pStyle w:val="Compact"/>
              <w:jc w:val="left"/>
            </w:pPr>
            <w:r>
              <w:rPr>
                <w:b w:val="0"/>
              </w:rPr>
              <w:t>56.37</w:t>
            </w:r>
          </w:p>
        </w:tc>
        <w:tc>
          <w:tcPr>
            <w:tcW w:type="dxa" w:w="900"/>
          </w:tcPr>
          <w:p>
            <w:pPr>
              <w:pStyle w:val="Compact"/>
              <w:jc w:val="left"/>
            </w:pPr>
            <w:r>
              <w:rPr>
                <w:b w:val="0"/>
              </w:rPr>
              <w:t>+5.01</w:t>
            </w:r>
          </w:p>
        </w:tc>
      </w:tr>
      <w:tr>
        <w:tc>
          <w:tcPr>
            <w:tcW w:type="dxa" w:w="2322"/>
          </w:tcPr>
          <w:p>
            <w:pPr>
              <w:pStyle w:val="Compact"/>
              <w:jc w:val="left"/>
            </w:pPr>
            <w:r>
              <w:rPr>
                <w:b w:val="0"/>
              </w:rPr>
              <w:t>mistral-nemo:latest_baseline</w:t>
            </w:r>
          </w:p>
        </w:tc>
        <w:tc>
          <w:tcPr>
            <w:tcW w:type="dxa" w:w="1116"/>
          </w:tcPr>
          <w:p>
            <w:pPr>
              <w:pStyle w:val="Compact"/>
              <w:jc w:val="left"/>
            </w:pPr>
            <w:r>
              <w:rPr>
                <w:b w:val="0"/>
              </w:rPr>
              <w:t>benchmark_n120_REMOTO</w:t>
            </w:r>
          </w:p>
        </w:tc>
        <w:tc>
          <w:tcPr>
            <w:tcW w:type="dxa" w:w="900"/>
          </w:tcPr>
          <w:p>
            <w:pPr>
              <w:pStyle w:val="Compact"/>
              <w:jc w:val="left"/>
            </w:pPr>
            <w:r>
              <w:rPr>
                <w:b w:val="0"/>
              </w:rPr>
              <w:t>52.39</w:t>
            </w:r>
          </w:p>
        </w:tc>
        <w:tc>
          <w:tcPr>
            <w:tcW w:type="dxa" w:w="900"/>
          </w:tcPr>
          <w:p>
            <w:pPr>
              <w:pStyle w:val="Compact"/>
              <w:jc w:val="center"/>
            </w:pPr>
            <w:r>
              <w:rPr>
                <w:b w:val="0"/>
              </w:rPr>
              <w:t>41.09</w:t>
            </w:r>
          </w:p>
        </w:tc>
        <w:tc>
          <w:tcPr>
            <w:tcW w:type="dxa" w:w="900"/>
          </w:tcPr>
          <w:p>
            <w:pPr>
              <w:pStyle w:val="Compact"/>
              <w:jc w:val="center"/>
            </w:pPr>
            <w:r>
              <w:rPr>
                <w:b w:val="0"/>
              </w:rPr>
              <w:t>43.38</w:t>
            </w:r>
          </w:p>
        </w:tc>
        <w:tc>
          <w:tcPr>
            <w:tcW w:type="dxa" w:w="900"/>
          </w:tcPr>
          <w:p>
            <w:pPr>
              <w:pStyle w:val="Compact"/>
              <w:jc w:val="left"/>
            </w:pPr>
            <w:r>
              <w:rPr>
                <w:b w:val="0"/>
              </w:rPr>
              <w:t>82.24</w:t>
            </w:r>
          </w:p>
        </w:tc>
        <w:tc>
          <w:tcPr>
            <w:tcW w:type="dxa" w:w="900"/>
          </w:tcPr>
          <w:p>
            <w:pPr>
              <w:pStyle w:val="Compact"/>
              <w:jc w:val="left"/>
            </w:pPr>
            <w:r>
              <w:rPr>
                <w:b w:val="0"/>
              </w:rPr>
              <w:t>54.09</w:t>
            </w:r>
          </w:p>
        </w:tc>
        <w:tc>
          <w:tcPr>
            <w:tcW w:type="dxa" w:w="900"/>
          </w:tcPr>
          <w:p>
            <w:pPr>
              <w:pStyle w:val="Compact"/>
              <w:jc w:val="left"/>
            </w:pPr>
            <w:r>
              <w:rPr>
                <w:b w:val="0"/>
              </w:rPr>
              <w:t>+10.70</w:t>
            </w:r>
          </w:p>
        </w:tc>
      </w:tr>
      <w:tr>
        <w:tc>
          <w:tcPr>
            <w:tcW w:type="dxa" w:w="2322"/>
          </w:tcPr>
          <w:p>
            <w:pPr>
              <w:pStyle w:val="Compact"/>
              <w:jc w:val="left"/>
            </w:pPr>
            <w:r>
              <w:rPr>
                <w:b w:val="0"/>
              </w:rPr>
              <w:t>qwen3:8b_rag_enhanced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43.47</w:t>
            </w:r>
          </w:p>
        </w:tc>
        <w:tc>
          <w:tcPr>
            <w:tcW w:type="dxa" w:w="900"/>
          </w:tcPr>
          <w:p>
            <w:pPr>
              <w:pStyle w:val="Compact"/>
              <w:jc w:val="center"/>
            </w:pPr>
            <w:r>
              <w:rPr>
                <w:b w:val="0"/>
              </w:rPr>
              <w:t>45.28</w:t>
            </w:r>
          </w:p>
        </w:tc>
        <w:tc>
          <w:tcPr>
            <w:tcW w:type="dxa" w:w="900"/>
          </w:tcPr>
          <w:p>
            <w:pPr>
              <w:pStyle w:val="Compact"/>
              <w:jc w:val="center"/>
            </w:pPr>
            <w:r>
              <w:rPr>
                <w:b w:val="0"/>
              </w:rPr>
              <w:t>43.17</w:t>
            </w:r>
          </w:p>
        </w:tc>
        <w:tc>
          <w:tcPr>
            <w:tcW w:type="dxa" w:w="900"/>
          </w:tcPr>
          <w:p>
            <w:pPr>
              <w:pStyle w:val="Compact"/>
              <w:jc w:val="left"/>
            </w:pPr>
            <w:r>
              <w:rPr>
                <w:b w:val="0"/>
              </w:rPr>
              <w:t>71.66</w:t>
            </w:r>
          </w:p>
        </w:tc>
        <w:tc>
          <w:tcPr>
            <w:tcW w:type="dxa" w:w="900"/>
          </w:tcPr>
          <w:p>
            <w:pPr>
              <w:pStyle w:val="Compact"/>
              <w:jc w:val="left"/>
            </w:pPr>
            <w:r>
              <w:rPr>
                <w:b w:val="0"/>
              </w:rPr>
              <w:t>56.00</w:t>
            </w:r>
          </w:p>
        </w:tc>
        <w:tc>
          <w:tcPr>
            <w:tcW w:type="dxa" w:w="900"/>
          </w:tcPr>
          <w:p>
            <w:pPr>
              <w:pStyle w:val="Compact"/>
              <w:jc w:val="left"/>
            </w:pPr>
            <w:r>
              <w:rPr>
                <w:b w:val="0"/>
              </w:rPr>
              <w:t>+12.83</w:t>
            </w:r>
          </w:p>
        </w:tc>
      </w:tr>
      <w:tr>
        <w:tc>
          <w:tcPr>
            <w:tcW w:type="dxa" w:w="2322"/>
          </w:tcPr>
          <w:p>
            <w:pPr>
              <w:pStyle w:val="Compact"/>
              <w:jc w:val="left"/>
            </w:pPr>
            <w:r>
              <w:rPr>
                <w:b w:val="0"/>
              </w:rPr>
              <w:t>mistral-nemo:latest_kb_rag</w:t>
            </w:r>
          </w:p>
        </w:tc>
        <w:tc>
          <w:tcPr>
            <w:tcW w:type="dxa" w:w="1116"/>
          </w:tcPr>
          <w:p>
            <w:pPr>
              <w:pStyle w:val="Compact"/>
              <w:jc w:val="left"/>
            </w:pPr>
            <w:r>
              <w:rPr>
                <w:b w:val="0"/>
              </w:rPr>
              <w:t>benchmark_n120_REMOTO</w:t>
            </w:r>
          </w:p>
        </w:tc>
        <w:tc>
          <w:tcPr>
            <w:tcW w:type="dxa" w:w="900"/>
          </w:tcPr>
          <w:p>
            <w:pPr>
              <w:pStyle w:val="Compact"/>
              <w:jc w:val="left"/>
            </w:pPr>
            <w:r>
              <w:rPr>
                <w:b w:val="0"/>
              </w:rPr>
              <w:t>57.59</w:t>
            </w:r>
          </w:p>
        </w:tc>
        <w:tc>
          <w:tcPr>
            <w:tcW w:type="dxa" w:w="900"/>
          </w:tcPr>
          <w:p>
            <w:pPr>
              <w:pStyle w:val="Compact"/>
              <w:jc w:val="center"/>
            </w:pPr>
            <w:r>
              <w:rPr>
                <w:b w:val="0"/>
              </w:rPr>
              <w:t>41.91</w:t>
            </w:r>
          </w:p>
        </w:tc>
        <w:tc>
          <w:tcPr>
            <w:tcW w:type="dxa" w:w="900"/>
          </w:tcPr>
          <w:p>
            <w:pPr>
              <w:pStyle w:val="Compact"/>
              <w:jc w:val="center"/>
            </w:pPr>
            <w:r>
              <w:rPr>
                <w:b w:val="0"/>
              </w:rPr>
              <w:t>45.76</w:t>
            </w:r>
          </w:p>
        </w:tc>
        <w:tc>
          <w:tcPr>
            <w:tcW w:type="dxa" w:w="900"/>
          </w:tcPr>
          <w:p>
            <w:pPr>
              <w:pStyle w:val="Compact"/>
              <w:jc w:val="left"/>
            </w:pPr>
            <w:r>
              <w:rPr>
                <w:b w:val="0"/>
              </w:rPr>
              <w:t>80.15</w:t>
            </w:r>
          </w:p>
        </w:tc>
        <w:tc>
          <w:tcPr>
            <w:tcW w:type="dxa" w:w="900"/>
          </w:tcPr>
          <w:p>
            <w:pPr>
              <w:pStyle w:val="Compact"/>
              <w:jc w:val="left"/>
            </w:pPr>
            <w:r>
              <w:rPr>
                <w:b w:val="0"/>
              </w:rPr>
              <w:t>53.07</w:t>
            </w:r>
          </w:p>
        </w:tc>
        <w:tc>
          <w:tcPr>
            <w:tcW w:type="dxa" w:w="900"/>
          </w:tcPr>
          <w:p>
            <w:pPr>
              <w:pStyle w:val="Compact"/>
              <w:jc w:val="left"/>
            </w:pPr>
            <w:r>
              <w:rPr>
                <w:b w:val="0"/>
              </w:rPr>
              <w:t>+7.31</w:t>
            </w:r>
          </w:p>
        </w:tc>
      </w:tr>
      <w:tr>
        <w:tc>
          <w:tcPr>
            <w:tcW w:type="dxa" w:w="2322"/>
          </w:tcPr>
          <w:p>
            <w:pPr>
              <w:pStyle w:val="Compact"/>
              <w:jc w:val="left"/>
            </w:pPr>
            <w:r>
              <w:rPr>
                <w:b w:val="0"/>
              </w:rPr>
              <w:t>gemma:latest_baseline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49.00</w:t>
            </w:r>
          </w:p>
        </w:tc>
        <w:tc>
          <w:tcPr>
            <w:tcW w:type="dxa" w:w="900"/>
          </w:tcPr>
          <w:p>
            <w:pPr>
              <w:pStyle w:val="Compact"/>
              <w:jc w:val="center"/>
            </w:pPr>
            <w:r>
              <w:rPr>
                <w:b w:val="0"/>
              </w:rPr>
              <w:t>44.97</w:t>
            </w:r>
          </w:p>
        </w:tc>
        <w:tc>
          <w:tcPr>
            <w:tcW w:type="dxa" w:w="900"/>
          </w:tcPr>
          <w:p>
            <w:pPr>
              <w:pStyle w:val="Compact"/>
              <w:jc w:val="center"/>
            </w:pPr>
            <w:r>
              <w:rPr>
                <w:b w:val="0"/>
              </w:rPr>
              <w:t>44.00</w:t>
            </w:r>
          </w:p>
        </w:tc>
        <w:tc>
          <w:tcPr>
            <w:tcW w:type="dxa" w:w="900"/>
          </w:tcPr>
          <w:p>
            <w:pPr>
              <w:pStyle w:val="Compact"/>
              <w:jc w:val="left"/>
            </w:pPr>
            <w:r>
              <w:rPr>
                <w:b w:val="0"/>
              </w:rPr>
              <w:t>65.23</w:t>
            </w:r>
          </w:p>
        </w:tc>
        <w:tc>
          <w:tcPr>
            <w:tcW w:type="dxa" w:w="900"/>
          </w:tcPr>
          <w:p>
            <w:pPr>
              <w:pStyle w:val="Compact"/>
              <w:jc w:val="left"/>
            </w:pPr>
            <w:r>
              <w:rPr>
                <w:b w:val="0"/>
              </w:rPr>
              <w:t>51.85</w:t>
            </w:r>
          </w:p>
        </w:tc>
        <w:tc>
          <w:tcPr>
            <w:tcW w:type="dxa" w:w="900"/>
          </w:tcPr>
          <w:p>
            <w:pPr>
              <w:pStyle w:val="Compact"/>
              <w:jc w:val="left"/>
            </w:pPr>
            <w:r>
              <w:rPr>
                <w:b w:val="0"/>
              </w:rPr>
              <w:t>+7.85</w:t>
            </w:r>
          </w:p>
        </w:tc>
      </w:tr>
      <w:tr>
        <w:tc>
          <w:tcPr>
            <w:tcW w:type="dxa" w:w="2322"/>
          </w:tcPr>
          <w:p>
            <w:pPr>
              <w:pStyle w:val="Compact"/>
              <w:jc w:val="left"/>
            </w:pPr>
            <w:r>
              <w:rPr>
                <w:b w:val="0"/>
              </w:rPr>
              <w:t>llama3.2:latest_baseline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llama3.2:latest</w:t>
            </w:r>
          </w:p>
        </w:tc>
        <w:tc>
          <w:tcPr>
            <w:tcW w:type="dxa" w:w="1116"/>
          </w:tcPr>
          <w:p>
            <w:pPr>
              <w:pStyle w:val="Compact"/>
              <w:jc w:val="left"/>
            </w:pPr>
            <w:r>
              <w:rPr>
                <w:b w:val="0"/>
              </w:rPr>
              <w:t>benchmark_balanced_120_20260824_173017</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gemma:latest_rag_enhanced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46.09</w:t>
            </w:r>
          </w:p>
        </w:tc>
        <w:tc>
          <w:tcPr>
            <w:tcW w:type="dxa" w:w="900"/>
          </w:tcPr>
          <w:p>
            <w:pPr>
              <w:pStyle w:val="Compact"/>
              <w:jc w:val="center"/>
            </w:pPr>
            <w:r>
              <w:rPr>
                <w:b w:val="0"/>
              </w:rPr>
              <w:t>39.74</w:t>
            </w:r>
          </w:p>
        </w:tc>
        <w:tc>
          <w:tcPr>
            <w:tcW w:type="dxa" w:w="900"/>
          </w:tcPr>
          <w:p>
            <w:pPr>
              <w:pStyle w:val="Compact"/>
              <w:jc w:val="center"/>
            </w:pPr>
            <w:r>
              <w:rPr>
                <w:b w:val="0"/>
              </w:rPr>
              <w:t>40.09</w:t>
            </w:r>
          </w:p>
        </w:tc>
        <w:tc>
          <w:tcPr>
            <w:tcW w:type="dxa" w:w="900"/>
          </w:tcPr>
          <w:p>
            <w:pPr>
              <w:pStyle w:val="Compact"/>
              <w:jc w:val="left"/>
            </w:pPr>
            <w:r>
              <w:rPr>
                <w:b w:val="0"/>
              </w:rPr>
              <w:t>63.27</w:t>
            </w:r>
          </w:p>
        </w:tc>
        <w:tc>
          <w:tcPr>
            <w:tcW w:type="dxa" w:w="900"/>
          </w:tcPr>
          <w:p>
            <w:pPr>
              <w:pStyle w:val="Compact"/>
              <w:jc w:val="left"/>
            </w:pPr>
            <w:r>
              <w:rPr>
                <w:b w:val="0"/>
              </w:rPr>
              <w:t>47.57</w:t>
            </w:r>
          </w:p>
        </w:tc>
        <w:tc>
          <w:tcPr>
            <w:tcW w:type="dxa" w:w="900"/>
          </w:tcPr>
          <w:p>
            <w:pPr>
              <w:pStyle w:val="Compact"/>
              <w:jc w:val="left"/>
            </w:pPr>
            <w:r>
              <w:rPr>
                <w:b w:val="0"/>
              </w:rPr>
              <w:t>+7.48</w:t>
            </w:r>
          </w:p>
        </w:tc>
      </w:tr>
      <w:tr>
        <w:tc>
          <w:tcPr>
            <w:tcW w:type="dxa" w:w="2322"/>
          </w:tcPr>
          <w:p>
            <w:pPr>
              <w:pStyle w:val="Compact"/>
              <w:jc w:val="left"/>
            </w:pPr>
            <w:r>
              <w:rPr>
                <w:b w:val="0"/>
              </w:rPr>
              <w:t>nemotron-mini:4b_kb_rag</w:t>
            </w:r>
          </w:p>
        </w:tc>
        <w:tc>
          <w:tcPr>
            <w:tcW w:type="dxa" w:w="1116"/>
          </w:tcPr>
          <w:p>
            <w:pPr>
              <w:pStyle w:val="Compact"/>
              <w:jc w:val="left"/>
            </w:pPr>
            <w:r>
              <w:rPr>
                <w:b w:val="0"/>
              </w:rPr>
              <w:t>nemotron_rerun_n120_REMOTO</w:t>
            </w:r>
          </w:p>
        </w:tc>
        <w:tc>
          <w:tcPr>
            <w:tcW w:type="dxa" w:w="900"/>
          </w:tcPr>
          <w:p>
            <w:pPr>
              <w:pStyle w:val="Compact"/>
              <w:jc w:val="left"/>
            </w:pPr>
            <w:r>
              <w:rPr>
                <w:b w:val="0"/>
              </w:rPr>
              <w:t>44.80</w:t>
            </w:r>
          </w:p>
        </w:tc>
        <w:tc>
          <w:tcPr>
            <w:tcW w:type="dxa" w:w="900"/>
          </w:tcPr>
          <w:p>
            <w:pPr>
              <w:pStyle w:val="Compact"/>
              <w:jc w:val="center"/>
            </w:pPr>
            <w:r>
              <w:rPr>
                <w:b w:val="0"/>
              </w:rPr>
              <w:t>36.62</w:t>
            </w:r>
          </w:p>
        </w:tc>
        <w:tc>
          <w:tcPr>
            <w:tcW w:type="dxa" w:w="900"/>
          </w:tcPr>
          <w:p>
            <w:pPr>
              <w:pStyle w:val="Compact"/>
              <w:jc w:val="center"/>
            </w:pPr>
            <w:r>
              <w:rPr>
                <w:b w:val="0"/>
              </w:rPr>
              <w:t>37.12</w:t>
            </w:r>
          </w:p>
        </w:tc>
        <w:tc>
          <w:tcPr>
            <w:tcW w:type="dxa" w:w="900"/>
          </w:tcPr>
          <w:p>
            <w:pPr>
              <w:pStyle w:val="Compact"/>
              <w:jc w:val="left"/>
            </w:pPr>
            <w:r>
              <w:rPr>
                <w:b w:val="0"/>
              </w:rPr>
              <w:t>55.19</w:t>
            </w:r>
          </w:p>
        </w:tc>
        <w:tc>
          <w:tcPr>
            <w:tcW w:type="dxa" w:w="900"/>
          </w:tcPr>
          <w:p>
            <w:pPr>
              <w:pStyle w:val="Compact"/>
              <w:jc w:val="left"/>
            </w:pPr>
            <w:r>
              <w:rPr>
                <w:b w:val="0"/>
              </w:rPr>
              <w:t>40.77</w:t>
            </w:r>
          </w:p>
        </w:tc>
        <w:tc>
          <w:tcPr>
            <w:tcW w:type="dxa" w:w="900"/>
          </w:tcPr>
          <w:p>
            <w:pPr>
              <w:pStyle w:val="Compact"/>
              <w:jc w:val="left"/>
            </w:pPr>
            <w:r>
              <w:rPr>
                <w:b w:val="0"/>
              </w:rPr>
              <w:t>+3.65</w:t>
            </w:r>
          </w:p>
        </w:tc>
      </w:tr>
      <w:tr>
        <w:tc>
          <w:tcPr>
            <w:tcW w:type="dxa" w:w="2322"/>
          </w:tcPr>
          <w:p>
            <w:pPr>
              <w:pStyle w:val="Compact"/>
              <w:jc w:val="left"/>
            </w:pPr>
            <w:r>
              <w:rPr>
                <w:b w:val="0"/>
              </w:rPr>
              <w:t>llama3.2:latest_rag_enhanced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38.78</w:t>
            </w:r>
          </w:p>
        </w:tc>
        <w:tc>
          <w:tcPr>
            <w:tcW w:type="dxa" w:w="900"/>
          </w:tcPr>
          <w:p>
            <w:pPr>
              <w:pStyle w:val="Compact"/>
              <w:jc w:val="center"/>
            </w:pPr>
            <w:r>
              <w:rPr>
                <w:b w:val="0"/>
              </w:rPr>
              <w:t>30.41</w:t>
            </w:r>
          </w:p>
        </w:tc>
        <w:tc>
          <w:tcPr>
            <w:tcW w:type="dxa" w:w="900"/>
          </w:tcPr>
          <w:p>
            <w:pPr>
              <w:pStyle w:val="Compact"/>
              <w:jc w:val="center"/>
            </w:pPr>
            <w:r>
              <w:rPr>
                <w:b w:val="0"/>
              </w:rPr>
              <w:t>31.13</w:t>
            </w:r>
          </w:p>
        </w:tc>
        <w:tc>
          <w:tcPr>
            <w:tcW w:type="dxa" w:w="900"/>
          </w:tcPr>
          <w:p>
            <w:pPr>
              <w:pStyle w:val="Compact"/>
              <w:jc w:val="left"/>
            </w:pPr>
            <w:r>
              <w:rPr>
                <w:b w:val="0"/>
              </w:rPr>
              <w:t>70.58</w:t>
            </w:r>
          </w:p>
        </w:tc>
        <w:tc>
          <w:tcPr>
            <w:tcW w:type="dxa" w:w="900"/>
          </w:tcPr>
          <w:p>
            <w:pPr>
              <w:pStyle w:val="Compact"/>
              <w:jc w:val="left"/>
            </w:pPr>
            <w:r>
              <w:rPr>
                <w:b w:val="0"/>
              </w:rPr>
              <w:t>38.90</w:t>
            </w:r>
          </w:p>
        </w:tc>
        <w:tc>
          <w:tcPr>
            <w:tcW w:type="dxa" w:w="900"/>
          </w:tcPr>
          <w:p>
            <w:pPr>
              <w:pStyle w:val="Compact"/>
              <w:jc w:val="left"/>
            </w:pPr>
            <w:r>
              <w:rPr>
                <w:b w:val="0"/>
              </w:rPr>
              <w:t>+7.77</w:t>
            </w:r>
          </w:p>
        </w:tc>
      </w:tr>
      <w:tr>
        <w:tc>
          <w:tcPr>
            <w:tcW w:type="dxa" w:w="2322"/>
          </w:tcPr>
          <w:p>
            <w:pPr>
              <w:pStyle w:val="Compact"/>
              <w:jc w:val="left"/>
            </w:pPr>
            <w:r>
              <w:rPr>
                <w:b w:val="0"/>
              </w:rPr>
              <w:t>gemma4:12b-mlx_baseline</w:t>
            </w:r>
          </w:p>
        </w:tc>
        <w:tc>
          <w:tcPr>
            <w:tcW w:type="dxa" w:w="1116"/>
          </w:tcPr>
          <w:p>
            <w:pPr>
              <w:pStyle w:val="Compact"/>
              <w:jc w:val="left"/>
            </w:pPr>
            <w:r>
              <w:rPr>
                <w:b w:val="0"/>
              </w:rPr>
              <w:t>afectados_thinking_n120_REMOTO</w:t>
            </w:r>
          </w:p>
        </w:tc>
        <w:tc>
          <w:tcPr>
            <w:tcW w:type="dxa" w:w="900"/>
          </w:tcPr>
          <w:p>
            <w:pPr>
              <w:pStyle w:val="Compact"/>
              <w:jc w:val="left"/>
            </w:pPr>
            <w:r>
              <w:rPr>
                <w:b w:val="0"/>
              </w:rPr>
              <w:t>51.91</w:t>
            </w:r>
          </w:p>
        </w:tc>
        <w:tc>
          <w:tcPr>
            <w:tcW w:type="dxa" w:w="900"/>
          </w:tcPr>
          <w:p>
            <w:pPr>
              <w:pStyle w:val="Compact"/>
              <w:jc w:val="center"/>
            </w:pPr>
            <w:r>
              <w:rPr>
                <w:b w:val="0"/>
              </w:rPr>
              <w:t>66.05</w:t>
            </w:r>
          </w:p>
        </w:tc>
        <w:tc>
          <w:tcPr>
            <w:tcW w:type="dxa" w:w="900"/>
          </w:tcPr>
          <w:p>
            <w:pPr>
              <w:pStyle w:val="Compact"/>
              <w:jc w:val="center"/>
            </w:pPr>
            <w:r>
              <w:rPr>
                <w:b w:val="0"/>
              </w:rPr>
              <w:t>56.18</w:t>
            </w:r>
          </w:p>
        </w:tc>
        <w:tc>
          <w:tcPr>
            <w:tcW w:type="dxa" w:w="900"/>
          </w:tcPr>
          <w:p>
            <w:pPr>
              <w:pStyle w:val="Compact"/>
              <w:jc w:val="left"/>
            </w:pPr>
            <w:r>
              <w:rPr>
                <w:b w:val="0"/>
              </w:rPr>
              <w:t>83.26</w:t>
            </w:r>
          </w:p>
        </w:tc>
        <w:tc>
          <w:tcPr>
            <w:tcW w:type="dxa" w:w="900"/>
          </w:tcPr>
          <w:p>
            <w:pPr>
              <w:pStyle w:val="Compact"/>
              <w:jc w:val="left"/>
            </w:pPr>
            <w:r>
              <w:rPr>
                <w:b w:val="0"/>
              </w:rPr>
              <w:t>73.81</w:t>
            </w:r>
          </w:p>
        </w:tc>
        <w:tc>
          <w:tcPr>
            <w:tcW w:type="dxa" w:w="900"/>
          </w:tcPr>
          <w:p>
            <w:pPr>
              <w:pStyle w:val="Compact"/>
              <w:jc w:val="left"/>
            </w:pPr>
            <w:r>
              <w:rPr>
                <w:b w:val="0"/>
              </w:rPr>
              <w:t>+17.63</w:t>
            </w:r>
          </w:p>
        </w:tc>
      </w:tr>
      <w:tr>
        <w:tc>
          <w:tcPr>
            <w:tcW w:type="dxa" w:w="2322"/>
          </w:tcPr>
          <w:p>
            <w:pPr>
              <w:pStyle w:val="Compact"/>
              <w:jc w:val="left"/>
            </w:pPr>
            <w:r>
              <w:rPr>
                <w:b w:val="0"/>
              </w:rPr>
              <w:t>mistral-nemo:latest_rag_enhanced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42.99</w:t>
            </w:r>
          </w:p>
        </w:tc>
        <w:tc>
          <w:tcPr>
            <w:tcW w:type="dxa" w:w="900"/>
          </w:tcPr>
          <w:p>
            <w:pPr>
              <w:pStyle w:val="Compact"/>
              <w:jc w:val="center"/>
            </w:pPr>
            <w:r>
              <w:rPr>
                <w:b w:val="0"/>
              </w:rPr>
              <w:t>24.38</w:t>
            </w:r>
          </w:p>
        </w:tc>
        <w:tc>
          <w:tcPr>
            <w:tcW w:type="dxa" w:w="900"/>
          </w:tcPr>
          <w:p>
            <w:pPr>
              <w:pStyle w:val="Compact"/>
              <w:jc w:val="center"/>
            </w:pPr>
            <w:r>
              <w:rPr>
                <w:b w:val="0"/>
              </w:rPr>
              <w:t>28.52</w:t>
            </w:r>
          </w:p>
        </w:tc>
        <w:tc>
          <w:tcPr>
            <w:tcW w:type="dxa" w:w="900"/>
          </w:tcPr>
          <w:p>
            <w:pPr>
              <w:pStyle w:val="Compact"/>
              <w:jc w:val="left"/>
            </w:pPr>
            <w:r>
              <w:rPr>
                <w:b w:val="0"/>
              </w:rPr>
              <w:t>79.85</w:t>
            </w:r>
          </w:p>
        </w:tc>
        <w:tc>
          <w:tcPr>
            <w:tcW w:type="dxa" w:w="900"/>
          </w:tcPr>
          <w:p>
            <w:pPr>
              <w:pStyle w:val="Compact"/>
              <w:jc w:val="left"/>
            </w:pPr>
            <w:r>
              <w:rPr>
                <w:b w:val="0"/>
              </w:rPr>
              <w:t>36.18</w:t>
            </w:r>
          </w:p>
        </w:tc>
        <w:tc>
          <w:tcPr>
            <w:tcW w:type="dxa" w:w="900"/>
          </w:tcPr>
          <w:p>
            <w:pPr>
              <w:pStyle w:val="Compact"/>
              <w:jc w:val="left"/>
            </w:pPr>
            <w:r>
              <w:rPr>
                <w:b w:val="0"/>
              </w:rPr>
              <w:t>+7.66</w:t>
            </w:r>
          </w:p>
        </w:tc>
      </w:tr>
      <w:tr>
        <w:tc>
          <w:tcPr>
            <w:tcW w:type="dxa" w:w="2322"/>
          </w:tcPr>
          <w:p>
            <w:pPr>
              <w:pStyle w:val="Compact"/>
              <w:jc w:val="left"/>
            </w:pPr>
            <w:r>
              <w:rPr>
                <w:b w:val="0"/>
              </w:rPr>
              <w:t>gemma4:31b-cloud_rag_enhanced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16.96</w:t>
            </w:r>
          </w:p>
        </w:tc>
        <w:tc>
          <w:tcPr>
            <w:tcW w:type="dxa" w:w="900"/>
          </w:tcPr>
          <w:p>
            <w:pPr>
              <w:pStyle w:val="Compact"/>
              <w:jc w:val="center"/>
            </w:pPr>
            <w:r>
              <w:rPr>
                <w:b w:val="0"/>
              </w:rPr>
              <w:t>21.11</w:t>
            </w:r>
          </w:p>
        </w:tc>
        <w:tc>
          <w:tcPr>
            <w:tcW w:type="dxa" w:w="900"/>
          </w:tcPr>
          <w:p>
            <w:pPr>
              <w:pStyle w:val="Compact"/>
              <w:jc w:val="center"/>
            </w:pPr>
            <w:r>
              <w:rPr>
                <w:b w:val="0"/>
              </w:rPr>
              <w:t>18.52</w:t>
            </w:r>
          </w:p>
        </w:tc>
        <w:tc>
          <w:tcPr>
            <w:tcW w:type="dxa" w:w="900"/>
          </w:tcPr>
          <w:p>
            <w:pPr>
              <w:pStyle w:val="Compact"/>
              <w:jc w:val="left"/>
            </w:pPr>
            <w:r>
              <w:rPr>
                <w:b w:val="0"/>
              </w:rPr>
              <w:t>24.56</w:t>
            </w:r>
          </w:p>
        </w:tc>
        <w:tc>
          <w:tcPr>
            <w:tcW w:type="dxa" w:w="900"/>
          </w:tcPr>
          <w:p>
            <w:pPr>
              <w:pStyle w:val="Compact"/>
              <w:jc w:val="left"/>
            </w:pPr>
            <w:r>
              <w:rPr>
                <w:b w:val="0"/>
              </w:rPr>
              <w:t>23.04</w:t>
            </w:r>
          </w:p>
        </w:tc>
        <w:tc>
          <w:tcPr>
            <w:tcW w:type="dxa" w:w="900"/>
          </w:tcPr>
          <w:p>
            <w:pPr>
              <w:pStyle w:val="Compact"/>
              <w:jc w:val="left"/>
            </w:pPr>
            <w:r>
              <w:rPr>
                <w:b w:val="0"/>
              </w:rPr>
              <w:t>+4.51</w:t>
            </w:r>
          </w:p>
        </w:tc>
      </w:tr>
      <w:tr>
        <w:tc>
          <w:tcPr>
            <w:tcW w:type="dxa" w:w="2322"/>
          </w:tcPr>
          <w:p>
            <w:pPr>
              <w:pStyle w:val="Compact"/>
              <w:jc w:val="left"/>
            </w:pPr>
            <w:r>
              <w:rPr>
                <w:b w:val="0"/>
              </w:rPr>
              <w:t>deepseek-r1:1.5b_baseline</w:t>
            </w:r>
          </w:p>
        </w:tc>
        <w:tc>
          <w:tcPr>
            <w:tcW w:type="dxa" w:w="1116"/>
          </w:tcPr>
          <w:p>
            <w:pPr>
              <w:pStyle w:val="Compact"/>
              <w:jc w:val="left"/>
            </w:pPr>
            <w:r>
              <w:rPr>
                <w:b w:val="0"/>
              </w:rPr>
              <w:t>benchmark_n120_REMOTO</w:t>
            </w:r>
          </w:p>
        </w:tc>
        <w:tc>
          <w:tcPr>
            <w:tcW w:type="dxa" w:w="900"/>
          </w:tcPr>
          <w:p>
            <w:pPr>
              <w:pStyle w:val="Compact"/>
              <w:jc w:val="left"/>
            </w:pPr>
            <w:r>
              <w:rPr>
                <w:b w:val="0"/>
              </w:rPr>
              <w:t>29.96</w:t>
            </w:r>
          </w:p>
        </w:tc>
        <w:tc>
          <w:tcPr>
            <w:tcW w:type="dxa" w:w="900"/>
          </w:tcPr>
          <w:p>
            <w:pPr>
              <w:pStyle w:val="Compact"/>
              <w:jc w:val="center"/>
            </w:pPr>
            <w:r>
              <w:rPr>
                <w:b w:val="0"/>
              </w:rPr>
              <w:t>24.72</w:t>
            </w:r>
          </w:p>
        </w:tc>
        <w:tc>
          <w:tcPr>
            <w:tcW w:type="dxa" w:w="900"/>
          </w:tcPr>
          <w:p>
            <w:pPr>
              <w:pStyle w:val="Compact"/>
              <w:jc w:val="center"/>
            </w:pPr>
            <w:r>
              <w:rPr>
                <w:b w:val="0"/>
              </w:rPr>
              <w:t>24.83</w:t>
            </w:r>
          </w:p>
        </w:tc>
        <w:tc>
          <w:tcPr>
            <w:tcW w:type="dxa" w:w="900"/>
          </w:tcPr>
          <w:p>
            <w:pPr>
              <w:pStyle w:val="Compact"/>
              <w:jc w:val="left"/>
            </w:pPr>
            <w:r>
              <w:rPr>
                <w:b w:val="0"/>
              </w:rPr>
              <w:t>43.27</w:t>
            </w:r>
          </w:p>
        </w:tc>
        <w:tc>
          <w:tcPr>
            <w:tcW w:type="dxa" w:w="900"/>
          </w:tcPr>
          <w:p>
            <w:pPr>
              <w:pStyle w:val="Compact"/>
              <w:jc w:val="left"/>
            </w:pPr>
            <w:r>
              <w:rPr>
                <w:b w:val="0"/>
              </w:rPr>
              <w:t>29.34</w:t>
            </w:r>
          </w:p>
        </w:tc>
        <w:tc>
          <w:tcPr>
            <w:tcW w:type="dxa" w:w="900"/>
          </w:tcPr>
          <w:p>
            <w:pPr>
              <w:pStyle w:val="Compact"/>
              <w:jc w:val="left"/>
            </w:pPr>
            <w:r>
              <w:rPr>
                <w:b w:val="0"/>
              </w:rPr>
              <w:t>+4.50</w:t>
            </w:r>
          </w:p>
        </w:tc>
      </w:tr>
      <w:tr>
        <w:tc>
          <w:tcPr>
            <w:tcW w:type="dxa" w:w="2322"/>
          </w:tcPr>
          <w:p>
            <w:pPr>
              <w:pStyle w:val="Compact"/>
              <w:jc w:val="left"/>
            </w:pPr>
            <w:r>
              <w:rPr>
                <w:b w:val="0"/>
              </w:rPr>
              <w:t>deepseek-r1:1.5b_kb_rag</w:t>
            </w:r>
          </w:p>
        </w:tc>
        <w:tc>
          <w:tcPr>
            <w:tcW w:type="dxa" w:w="1116"/>
          </w:tcPr>
          <w:p>
            <w:pPr>
              <w:pStyle w:val="Compact"/>
              <w:jc w:val="left"/>
            </w:pPr>
            <w:r>
              <w:rPr>
                <w:b w:val="0"/>
              </w:rPr>
              <w:t>benchmark_n120_REMOTO</w:t>
            </w:r>
          </w:p>
        </w:tc>
        <w:tc>
          <w:tcPr>
            <w:tcW w:type="dxa" w:w="900"/>
          </w:tcPr>
          <w:p>
            <w:pPr>
              <w:pStyle w:val="Compact"/>
              <w:jc w:val="left"/>
            </w:pPr>
            <w:r>
              <w:rPr>
                <w:b w:val="0"/>
              </w:rPr>
              <w:t>28.35</w:t>
            </w:r>
          </w:p>
        </w:tc>
        <w:tc>
          <w:tcPr>
            <w:tcW w:type="dxa" w:w="900"/>
          </w:tcPr>
          <w:p>
            <w:pPr>
              <w:pStyle w:val="Compact"/>
              <w:jc w:val="center"/>
            </w:pPr>
            <w:r>
              <w:rPr>
                <w:b w:val="0"/>
              </w:rPr>
              <w:t>24.71</w:t>
            </w:r>
          </w:p>
        </w:tc>
        <w:tc>
          <w:tcPr>
            <w:tcW w:type="dxa" w:w="900"/>
          </w:tcPr>
          <w:p>
            <w:pPr>
              <w:pStyle w:val="Compact"/>
              <w:jc w:val="center"/>
            </w:pPr>
            <w:r>
              <w:rPr>
                <w:b w:val="0"/>
              </w:rPr>
              <w:t>23.94</w:t>
            </w:r>
          </w:p>
        </w:tc>
        <w:tc>
          <w:tcPr>
            <w:tcW w:type="dxa" w:w="900"/>
          </w:tcPr>
          <w:p>
            <w:pPr>
              <w:pStyle w:val="Compact"/>
              <w:jc w:val="left"/>
            </w:pPr>
            <w:r>
              <w:rPr>
                <w:b w:val="0"/>
              </w:rPr>
              <w:t>36.13</w:t>
            </w:r>
          </w:p>
        </w:tc>
        <w:tc>
          <w:tcPr>
            <w:tcW w:type="dxa" w:w="900"/>
          </w:tcPr>
          <w:p>
            <w:pPr>
              <w:pStyle w:val="Compact"/>
              <w:jc w:val="left"/>
            </w:pPr>
            <w:r>
              <w:rPr>
                <w:b w:val="0"/>
              </w:rPr>
              <w:t>26.91</w:t>
            </w:r>
          </w:p>
        </w:tc>
        <w:tc>
          <w:tcPr>
            <w:tcW w:type="dxa" w:w="900"/>
          </w:tcPr>
          <w:p>
            <w:pPr>
              <w:pStyle w:val="Compact"/>
              <w:jc w:val="left"/>
            </w:pPr>
            <w:r>
              <w:rPr>
                <w:b w:val="0"/>
              </w:rPr>
              <w:t>+2.97</w:t>
            </w:r>
          </w:p>
        </w:tc>
      </w:tr>
      <w:tr>
        <w:tc>
          <w:tcPr>
            <w:tcW w:type="dxa" w:w="2322"/>
          </w:tcPr>
          <w:p>
            <w:pPr>
              <w:pStyle w:val="Compact"/>
              <w:jc w:val="left"/>
            </w:pPr>
            <w:r>
              <w:rPr>
                <w:b w:val="0"/>
              </w:rPr>
              <w:t>nemotron-mini:4b_baseline</w:t>
            </w:r>
          </w:p>
        </w:tc>
        <w:tc>
          <w:tcPr>
            <w:tcW w:type="dxa" w:w="1116"/>
          </w:tcPr>
          <w:p>
            <w:pPr>
              <w:pStyle w:val="Compact"/>
              <w:jc w:val="left"/>
            </w:pPr>
            <w:r>
              <w:rPr>
                <w:b w:val="0"/>
              </w:rPr>
              <w:t>nemotron_rerun_n120_REMOTO</w:t>
            </w:r>
          </w:p>
        </w:tc>
        <w:tc>
          <w:tcPr>
            <w:tcW w:type="dxa" w:w="900"/>
          </w:tcPr>
          <w:p>
            <w:pPr>
              <w:pStyle w:val="Compact"/>
              <w:jc w:val="left"/>
            </w:pPr>
            <w:r>
              <w:rPr>
                <w:b w:val="0"/>
              </w:rPr>
              <w:t>34.50</w:t>
            </w:r>
          </w:p>
        </w:tc>
        <w:tc>
          <w:tcPr>
            <w:tcW w:type="dxa" w:w="900"/>
          </w:tcPr>
          <w:p>
            <w:pPr>
              <w:pStyle w:val="Compact"/>
              <w:jc w:val="center"/>
            </w:pPr>
            <w:r>
              <w:rPr>
                <w:b w:val="0"/>
              </w:rPr>
              <w:t>21.20</w:t>
            </w:r>
          </w:p>
        </w:tc>
        <w:tc>
          <w:tcPr>
            <w:tcW w:type="dxa" w:w="900"/>
          </w:tcPr>
          <w:p>
            <w:pPr>
              <w:pStyle w:val="Compact"/>
              <w:jc w:val="center"/>
            </w:pPr>
            <w:r>
              <w:rPr>
                <w:b w:val="0"/>
              </w:rPr>
              <w:t>22.59</w:t>
            </w:r>
          </w:p>
        </w:tc>
        <w:tc>
          <w:tcPr>
            <w:tcW w:type="dxa" w:w="900"/>
          </w:tcPr>
          <w:p>
            <w:pPr>
              <w:pStyle w:val="Compact"/>
              <w:jc w:val="left"/>
            </w:pPr>
            <w:r>
              <w:rPr>
                <w:b w:val="0"/>
              </w:rPr>
              <w:t>46.59</w:t>
            </w:r>
          </w:p>
        </w:tc>
        <w:tc>
          <w:tcPr>
            <w:tcW w:type="dxa" w:w="900"/>
          </w:tcPr>
          <w:p>
            <w:pPr>
              <w:pStyle w:val="Compact"/>
              <w:jc w:val="left"/>
            </w:pPr>
            <w:r>
              <w:rPr>
                <w:b w:val="0"/>
              </w:rPr>
              <w:t>25.28</w:t>
            </w:r>
          </w:p>
        </w:tc>
        <w:tc>
          <w:tcPr>
            <w:tcW w:type="dxa" w:w="900"/>
          </w:tcPr>
          <w:p>
            <w:pPr>
              <w:pStyle w:val="Compact"/>
              <w:jc w:val="left"/>
            </w:pPr>
            <w:r>
              <w:rPr>
                <w:b w:val="0"/>
              </w:rPr>
              <w:t>+2.68</w:t>
            </w:r>
          </w:p>
        </w:tc>
      </w:tr>
      <w:tr>
        <w:tc>
          <w:tcPr>
            <w:tcW w:type="dxa" w:w="2322"/>
          </w:tcPr>
          <w:p>
            <w:pPr>
              <w:pStyle w:val="Compact"/>
              <w:jc w:val="left"/>
            </w:pPr>
            <w:r>
              <w:rPr>
                <w:b w:val="0"/>
              </w:rPr>
              <w:t>nemotron-mini:4b_rag_enhanced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35.16</w:t>
            </w:r>
          </w:p>
        </w:tc>
        <w:tc>
          <w:tcPr>
            <w:tcW w:type="dxa" w:w="900"/>
          </w:tcPr>
          <w:p>
            <w:pPr>
              <w:pStyle w:val="Compact"/>
              <w:jc w:val="center"/>
            </w:pPr>
            <w:r>
              <w:rPr>
                <w:b w:val="0"/>
              </w:rPr>
              <w:t>16.39</w:t>
            </w:r>
          </w:p>
        </w:tc>
        <w:tc>
          <w:tcPr>
            <w:tcW w:type="dxa" w:w="900"/>
          </w:tcPr>
          <w:p>
            <w:pPr>
              <w:pStyle w:val="Compact"/>
              <w:jc w:val="center"/>
            </w:pPr>
            <w:r>
              <w:rPr>
                <w:b w:val="0"/>
              </w:rPr>
              <w:t>19.54</w:t>
            </w:r>
          </w:p>
        </w:tc>
        <w:tc>
          <w:tcPr>
            <w:tcW w:type="dxa" w:w="900"/>
          </w:tcPr>
          <w:p>
            <w:pPr>
              <w:pStyle w:val="Compact"/>
              <w:jc w:val="left"/>
            </w:pPr>
            <w:r>
              <w:rPr>
                <w:b w:val="0"/>
              </w:rPr>
              <w:t>40.45</w:t>
            </w:r>
          </w:p>
        </w:tc>
        <w:tc>
          <w:tcPr>
            <w:tcW w:type="dxa" w:w="900"/>
          </w:tcPr>
          <w:p>
            <w:pPr>
              <w:pStyle w:val="Compact"/>
              <w:jc w:val="left"/>
            </w:pPr>
            <w:r>
              <w:rPr>
                <w:b w:val="0"/>
              </w:rPr>
              <w:t>21.26</w:t>
            </w:r>
          </w:p>
        </w:tc>
        <w:tc>
          <w:tcPr>
            <w:tcW w:type="dxa" w:w="900"/>
          </w:tcPr>
          <w:p>
            <w:pPr>
              <w:pStyle w:val="Compact"/>
              <w:jc w:val="left"/>
            </w:pPr>
            <w:r>
              <w:rPr>
                <w:b w:val="0"/>
              </w:rPr>
              <w:t>+1.72</w:t>
            </w:r>
          </w:p>
        </w:tc>
      </w:tr>
      <w:tr>
        <w:tc>
          <w:tcPr>
            <w:tcW w:type="dxa" w:w="2322"/>
          </w:tcPr>
          <w:p>
            <w:pPr>
              <w:pStyle w:val="Compact"/>
              <w:jc w:val="left"/>
            </w:pPr>
            <w:r>
              <w:rPr>
                <w:b w:val="0"/>
              </w:rPr>
              <w:t>deepseek-r1:1.5b_rag_enhanced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22.28</w:t>
            </w:r>
          </w:p>
        </w:tc>
        <w:tc>
          <w:tcPr>
            <w:tcW w:type="dxa" w:w="900"/>
          </w:tcPr>
          <w:p>
            <w:pPr>
              <w:pStyle w:val="Compact"/>
              <w:jc w:val="center"/>
            </w:pPr>
            <w:r>
              <w:rPr>
                <w:b w:val="0"/>
              </w:rPr>
              <w:t>17.41</w:t>
            </w:r>
          </w:p>
        </w:tc>
        <w:tc>
          <w:tcPr>
            <w:tcW w:type="dxa" w:w="900"/>
          </w:tcPr>
          <w:p>
            <w:pPr>
              <w:pStyle w:val="Compact"/>
              <w:jc w:val="center"/>
            </w:pPr>
            <w:r>
              <w:rPr>
                <w:b w:val="0"/>
              </w:rPr>
              <w:t>16.82</w:t>
            </w:r>
          </w:p>
        </w:tc>
        <w:tc>
          <w:tcPr>
            <w:tcW w:type="dxa" w:w="900"/>
          </w:tcPr>
          <w:p>
            <w:pPr>
              <w:pStyle w:val="Compact"/>
              <w:jc w:val="left"/>
            </w:pPr>
            <w:r>
              <w:rPr>
                <w:b w:val="0"/>
              </w:rPr>
              <w:t>30.80</w:t>
            </w:r>
          </w:p>
        </w:tc>
        <w:tc>
          <w:tcPr>
            <w:tcW w:type="dxa" w:w="900"/>
          </w:tcPr>
          <w:p>
            <w:pPr>
              <w:pStyle w:val="Compact"/>
              <w:jc w:val="left"/>
            </w:pPr>
            <w:r>
              <w:rPr>
                <w:b w:val="0"/>
              </w:rPr>
              <w:t>20.11</w:t>
            </w:r>
          </w:p>
        </w:tc>
        <w:tc>
          <w:tcPr>
            <w:tcW w:type="dxa" w:w="900"/>
          </w:tcPr>
          <w:p>
            <w:pPr>
              <w:pStyle w:val="Compact"/>
              <w:jc w:val="left"/>
            </w:pPr>
            <w:r>
              <w:rPr>
                <w:b w:val="0"/>
              </w:rPr>
              <w:t>+3.29</w:t>
            </w:r>
          </w:p>
        </w:tc>
      </w:tr>
      <w:tr>
        <w:tc>
          <w:tcPr>
            <w:tcW w:type="dxa" w:w="2322"/>
          </w:tcPr>
          <w:p>
            <w:pPr>
              <w:pStyle w:val="Compact"/>
              <w:jc w:val="left"/>
            </w:pPr>
            <w:r>
              <w:rPr>
                <w:b w:val="0"/>
              </w:rPr>
              <w:t>gemma4:12b-mlx_kb_rag</w:t>
            </w:r>
          </w:p>
        </w:tc>
        <w:tc>
          <w:tcPr>
            <w:tcW w:type="dxa" w:w="1116"/>
          </w:tcPr>
          <w:p>
            <w:pPr>
              <w:pStyle w:val="Compact"/>
              <w:jc w:val="left"/>
            </w:pPr>
            <w:r>
              <w:rPr>
                <w:b w:val="0"/>
              </w:rPr>
              <w:t>afectados_thinking_n120_REMOTO</w:t>
            </w:r>
          </w:p>
        </w:tc>
        <w:tc>
          <w:tcPr>
            <w:tcW w:type="dxa" w:w="900"/>
          </w:tcPr>
          <w:p>
            <w:pPr>
              <w:pStyle w:val="Compact"/>
              <w:jc w:val="left"/>
            </w:pPr>
            <w:r>
              <w:rPr>
                <w:b w:val="0"/>
              </w:rPr>
              <w:t>53.29</w:t>
            </w:r>
          </w:p>
        </w:tc>
        <w:tc>
          <w:tcPr>
            <w:tcW w:type="dxa" w:w="900"/>
          </w:tcPr>
          <w:p>
            <w:pPr>
              <w:pStyle w:val="Compact"/>
              <w:jc w:val="center"/>
            </w:pPr>
            <w:r>
              <w:rPr>
                <w:b w:val="0"/>
              </w:rPr>
              <w:t>68.33</w:t>
            </w:r>
          </w:p>
        </w:tc>
        <w:tc>
          <w:tcPr>
            <w:tcW w:type="dxa" w:w="900"/>
          </w:tcPr>
          <w:p>
            <w:pPr>
              <w:pStyle w:val="Compact"/>
              <w:jc w:val="center"/>
            </w:pPr>
            <w:r>
              <w:rPr>
                <w:b w:val="0"/>
              </w:rPr>
              <w:t>58.46</w:t>
            </w:r>
          </w:p>
        </w:tc>
        <w:tc>
          <w:tcPr>
            <w:tcW w:type="dxa" w:w="900"/>
          </w:tcPr>
          <w:p>
            <w:pPr>
              <w:pStyle w:val="Compact"/>
              <w:jc w:val="left"/>
            </w:pPr>
            <w:r>
              <w:rPr>
                <w:b w:val="0"/>
              </w:rPr>
              <w:t>80.50</w:t>
            </w:r>
          </w:p>
        </w:tc>
        <w:tc>
          <w:tcPr>
            <w:tcW w:type="dxa" w:w="900"/>
          </w:tcPr>
          <w:p>
            <w:pPr>
              <w:pStyle w:val="Compact"/>
              <w:jc w:val="left"/>
            </w:pPr>
            <w:r>
              <w:rPr>
                <w:b w:val="0"/>
              </w:rPr>
              <w:t>74.30</w:t>
            </w:r>
          </w:p>
        </w:tc>
        <w:tc>
          <w:tcPr>
            <w:tcW w:type="dxa" w:w="900"/>
          </w:tcPr>
          <w:p>
            <w:pPr>
              <w:pStyle w:val="Compact"/>
              <w:jc w:val="left"/>
            </w:pPr>
            <w:r>
              <w:rPr>
                <w:b w:val="0"/>
              </w:rPr>
              <w:t>+15.84</w:t>
            </w:r>
          </w:p>
        </w:tc>
      </w:tr>
    </w:tbl>
    <w:p>
      <w:pPr>
        <w:numPr>
          <w:ilvl w:val="0"/>
          <w:numId w:val="0"/>
        </w:numPr>
        <w:pStyle w:val="heading4"/>
      </w:pPr>
      <w:r>
        <w:t>Corridas múltiples del mismo modelo, y cuál se toma como referencia</w:t>
      </w:r>
    </w:p>
    <w:p>
      <w:pPr>
        <w:numPr>
          <w:ilvl w:val="0"/>
          <w:numId w:val="0"/>
        </w:numPr>
        <w:pStyle w:val="Normal"/>
      </w:pPr>
      <w:r>
        <w:rPr>
          <w:b/>
        </w:rPr>
        <w:t>Y una segunda escala de la misma declaración, previa a esta.</w:t>
      </w:r>
      <w:r>
        <w:t xml:space="preserve"> Antes de las ocho re-ejecuciones parciales que siguen, el estudio N=120 se corrió </w:t>
      </w:r>
      <w:r>
        <w:rPr>
          <w:b/>
        </w:rPr>
        <w:t>por completo dos veces</w:t>
      </w:r>
      <w:r>
        <w:t xml:space="preserve">: la primera reunió trece corridas heterogéneas —de fechas y configuraciones distintas, con las sustituciones que este apartado detalla— en </w:t>
      </w:r>
      <w:r>
        <w:t>results/ANALISIS_CONJUNTO_20260907/</w:t>
      </w:r>
      <w:r>
        <w:t xml:space="preserve">, y una segunda, el 8 de septiembre de 2026, ejecutó los trece modelos </w:t>
      </w:r>
      <w:r>
        <w:rPr>
          <w:b/>
        </w:rPr>
        <w:t>de una sola vez y con el mismo protocolo</w:t>
      </w:r>
      <w:r>
        <w:t xml:space="preserve"> (</w:t>
      </w:r>
      <w:r>
        <w:t>max_tokens=4096</w:t>
      </w:r>
      <w:r>
        <w:t xml:space="preserve">, </w:t>
      </w:r>
      <w:r>
        <w:t>rag_mode=kb_combined</w:t>
      </w:r>
      <w:r>
        <w:t xml:space="preserve">) en </w:t>
      </w:r>
      <w:r>
        <w:t>results/recorrida_20260908/</w:t>
      </w:r>
      <w:r>
        <w:t xml:space="preserve">, consolidada en </w:t>
      </w:r>
      <w:r>
        <w:t>results/ANALISIS_CONJUNTO_20260909_FIX/</w:t>
      </w:r>
      <w:r>
        <w:t xml:space="preserve">. Esta segunda corrida corrigió además un defecto de anotación del corpus —la categoría </w:t>
      </w:r>
      <w:r>
        <w:rPr>
          <w:i/>
        </w:rPr>
        <w:t>Locations</w:t>
      </w:r>
      <w:r>
        <w:t xml:space="preserve"> no tenía referencia, de modo que toda localización extraída se contabilizaba como falso positivo (Anexo H y este mismo Anexo, más abajo)— y por eso sus cifras de F1 son sustancialmente más altas.</w:t>
      </w:r>
    </w:p>
    <w:p>
      <w:pPr>
        <w:numPr>
          <w:ilvl w:val="0"/>
          <w:numId w:val="0"/>
        </w:numPr>
        <w:pStyle w:val="Normal"/>
      </w:pPr>
      <w:r>
        <w:rPr>
          <w:b/>
        </w:rPr>
        <w:t>La corrida del 8 de septiembre es la de referencia</w:t>
      </w:r>
      <w:r>
        <w:t xml:space="preserve"> y es la que cita la Tabla 7 y el cuerpo del informe desde §5.3.1. El consolidado del 7 de septiembre se conserva íntegro en su directorio, porque es el que sostuvo el trabajo hasta esa fecha y el que documenta, en el resto de este Anexo, el defecto de medición y su corrección.</w:t>
      </w:r>
    </w:p>
    <w:p>
      <w:pPr>
        <w:numPr>
          <w:ilvl w:val="0"/>
          <w:numId w:val="0"/>
        </w:numPr>
        <w:pStyle w:val="Normal"/>
      </w:pPr>
      <w:r>
        <w:t xml:space="preserve">Cuatro de los trece modelos se midieron </w:t>
      </w:r>
      <w:r>
        <w:rPr>
          <w:b/>
        </w:rPr>
        <w:t>más de una vez</w:t>
      </w:r>
      <w:r>
        <w:t xml:space="preserve"> sobre el corpus N=120. La columna «Corrida» de la tabla anterior indica cuál sostiene cada fila. Antes de la re-corrida completa, requirieron una re-ejecución parcial por motivos operativos, hoy resueltos: </w:t>
      </w:r>
      <w:r>
        <w:t>gemma4:12b-mlx</w:t>
      </w:r>
      <w:r>
        <w:t xml:space="preserve"> y </w:t>
      </w:r>
      <w:r>
        <w:t>qwen3:8b</w:t>
      </w:r>
      <w:r>
        <w:t xml:space="preserve"> sufrían un fallo del </w:t>
      </w:r>
      <w:r>
        <w:rPr>
          <w:b/>
        </w:rPr>
        <w:t>modo de razonamiento activo</w:t>
      </w:r>
      <w:r>
        <w:t xml:space="preserve">, que consumía el presupuesto de salida deliberando y devolvía una respuesta vacía —precisión y exhaustividad caían a cero a la vez, la firma de no haber contestado y no la de haberse equivocado—; en </w:t>
      </w:r>
      <w:r>
        <w:t>gemma4:12b-mlx</w:t>
      </w:r>
      <w:r>
        <w:t xml:space="preserve"> con KB RAG eso ocurrió en 98 de los 120 artículos de aquella corrida parcial. </w:t>
      </w:r>
      <w:r>
        <w:t>gpt-oss:20b</w:t>
      </w:r>
      <w:r>
        <w:t xml:space="preserve">, también un modelo de razonamiento, agotaba con 2048 tokens el presupuesto de salida antes de emitir el JSON. </w:t>
      </w:r>
      <w:r>
        <w:t>nemotron-mini:4b</w:t>
      </w:r>
      <w:r>
        <w:t xml:space="preserve"> requirió repetir el diagnóstico de un lote de respuestas vacías para confirmar que el defecto era del arnés y no del modelo; el criterio para preferir una corrida sobre otra fue siempre la validez de la medición y no su resultado, incluso cuando la corrida elegida dio una décima menos que la descartada.</w:t>
      </w:r>
    </w:p>
    <w:p>
      <w:pPr>
        <w:numPr>
          <w:ilvl w:val="0"/>
          <w:numId w:val="0"/>
        </w:numPr>
        <w:pStyle w:val="Normal"/>
      </w:pPr>
      <w:r>
        <w:t>Esas corridas parciales no describían el desempeño del modelo sino el de un arnés mal configurado, y sus cifras no se publican en ninguna parte de este informe: un número que no mide lo que dice medir no es un resultado, y ofrecerlo junto al vigente invitaría a leerlos como dos estimaciones entre las que se ha elegido. La re-corrida completa del 8 de septiembre de 2026, adoptada en §5.3.1, ejecutó los trece modelos de una sola vez con un presupuesto de salida uniforme de 4096 tokens, sin ninguno de estos tres defectos: las cifras vigentes de los cuatro modelos son las que publica la Tabla 7, sin reserva de comparabilidad pendiente.</w:t>
      </w:r>
    </w:p>
    <w:p>
      <w:pPr>
        <w:numPr>
          <w:ilvl w:val="0"/>
          <w:numId w:val="0"/>
        </w:numPr>
        <w:pStyle w:val="Normal"/>
      </w:pPr>
      <w:r>
        <w:t xml:space="preserve">Tres advertencias de lectura antes de las cifras. Las columnas publicadas se toman del campo almacenado por registro, que es lo que publican las tablas del cuerpo, y las restringidas se recalculan desde el desglose por tipo. En </w:t>
      </w:r>
      <w:r>
        <w:t>nemotron-mini:4b_baseline</w:t>
      </w:r>
      <w:r>
        <w:t xml:space="preserve"> los dos no cuadran en </w:t>
      </w:r>
      <w:r>
        <w:rPr>
          <w:b/>
        </w:rPr>
        <w:t>siete de sus ciento veinte registros</w:t>
      </w:r>
      <w:r>
        <w:t xml:space="preserve">, los que se reextrajeron fuera del arnés de lotes tras un fallo de contexto (§5.3.1), de modo que su columna restringida arrastra esa incoherencia y conviene leerla con esa reserva. Las dos primeras filas de </w:t>
      </w:r>
      <w:r>
        <w:t>llama3.2:latest</w:t>
      </w:r>
      <w:r>
        <w:t xml:space="preserve"> reproducen </w:t>
      </w:r>
      <w:r>
        <w:rPr>
          <w:b/>
        </w:rPr>
        <w:t>la misma medición</w:t>
      </w:r>
      <w:r>
        <w:t xml:space="preserve"> bajo dos etiquetas de corrida: coinciden en los siete valores y, comprobado registro a registro, en los aciertos y errores de los ciento veinte artículos, de modo que la tabla tiene cuarenta y dos filas pero cuarenta y una configuraciones distintas. Y las dos filas de </w:t>
      </w:r>
      <w:r>
        <w:t>gemma4:12b-mlx</w:t>
      </w:r>
      <w:r>
        <w:t xml:space="preserve"> proceden de </w:t>
      </w:r>
      <w:r>
        <w:t>afectados_thinking_n120_REMOTO</w:t>
      </w:r>
      <w:r>
        <w:t xml:space="preserve"> y no de </w:t>
      </w:r>
      <w:r>
        <w:t>benchmark_n120_REMOTO</w:t>
      </w:r>
      <w:r>
        <w:t>, porque esta última quedó averiada por el modo de razonamiento —sesenta y ocho y noventa y ocho de sus ciento veinte registros no recuperan ninguna entidad— y sus cifras no representan la capacidad del modelo.</w:t>
      </w:r>
    </w:p>
    <w:p>
      <w:pPr>
        <w:numPr>
          <w:ilvl w:val="0"/>
          <w:numId w:val="0"/>
        </w:numPr>
        <w:pStyle w:val="Normal"/>
      </w:pPr>
      <w:r>
        <w:t xml:space="preserve">En conjunto, 20 946 de los 32 201 falsos positivos de estas </w:t>
      </w:r>
      <w:r>
        <w:rPr>
          <w:b/>
        </w:rPr>
        <w:t>cuarenta y dos configuraciones</w:t>
      </w:r>
      <w:r>
        <w:t xml:space="preserve"> (65,0 %) proceden de la categoría no anotada. La cifra no coincide con el 66,0 % que da §3.3 porque cubre una población distinta: esta tabla incluye configuraciones que el estudio no publica, entre ellas corridas después sustituidas por inválidas. Ambas son ciertas sobre lo que dicen medir. El mejor modelo local sobre este corpus, </w:t>
      </w:r>
      <w:r>
        <w:t>gemma4:31b-mlx</w:t>
      </w:r>
      <w:r>
        <w:t xml:space="preserve">, pasa de 59,25 % a </w:t>
      </w:r>
      <w:r>
        <w:rPr>
          <w:b/>
        </w:rPr>
        <w:t>76,55 %</w:t>
      </w:r>
      <w:r>
        <w:t xml:space="preserve"> de F1 y supera el umbral de 70 % que fija la hipótesis sobre material periodístico mayoritariamente en español. La variante en la nube del mismo modelo conserva su ventaja (80,42 % frente a 76,55 %), de modo que la corrección </w:t>
      </w:r>
      <w:r>
        <w:rPr>
          <w:b/>
        </w:rPr>
        <w:t>no</w:t>
      </w:r>
      <w:r>
        <w:t xml:space="preserve"> altera la conclusión sobre la comparación entre ejecución local y alojada sobre el consolidado publicado. Sobre el consolidado de la re-corrida, adoptado en §5.3.1, la medición completa sin restringir —ya no necesaria, porque el corpus corregido anota Locations— da </w:t>
      </w:r>
      <w:r>
        <w:rPr>
          <w:b/>
        </w:rPr>
        <w:t>81,47 %</w:t>
      </w:r>
      <w:r>
        <w:t xml:space="preserve"> y </w:t>
      </w:r>
      <w:r>
        <w:rPr>
          <w:b/>
        </w:rPr>
        <w:t>82,13 %</w:t>
      </w:r>
      <w:r>
        <w:t>, por encima incluso de esta estimación restringida: era conservadora, no optimista.</w:t>
      </w:r>
    </w:p>
    <w:sectPr w:rsidR="00AD2E51" w:rsidRPr="00302DE4" w:rsidSect="003B35BB">
      <w:headerReference w:type="even" r:id="rId9"/>
      <w:headerReference w:type="default" r:id="rId10"/>
      <w:footerReference w:type="even" r:id="rId11"/>
      <w:footerReference w:type="default" r:id="rId12"/>
      <w:headerReference w:type="first" r:id="rId13"/>
      <w:pgSz w:w="12240" w:h="15840" w:code="1"/>
      <w:pgMar w:top="1871"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A39F" w14:textId="77777777" w:rsidR="00124D96" w:rsidRDefault="00124D96">
      <w:r>
        <w:separator/>
      </w:r>
    </w:p>
  </w:endnote>
  <w:endnote w:type="continuationSeparator" w:id="0">
    <w:p w14:paraId="45888D19" w14:textId="77777777" w:rsidR="00124D96" w:rsidRDefault="0012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altName w:val="Calibri"/>
    <w:panose1 w:val="02000604030000020004"/>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6"/>
      <w:docPartObj>
        <w:docPartGallery w:val="Page Numbers (Bottom of Page)"/>
        <w:docPartUnique/>
      </w:docPartObj>
    </w:sdtPr>
    <w:sdtContent>
      <w:p w14:paraId="55201DF0" w14:textId="39DC08F2" w:rsidR="000D1C00" w:rsidRDefault="000D1C00" w:rsidP="009C54F1">
        <w:pPr>
          <w:pStyle w:val="Piedepgina"/>
          <w:ind w:firstLine="0"/>
        </w:pPr>
        <w:r>
          <w:fldChar w:fldCharType="begin"/>
        </w:r>
        <w:r>
          <w:instrText xml:space="preserve"> PAGE   \* MERGEFORMAT </w:instrText>
        </w:r>
        <w:r>
          <w:fldChar w:fldCharType="separate"/>
        </w:r>
        <w:r w:rsidR="00ED3273">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8"/>
      <w:docPartObj>
        <w:docPartGallery w:val="Page Numbers (Bottom of Page)"/>
        <w:docPartUnique/>
      </w:docPartObj>
    </w:sdtPr>
    <w:sdtContent>
      <w:p w14:paraId="6D71C20B" w14:textId="77777777" w:rsidR="000D1C00" w:rsidRDefault="000D1C00">
        <w:pPr>
          <w:pStyle w:val="Piedepgina"/>
          <w:jc w:val="right"/>
        </w:pPr>
        <w:r>
          <w:fldChar w:fldCharType="begin"/>
        </w:r>
        <w:r>
          <w:instrText xml:space="preserve"> PAGE   \* MERGEFORMAT </w:instrText>
        </w:r>
        <w:r>
          <w:fldChar w:fldCharType="separate"/>
        </w:r>
        <w:r w:rsidR="00ED327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392D" w14:textId="77777777" w:rsidR="00124D96" w:rsidRDefault="00124D96" w:rsidP="00895F20">
      <w:pPr>
        <w:ind w:firstLine="0"/>
      </w:pPr>
      <w:r>
        <w:separator/>
      </w:r>
    </w:p>
  </w:footnote>
  <w:footnote w:type="continuationSeparator" w:id="0">
    <w:p w14:paraId="4A6E383B" w14:textId="77777777" w:rsidR="00124D96" w:rsidRDefault="00124D96" w:rsidP="00895F20">
      <w:pPr>
        <w:ind w:firstLine="0"/>
      </w:pPr>
      <w:r>
        <w:continuationSeparator/>
      </w:r>
    </w:p>
  </w:footnote>
  <w:footnote w:id="1">
    <w:p w14:paraId="63B15674" w14:textId="3DC13C73" w:rsidR="000D1C00" w:rsidRPr="00D014AB" w:rsidRDefault="000D1C00">
      <w:pPr>
        <w:pStyle w:val="Textonotapie"/>
      </w:pPr>
      <w:r w:rsidRPr="00D014AB">
        <w:rPr>
          <w:rStyle w:val="Refdenotaalpie"/>
        </w:rPr>
        <w:footnoteRef/>
      </w:r>
      <w:r w:rsidRPr="00D014AB">
        <w:t xml:space="preserve"> </w:t>
      </w:r>
      <w:r>
        <w:t xml:space="preserve">Título profesional y grado académico no se colocan en el nombre y dirección del autor. </w:t>
      </w:r>
      <w:r w:rsidRPr="00302DE4">
        <w:rPr>
          <w:u w:val="single"/>
        </w:rPr>
        <w:t>Opci</w:t>
      </w:r>
      <w:r>
        <w:rPr>
          <w:u w:val="single"/>
        </w:rPr>
        <w:t>o</w:t>
      </w:r>
      <w:r w:rsidRPr="00302DE4">
        <w:rPr>
          <w:u w:val="single"/>
        </w:rPr>
        <w:t>nalmente</w:t>
      </w:r>
      <w:r>
        <w:t xml:space="preserve"> si desea agregar este tipo de información, se podría poner como nota al pie de página.</w:t>
      </w:r>
    </w:p>
  </w:footnote>
  <w:footnote w:id="2">
    <w:p w14:paraId="48E2089E" w14:textId="3AE71C72" w:rsidR="00EB4F62" w:rsidRPr="00EB4F62" w:rsidRDefault="00EB4F62">
      <w:pPr>
        <w:pStyle w:val="Textonotapie"/>
        <w:rPr>
          <w:lang w:val="es-ES"/>
        </w:rPr>
      </w:pPr>
      <w:r>
        <w:rPr>
          <w:rStyle w:val="Refdenotaalpie"/>
        </w:rPr>
        <w:footnoteRef/>
      </w:r>
      <w:r>
        <w:t xml:space="preserve"> </w:t>
      </w:r>
      <w:r w:rsidRPr="00EB4F62">
        <w:t>https://www.springer.com/gp/computer-science/lncs/conference-proceedings-guidelines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AAC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EB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E4F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9EE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AA93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1E8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21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7C1F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F0AE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EC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FA23158"/>
    <w:lvl w:ilvl="0">
      <w:numFmt w:val="none"/>
      <w:lvlText w:val=""/>
      <w:lvlJc w:val="left"/>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1" w15:restartNumberingAfterBreak="0">
    <w:nsid w:val="FFFFFFFE"/>
    <w:multiLevelType w:val="singleLevel"/>
    <w:tmpl w:val="4F3865D4"/>
    <w:lvl w:ilvl="0">
      <w:numFmt w:val="decimal"/>
      <w:lvlText w:val="*"/>
      <w:lvlJc w:val="left"/>
    </w:lvl>
  </w:abstractNum>
  <w:abstractNum w:abstractNumId="12" w15:restartNumberingAfterBreak="0">
    <w:nsid w:val="02D55B6C"/>
    <w:multiLevelType w:val="singleLevel"/>
    <w:tmpl w:val="81EC9844"/>
    <w:lvl w:ilvl="0">
      <w:start w:val="1"/>
      <w:numFmt w:val="decimal"/>
      <w:lvlText w:val="%1."/>
      <w:legacy w:legacy="1" w:legacySpace="0" w:legacyIndent="227"/>
      <w:lvlJc w:val="left"/>
      <w:pPr>
        <w:ind w:left="227" w:hanging="227"/>
      </w:pPr>
    </w:lvl>
  </w:abstractNum>
  <w:abstractNum w:abstractNumId="13" w15:restartNumberingAfterBreak="0">
    <w:nsid w:val="053E4D3F"/>
    <w:multiLevelType w:val="singleLevel"/>
    <w:tmpl w:val="81EC9844"/>
    <w:lvl w:ilvl="0">
      <w:start w:val="1"/>
      <w:numFmt w:val="decimal"/>
      <w:lvlText w:val="%1."/>
      <w:legacy w:legacy="1" w:legacySpace="0" w:legacyIndent="227"/>
      <w:lvlJc w:val="left"/>
      <w:pPr>
        <w:ind w:left="227" w:hanging="227"/>
      </w:pPr>
    </w:lvl>
  </w:abstractNum>
  <w:abstractNum w:abstractNumId="14" w15:restartNumberingAfterBreak="0">
    <w:nsid w:val="05D43929"/>
    <w:multiLevelType w:val="hybridMultilevel"/>
    <w:tmpl w:val="E32E169C"/>
    <w:lvl w:ilvl="0" w:tplc="69C65DD4">
      <w:start w:val="1"/>
      <w:numFmt w:val="bullet"/>
      <w:pStyle w:val="dashitem"/>
      <w:lvlText w:val="─"/>
      <w:lvlJc w:val="left"/>
      <w:pPr>
        <w:tabs>
          <w:tab w:val="num" w:pos="454"/>
        </w:tabs>
        <w:ind w:left="454" w:hanging="227"/>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C7C2E30"/>
    <w:multiLevelType w:val="hybridMultilevel"/>
    <w:tmpl w:val="5D5E74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E55254"/>
    <w:multiLevelType w:val="multilevel"/>
    <w:tmpl w:val="32DA4DBC"/>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052F1B"/>
    <w:multiLevelType w:val="singleLevel"/>
    <w:tmpl w:val="81EC9844"/>
    <w:lvl w:ilvl="0">
      <w:start w:val="1"/>
      <w:numFmt w:val="decimal"/>
      <w:lvlText w:val="%1."/>
      <w:legacy w:legacy="1" w:legacySpace="0" w:legacyIndent="227"/>
      <w:lvlJc w:val="left"/>
      <w:pPr>
        <w:ind w:left="227" w:hanging="227"/>
      </w:pPr>
    </w:lvl>
  </w:abstractNum>
  <w:abstractNum w:abstractNumId="18" w15:restartNumberingAfterBreak="0">
    <w:nsid w:val="15917E03"/>
    <w:multiLevelType w:val="multilevel"/>
    <w:tmpl w:val="6EE0EBAA"/>
    <w:lvl w:ilvl="0">
      <w:start w:val="1"/>
      <w:numFmt w:val="decimal"/>
      <w:lvlText w:val="%1"/>
      <w:lvlJc w:val="left"/>
      <w:pPr>
        <w:tabs>
          <w:tab w:val="num" w:pos="454"/>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1A590811"/>
    <w:multiLevelType w:val="multilevel"/>
    <w:tmpl w:val="514647BC"/>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C0D442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AF76D9"/>
    <w:multiLevelType w:val="singleLevel"/>
    <w:tmpl w:val="81EC9844"/>
    <w:lvl w:ilvl="0">
      <w:start w:val="1"/>
      <w:numFmt w:val="decimal"/>
      <w:lvlText w:val="%1."/>
      <w:legacy w:legacy="1" w:legacySpace="0" w:legacyIndent="227"/>
      <w:lvlJc w:val="left"/>
      <w:pPr>
        <w:ind w:left="227" w:hanging="227"/>
      </w:pPr>
    </w:lvl>
  </w:abstractNum>
  <w:abstractNum w:abstractNumId="24" w15:restartNumberingAfterBreak="0">
    <w:nsid w:val="2B2603BC"/>
    <w:multiLevelType w:val="hybridMultilevel"/>
    <w:tmpl w:val="F120FB80"/>
    <w:lvl w:ilvl="0" w:tplc="1BD62FAA">
      <w:start w:val="1"/>
      <w:numFmt w:val="bullet"/>
      <w:lvlText w:val=""/>
      <w:lvlJc w:val="left"/>
      <w:pPr>
        <w:tabs>
          <w:tab w:val="num" w:pos="814"/>
        </w:tabs>
        <w:ind w:left="737" w:hanging="283"/>
      </w:pPr>
      <w:rPr>
        <w:rFonts w:ascii="Symbol" w:hAnsi="Symbol" w:hint="default"/>
      </w:rPr>
    </w:lvl>
    <w:lvl w:ilvl="1" w:tplc="7E68C14E">
      <w:start w:val="1"/>
      <w:numFmt w:val="bullet"/>
      <w:lvlText w:val=""/>
      <w:lvlJc w:val="left"/>
      <w:pPr>
        <w:tabs>
          <w:tab w:val="num" w:pos="1440"/>
        </w:tabs>
        <w:ind w:left="1364" w:hanging="284"/>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26" w15:restartNumberingAfterBreak="0">
    <w:nsid w:val="30E9101C"/>
    <w:multiLevelType w:val="multilevel"/>
    <w:tmpl w:val="3E54AE9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53626E"/>
    <w:multiLevelType w:val="hybridMultilevel"/>
    <w:tmpl w:val="5BEC08B2"/>
    <w:lvl w:ilvl="0" w:tplc="F872F310">
      <w:start w:val="1"/>
      <w:numFmt w:val="bullet"/>
      <w:pStyle w:val="bulletitem"/>
      <w:lvlText w:val=""/>
      <w:lvlJc w:val="left"/>
      <w:pPr>
        <w:tabs>
          <w:tab w:val="num" w:pos="227"/>
        </w:tabs>
        <w:ind w:left="227" w:hanging="22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C72B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5D77DF3"/>
    <w:multiLevelType w:val="hybridMultilevel"/>
    <w:tmpl w:val="41224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F995541"/>
    <w:multiLevelType w:val="singleLevel"/>
    <w:tmpl w:val="81EC9844"/>
    <w:lvl w:ilvl="0">
      <w:start w:val="1"/>
      <w:numFmt w:val="decimal"/>
      <w:lvlText w:val="%1."/>
      <w:legacy w:legacy="1" w:legacySpace="0" w:legacyIndent="227"/>
      <w:lvlJc w:val="left"/>
      <w:pPr>
        <w:ind w:left="227" w:hanging="227"/>
      </w:pPr>
    </w:lvl>
  </w:abstractNum>
  <w:abstractNum w:abstractNumId="32" w15:restartNumberingAfterBreak="0">
    <w:nsid w:val="514513F3"/>
    <w:multiLevelType w:val="multilevel"/>
    <w:tmpl w:val="6EE0EBAA"/>
    <w:lvl w:ilvl="0">
      <w:start w:val="1"/>
      <w:numFmt w:val="decimal"/>
      <w:pStyle w:val="Ttulo1"/>
      <w:lvlText w:val="%1"/>
      <w:lvlJc w:val="left"/>
      <w:pPr>
        <w:tabs>
          <w:tab w:val="num" w:pos="454"/>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3" w15:restartNumberingAfterBreak="0">
    <w:nsid w:val="518B12A0"/>
    <w:multiLevelType w:val="singleLevel"/>
    <w:tmpl w:val="81EC9844"/>
    <w:lvl w:ilvl="0">
      <w:start w:val="1"/>
      <w:numFmt w:val="decimal"/>
      <w:lvlText w:val="%1."/>
      <w:legacy w:legacy="1" w:legacySpace="0" w:legacyIndent="227"/>
      <w:lvlJc w:val="left"/>
      <w:pPr>
        <w:ind w:left="227" w:hanging="227"/>
      </w:pPr>
    </w:lvl>
  </w:abstractNum>
  <w:abstractNum w:abstractNumId="34" w15:restartNumberingAfterBreak="0">
    <w:nsid w:val="53F769B9"/>
    <w:multiLevelType w:val="multilevel"/>
    <w:tmpl w:val="7F3A4E1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C35AC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461BA7"/>
    <w:multiLevelType w:val="multilevel"/>
    <w:tmpl w:val="E020E450"/>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FA0C55"/>
    <w:multiLevelType w:val="hybridMultilevel"/>
    <w:tmpl w:val="709C8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4378E6"/>
    <w:multiLevelType w:val="hybridMultilevel"/>
    <w:tmpl w:val="DE04CA64"/>
    <w:lvl w:ilvl="0" w:tplc="D1DA2662">
      <w:start w:val="1"/>
      <w:numFmt w:val="bullet"/>
      <w:lvlText w:val="•"/>
      <w:lvlJc w:val="left"/>
      <w:pPr>
        <w:tabs>
          <w:tab w:val="num" w:pos="720"/>
        </w:tabs>
        <w:ind w:left="720" w:hanging="360"/>
      </w:pPr>
      <w:rPr>
        <w:rFonts w:ascii="Arial" w:hAnsi="Arial" w:hint="default"/>
      </w:rPr>
    </w:lvl>
    <w:lvl w:ilvl="1" w:tplc="F560F336" w:tentative="1">
      <w:start w:val="1"/>
      <w:numFmt w:val="bullet"/>
      <w:lvlText w:val="•"/>
      <w:lvlJc w:val="left"/>
      <w:pPr>
        <w:tabs>
          <w:tab w:val="num" w:pos="1440"/>
        </w:tabs>
        <w:ind w:left="1440" w:hanging="360"/>
      </w:pPr>
      <w:rPr>
        <w:rFonts w:ascii="Arial" w:hAnsi="Arial" w:hint="default"/>
      </w:rPr>
    </w:lvl>
    <w:lvl w:ilvl="2" w:tplc="1270C952" w:tentative="1">
      <w:start w:val="1"/>
      <w:numFmt w:val="bullet"/>
      <w:lvlText w:val="•"/>
      <w:lvlJc w:val="left"/>
      <w:pPr>
        <w:tabs>
          <w:tab w:val="num" w:pos="2160"/>
        </w:tabs>
        <w:ind w:left="2160" w:hanging="360"/>
      </w:pPr>
      <w:rPr>
        <w:rFonts w:ascii="Arial" w:hAnsi="Arial" w:hint="default"/>
      </w:rPr>
    </w:lvl>
    <w:lvl w:ilvl="3" w:tplc="CD5E25FE" w:tentative="1">
      <w:start w:val="1"/>
      <w:numFmt w:val="bullet"/>
      <w:lvlText w:val="•"/>
      <w:lvlJc w:val="left"/>
      <w:pPr>
        <w:tabs>
          <w:tab w:val="num" w:pos="2880"/>
        </w:tabs>
        <w:ind w:left="2880" w:hanging="360"/>
      </w:pPr>
      <w:rPr>
        <w:rFonts w:ascii="Arial" w:hAnsi="Arial" w:hint="default"/>
      </w:rPr>
    </w:lvl>
    <w:lvl w:ilvl="4" w:tplc="0452245E" w:tentative="1">
      <w:start w:val="1"/>
      <w:numFmt w:val="bullet"/>
      <w:lvlText w:val="•"/>
      <w:lvlJc w:val="left"/>
      <w:pPr>
        <w:tabs>
          <w:tab w:val="num" w:pos="3600"/>
        </w:tabs>
        <w:ind w:left="3600" w:hanging="360"/>
      </w:pPr>
      <w:rPr>
        <w:rFonts w:ascii="Arial" w:hAnsi="Arial" w:hint="default"/>
      </w:rPr>
    </w:lvl>
    <w:lvl w:ilvl="5" w:tplc="8BEEC588" w:tentative="1">
      <w:start w:val="1"/>
      <w:numFmt w:val="bullet"/>
      <w:lvlText w:val="•"/>
      <w:lvlJc w:val="left"/>
      <w:pPr>
        <w:tabs>
          <w:tab w:val="num" w:pos="4320"/>
        </w:tabs>
        <w:ind w:left="4320" w:hanging="360"/>
      </w:pPr>
      <w:rPr>
        <w:rFonts w:ascii="Arial" w:hAnsi="Arial" w:hint="default"/>
      </w:rPr>
    </w:lvl>
    <w:lvl w:ilvl="6" w:tplc="9B1E617E" w:tentative="1">
      <w:start w:val="1"/>
      <w:numFmt w:val="bullet"/>
      <w:lvlText w:val="•"/>
      <w:lvlJc w:val="left"/>
      <w:pPr>
        <w:tabs>
          <w:tab w:val="num" w:pos="5040"/>
        </w:tabs>
        <w:ind w:left="5040" w:hanging="360"/>
      </w:pPr>
      <w:rPr>
        <w:rFonts w:ascii="Arial" w:hAnsi="Arial" w:hint="default"/>
      </w:rPr>
    </w:lvl>
    <w:lvl w:ilvl="7" w:tplc="ADBC9B84" w:tentative="1">
      <w:start w:val="1"/>
      <w:numFmt w:val="bullet"/>
      <w:lvlText w:val="•"/>
      <w:lvlJc w:val="left"/>
      <w:pPr>
        <w:tabs>
          <w:tab w:val="num" w:pos="5760"/>
        </w:tabs>
        <w:ind w:left="5760" w:hanging="360"/>
      </w:pPr>
      <w:rPr>
        <w:rFonts w:ascii="Arial" w:hAnsi="Arial" w:hint="default"/>
      </w:rPr>
    </w:lvl>
    <w:lvl w:ilvl="8" w:tplc="850C916E" w:tentative="1">
      <w:start w:val="1"/>
      <w:numFmt w:val="bullet"/>
      <w:lvlText w:val="•"/>
      <w:lvlJc w:val="left"/>
      <w:pPr>
        <w:tabs>
          <w:tab w:val="num" w:pos="6480"/>
        </w:tabs>
        <w:ind w:left="6480" w:hanging="360"/>
      </w:pPr>
      <w:rPr>
        <w:rFonts w:ascii="Arial" w:hAnsi="Arial" w:hint="default"/>
      </w:rPr>
    </w:lvl>
  </w:abstractNum>
  <w:num w:numId="1" w16cid:durableId="1589079088">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610770344">
    <w:abstractNumId w:val="25"/>
  </w:num>
  <w:num w:numId="3" w16cid:durableId="1422414946">
    <w:abstractNumId w:val="24"/>
  </w:num>
  <w:num w:numId="4" w16cid:durableId="1460107734">
    <w:abstractNumId w:val="20"/>
  </w:num>
  <w:num w:numId="5" w16cid:durableId="1676608286">
    <w:abstractNumId w:val="30"/>
  </w:num>
  <w:num w:numId="6" w16cid:durableId="1955483448">
    <w:abstractNumId w:val="30"/>
  </w:num>
  <w:num w:numId="7" w16cid:durableId="244917176">
    <w:abstractNumId w:val="30"/>
  </w:num>
  <w:num w:numId="8" w16cid:durableId="1936015476">
    <w:abstractNumId w:val="10"/>
  </w:num>
  <w:num w:numId="9" w16cid:durableId="1892691430">
    <w:abstractNumId w:val="10"/>
  </w:num>
  <w:num w:numId="10" w16cid:durableId="309409698">
    <w:abstractNumId w:val="10"/>
  </w:num>
  <w:num w:numId="11" w16cid:durableId="984119172">
    <w:abstractNumId w:val="10"/>
  </w:num>
  <w:num w:numId="12" w16cid:durableId="665867542">
    <w:abstractNumId w:val="10"/>
  </w:num>
  <w:num w:numId="13" w16cid:durableId="1158963998">
    <w:abstractNumId w:val="10"/>
  </w:num>
  <w:num w:numId="14" w16cid:durableId="216278847">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15" w16cid:durableId="173762763">
    <w:abstractNumId w:val="9"/>
  </w:num>
  <w:num w:numId="16" w16cid:durableId="676881682">
    <w:abstractNumId w:val="7"/>
  </w:num>
  <w:num w:numId="17" w16cid:durableId="1190991558">
    <w:abstractNumId w:val="6"/>
  </w:num>
  <w:num w:numId="18" w16cid:durableId="195314436">
    <w:abstractNumId w:val="5"/>
  </w:num>
  <w:num w:numId="19" w16cid:durableId="909773615">
    <w:abstractNumId w:val="4"/>
  </w:num>
  <w:num w:numId="20" w16cid:durableId="758217798">
    <w:abstractNumId w:val="8"/>
  </w:num>
  <w:num w:numId="21" w16cid:durableId="2094663600">
    <w:abstractNumId w:val="3"/>
  </w:num>
  <w:num w:numId="22" w16cid:durableId="183524832">
    <w:abstractNumId w:val="2"/>
  </w:num>
  <w:num w:numId="23" w16cid:durableId="1090009488">
    <w:abstractNumId w:val="1"/>
  </w:num>
  <w:num w:numId="24" w16cid:durableId="673141990">
    <w:abstractNumId w:val="0"/>
  </w:num>
  <w:num w:numId="25" w16cid:durableId="1270090057">
    <w:abstractNumId w:val="28"/>
  </w:num>
  <w:num w:numId="26" w16cid:durableId="986477376">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27" w16cid:durableId="43332462">
    <w:abstractNumId w:val="14"/>
  </w:num>
  <w:num w:numId="28" w16cid:durableId="1824421035">
    <w:abstractNumId w:val="31"/>
  </w:num>
  <w:num w:numId="29" w16cid:durableId="1137408769">
    <w:abstractNumId w:val="16"/>
  </w:num>
  <w:num w:numId="30" w16cid:durableId="724529789">
    <w:abstractNumId w:val="27"/>
  </w:num>
  <w:num w:numId="31" w16cid:durableId="752434601">
    <w:abstractNumId w:val="36"/>
  </w:num>
  <w:num w:numId="32" w16cid:durableId="917785646">
    <w:abstractNumId w:val="17"/>
  </w:num>
  <w:num w:numId="33" w16cid:durableId="1242523880">
    <w:abstractNumId w:val="13"/>
  </w:num>
  <w:num w:numId="34" w16cid:durableId="256329309">
    <w:abstractNumId w:val="12"/>
  </w:num>
  <w:num w:numId="35" w16cid:durableId="805854051">
    <w:abstractNumId w:val="23"/>
  </w:num>
  <w:num w:numId="36" w16cid:durableId="619189255">
    <w:abstractNumId w:val="33"/>
  </w:num>
  <w:num w:numId="37" w16cid:durableId="697438028">
    <w:abstractNumId w:val="19"/>
  </w:num>
  <w:num w:numId="38" w16cid:durableId="1743066885">
    <w:abstractNumId w:val="32"/>
  </w:num>
  <w:num w:numId="39" w16cid:durableId="376517412">
    <w:abstractNumId w:val="22"/>
  </w:num>
  <w:num w:numId="40" w16cid:durableId="1096943130">
    <w:abstractNumId w:val="35"/>
  </w:num>
  <w:num w:numId="41" w16cid:durableId="805706334">
    <w:abstractNumId w:val="21"/>
  </w:num>
  <w:num w:numId="42" w16cid:durableId="503515442">
    <w:abstractNumId w:val="26"/>
  </w:num>
  <w:num w:numId="43" w16cid:durableId="1797210382">
    <w:abstractNumId w:val="34"/>
  </w:num>
  <w:num w:numId="44" w16cid:durableId="1147866492">
    <w:abstractNumId w:val="18"/>
  </w:num>
  <w:num w:numId="45" w16cid:durableId="1449008553">
    <w:abstractNumId w:val="15"/>
  </w:num>
  <w:num w:numId="46" w16cid:durableId="231427768">
    <w:abstractNumId w:val="27"/>
  </w:num>
  <w:num w:numId="47" w16cid:durableId="530730062">
    <w:abstractNumId w:val="38"/>
  </w:num>
  <w:num w:numId="48" w16cid:durableId="802307557">
    <w:abstractNumId w:val="29"/>
  </w:num>
  <w:num w:numId="49" w16cid:durableId="1380327084">
    <w:abstractNumId w:val="37"/>
  </w:num>
  <w:num w:numId="50" w16cid:durableId="400640198">
    <w:abstractNumId w:val="27"/>
  </w: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C3C"/>
    <w:rsid w:val="0000056A"/>
    <w:rsid w:val="00001D94"/>
    <w:rsid w:val="000058CD"/>
    <w:rsid w:val="00006405"/>
    <w:rsid w:val="00007F40"/>
    <w:rsid w:val="00011C8D"/>
    <w:rsid w:val="00015441"/>
    <w:rsid w:val="00025D8F"/>
    <w:rsid w:val="000309B7"/>
    <w:rsid w:val="00030E3E"/>
    <w:rsid w:val="0003135A"/>
    <w:rsid w:val="00034555"/>
    <w:rsid w:val="00040402"/>
    <w:rsid w:val="0004696A"/>
    <w:rsid w:val="00053018"/>
    <w:rsid w:val="0005696A"/>
    <w:rsid w:val="000569E7"/>
    <w:rsid w:val="00067568"/>
    <w:rsid w:val="000740BE"/>
    <w:rsid w:val="0007498B"/>
    <w:rsid w:val="0008374A"/>
    <w:rsid w:val="00090710"/>
    <w:rsid w:val="00090731"/>
    <w:rsid w:val="000927C5"/>
    <w:rsid w:val="00092FA6"/>
    <w:rsid w:val="000934BA"/>
    <w:rsid w:val="00094656"/>
    <w:rsid w:val="000A2E55"/>
    <w:rsid w:val="000B1E82"/>
    <w:rsid w:val="000B2266"/>
    <w:rsid w:val="000B7E4C"/>
    <w:rsid w:val="000C006D"/>
    <w:rsid w:val="000C04F0"/>
    <w:rsid w:val="000C4C8F"/>
    <w:rsid w:val="000D033E"/>
    <w:rsid w:val="000D16FA"/>
    <w:rsid w:val="000D1C00"/>
    <w:rsid w:val="000D3597"/>
    <w:rsid w:val="000D6D27"/>
    <w:rsid w:val="000E071F"/>
    <w:rsid w:val="000F0DC5"/>
    <w:rsid w:val="000F4747"/>
    <w:rsid w:val="000F782C"/>
    <w:rsid w:val="00117CC9"/>
    <w:rsid w:val="00120D79"/>
    <w:rsid w:val="00124D96"/>
    <w:rsid w:val="0013193E"/>
    <w:rsid w:val="001362F0"/>
    <w:rsid w:val="0013666A"/>
    <w:rsid w:val="00145AF7"/>
    <w:rsid w:val="00162CC8"/>
    <w:rsid w:val="00163AF4"/>
    <w:rsid w:val="00164D7E"/>
    <w:rsid w:val="0016678D"/>
    <w:rsid w:val="00172752"/>
    <w:rsid w:val="00172A1B"/>
    <w:rsid w:val="0018408E"/>
    <w:rsid w:val="00185973"/>
    <w:rsid w:val="00187D64"/>
    <w:rsid w:val="00187E43"/>
    <w:rsid w:val="00190935"/>
    <w:rsid w:val="00197686"/>
    <w:rsid w:val="001A0E09"/>
    <w:rsid w:val="001B255B"/>
    <w:rsid w:val="001B4547"/>
    <w:rsid w:val="001B4A7C"/>
    <w:rsid w:val="001D3E27"/>
    <w:rsid w:val="001D53EB"/>
    <w:rsid w:val="001E21AD"/>
    <w:rsid w:val="001F45CE"/>
    <w:rsid w:val="001F5439"/>
    <w:rsid w:val="0020457A"/>
    <w:rsid w:val="00204E89"/>
    <w:rsid w:val="00210248"/>
    <w:rsid w:val="00210DB8"/>
    <w:rsid w:val="0021134D"/>
    <w:rsid w:val="00213A7D"/>
    <w:rsid w:val="00214AC2"/>
    <w:rsid w:val="002224E1"/>
    <w:rsid w:val="00226E54"/>
    <w:rsid w:val="00227960"/>
    <w:rsid w:val="0023086D"/>
    <w:rsid w:val="00230C00"/>
    <w:rsid w:val="0023104F"/>
    <w:rsid w:val="00231803"/>
    <w:rsid w:val="002354AE"/>
    <w:rsid w:val="0024075B"/>
    <w:rsid w:val="00240D33"/>
    <w:rsid w:val="0024174C"/>
    <w:rsid w:val="0024529B"/>
    <w:rsid w:val="002542EE"/>
    <w:rsid w:val="002639D9"/>
    <w:rsid w:val="00264407"/>
    <w:rsid w:val="00270386"/>
    <w:rsid w:val="0027411A"/>
    <w:rsid w:val="0027506C"/>
    <w:rsid w:val="00281FDA"/>
    <w:rsid w:val="002823FC"/>
    <w:rsid w:val="00293043"/>
    <w:rsid w:val="002974C4"/>
    <w:rsid w:val="002A0162"/>
    <w:rsid w:val="002A4602"/>
    <w:rsid w:val="002A4A69"/>
    <w:rsid w:val="002A56B5"/>
    <w:rsid w:val="002B406E"/>
    <w:rsid w:val="002B53C3"/>
    <w:rsid w:val="002B66F5"/>
    <w:rsid w:val="002B7863"/>
    <w:rsid w:val="002C110C"/>
    <w:rsid w:val="002D34CD"/>
    <w:rsid w:val="002E323E"/>
    <w:rsid w:val="002E36AF"/>
    <w:rsid w:val="002E5AD3"/>
    <w:rsid w:val="002E6BA4"/>
    <w:rsid w:val="002F3CD1"/>
    <w:rsid w:val="002F3D2A"/>
    <w:rsid w:val="00302DE4"/>
    <w:rsid w:val="00305345"/>
    <w:rsid w:val="00307282"/>
    <w:rsid w:val="00307D1B"/>
    <w:rsid w:val="0031466D"/>
    <w:rsid w:val="00316E8F"/>
    <w:rsid w:val="0032462A"/>
    <w:rsid w:val="00330F5E"/>
    <w:rsid w:val="00334C04"/>
    <w:rsid w:val="00341AEA"/>
    <w:rsid w:val="00341F67"/>
    <w:rsid w:val="0035112D"/>
    <w:rsid w:val="003606CA"/>
    <w:rsid w:val="0036104B"/>
    <w:rsid w:val="00362269"/>
    <w:rsid w:val="003633D4"/>
    <w:rsid w:val="003655E1"/>
    <w:rsid w:val="00371063"/>
    <w:rsid w:val="00372CA7"/>
    <w:rsid w:val="00376180"/>
    <w:rsid w:val="00377276"/>
    <w:rsid w:val="00377424"/>
    <w:rsid w:val="00394942"/>
    <w:rsid w:val="003949F3"/>
    <w:rsid w:val="003A3A01"/>
    <w:rsid w:val="003B0216"/>
    <w:rsid w:val="003B13D1"/>
    <w:rsid w:val="003B2F07"/>
    <w:rsid w:val="003B33F7"/>
    <w:rsid w:val="003B35BB"/>
    <w:rsid w:val="003B7599"/>
    <w:rsid w:val="003C1A34"/>
    <w:rsid w:val="003C4911"/>
    <w:rsid w:val="003C5BCA"/>
    <w:rsid w:val="003D6DAC"/>
    <w:rsid w:val="003E2A5E"/>
    <w:rsid w:val="003E3032"/>
    <w:rsid w:val="003E5997"/>
    <w:rsid w:val="003E5A23"/>
    <w:rsid w:val="003F185F"/>
    <w:rsid w:val="003F1DCF"/>
    <w:rsid w:val="003F4765"/>
    <w:rsid w:val="003F65A6"/>
    <w:rsid w:val="00414563"/>
    <w:rsid w:val="0041626B"/>
    <w:rsid w:val="00423551"/>
    <w:rsid w:val="00423F1B"/>
    <w:rsid w:val="00426C62"/>
    <w:rsid w:val="0042772B"/>
    <w:rsid w:val="00433441"/>
    <w:rsid w:val="00435214"/>
    <w:rsid w:val="00435D07"/>
    <w:rsid w:val="00436948"/>
    <w:rsid w:val="0043737C"/>
    <w:rsid w:val="00442A6C"/>
    <w:rsid w:val="004435BA"/>
    <w:rsid w:val="00444190"/>
    <w:rsid w:val="00453C76"/>
    <w:rsid w:val="00454DD4"/>
    <w:rsid w:val="00456287"/>
    <w:rsid w:val="004705AF"/>
    <w:rsid w:val="00471B63"/>
    <w:rsid w:val="0047305E"/>
    <w:rsid w:val="00473617"/>
    <w:rsid w:val="00476386"/>
    <w:rsid w:val="00477F90"/>
    <w:rsid w:val="00484DD3"/>
    <w:rsid w:val="00486D71"/>
    <w:rsid w:val="004918B5"/>
    <w:rsid w:val="004956C3"/>
    <w:rsid w:val="00495761"/>
    <w:rsid w:val="00497AD6"/>
    <w:rsid w:val="004A65D2"/>
    <w:rsid w:val="004C20E7"/>
    <w:rsid w:val="004C2656"/>
    <w:rsid w:val="004C2812"/>
    <w:rsid w:val="004D189F"/>
    <w:rsid w:val="004D49E8"/>
    <w:rsid w:val="004D4E83"/>
    <w:rsid w:val="004D6665"/>
    <w:rsid w:val="004E0C9D"/>
    <w:rsid w:val="004F16B4"/>
    <w:rsid w:val="00500895"/>
    <w:rsid w:val="005010B4"/>
    <w:rsid w:val="00501B8C"/>
    <w:rsid w:val="0050369B"/>
    <w:rsid w:val="00504743"/>
    <w:rsid w:val="0050621E"/>
    <w:rsid w:val="00511908"/>
    <w:rsid w:val="00512421"/>
    <w:rsid w:val="00514982"/>
    <w:rsid w:val="0051658B"/>
    <w:rsid w:val="00521BC8"/>
    <w:rsid w:val="0052599C"/>
    <w:rsid w:val="00531942"/>
    <w:rsid w:val="00531E07"/>
    <w:rsid w:val="00532F36"/>
    <w:rsid w:val="00535B82"/>
    <w:rsid w:val="0053704E"/>
    <w:rsid w:val="0053710F"/>
    <w:rsid w:val="005377DD"/>
    <w:rsid w:val="00564ED7"/>
    <w:rsid w:val="00571515"/>
    <w:rsid w:val="005808CB"/>
    <w:rsid w:val="005846B6"/>
    <w:rsid w:val="00584C20"/>
    <w:rsid w:val="00585F4C"/>
    <w:rsid w:val="00591219"/>
    <w:rsid w:val="005A2E29"/>
    <w:rsid w:val="005A5F79"/>
    <w:rsid w:val="005B0EF1"/>
    <w:rsid w:val="005B32AC"/>
    <w:rsid w:val="005B3D33"/>
    <w:rsid w:val="005C70FB"/>
    <w:rsid w:val="005D172C"/>
    <w:rsid w:val="005E026B"/>
    <w:rsid w:val="005E18E0"/>
    <w:rsid w:val="005E316C"/>
    <w:rsid w:val="005F4EB3"/>
    <w:rsid w:val="005F793A"/>
    <w:rsid w:val="00604BA8"/>
    <w:rsid w:val="006052E9"/>
    <w:rsid w:val="0061213E"/>
    <w:rsid w:val="0061522E"/>
    <w:rsid w:val="00616817"/>
    <w:rsid w:val="00620E18"/>
    <w:rsid w:val="006258CB"/>
    <w:rsid w:val="00625C35"/>
    <w:rsid w:val="00625C3B"/>
    <w:rsid w:val="00627D6A"/>
    <w:rsid w:val="00631A9F"/>
    <w:rsid w:val="00637DFE"/>
    <w:rsid w:val="00642073"/>
    <w:rsid w:val="006469B8"/>
    <w:rsid w:val="00650CEB"/>
    <w:rsid w:val="00653A1B"/>
    <w:rsid w:val="0065405B"/>
    <w:rsid w:val="00656155"/>
    <w:rsid w:val="0066250C"/>
    <w:rsid w:val="006713CE"/>
    <w:rsid w:val="00673747"/>
    <w:rsid w:val="00674B8D"/>
    <w:rsid w:val="00674CEB"/>
    <w:rsid w:val="006750C2"/>
    <w:rsid w:val="006778FD"/>
    <w:rsid w:val="00680016"/>
    <w:rsid w:val="0068057D"/>
    <w:rsid w:val="006856F2"/>
    <w:rsid w:val="00690F07"/>
    <w:rsid w:val="006A1D3F"/>
    <w:rsid w:val="006A5D0F"/>
    <w:rsid w:val="006A645F"/>
    <w:rsid w:val="006B184A"/>
    <w:rsid w:val="006C0AD3"/>
    <w:rsid w:val="006C74CC"/>
    <w:rsid w:val="006D63CD"/>
    <w:rsid w:val="006E031A"/>
    <w:rsid w:val="006F1F04"/>
    <w:rsid w:val="006F257F"/>
    <w:rsid w:val="006F3C87"/>
    <w:rsid w:val="00700C3C"/>
    <w:rsid w:val="007027E6"/>
    <w:rsid w:val="0070371D"/>
    <w:rsid w:val="00706A12"/>
    <w:rsid w:val="0070709B"/>
    <w:rsid w:val="007111A3"/>
    <w:rsid w:val="00712089"/>
    <w:rsid w:val="00712F94"/>
    <w:rsid w:val="00714E9D"/>
    <w:rsid w:val="00722FCD"/>
    <w:rsid w:val="00726A40"/>
    <w:rsid w:val="00726F80"/>
    <w:rsid w:val="0073443D"/>
    <w:rsid w:val="00735682"/>
    <w:rsid w:val="0074633C"/>
    <w:rsid w:val="0074741C"/>
    <w:rsid w:val="00750E7D"/>
    <w:rsid w:val="00753629"/>
    <w:rsid w:val="007608F0"/>
    <w:rsid w:val="007626F0"/>
    <w:rsid w:val="0076605E"/>
    <w:rsid w:val="00775796"/>
    <w:rsid w:val="00780F47"/>
    <w:rsid w:val="00791F63"/>
    <w:rsid w:val="007A08F7"/>
    <w:rsid w:val="007A3249"/>
    <w:rsid w:val="007A52AC"/>
    <w:rsid w:val="007C1B8F"/>
    <w:rsid w:val="007C7941"/>
    <w:rsid w:val="007D0A21"/>
    <w:rsid w:val="007D1350"/>
    <w:rsid w:val="007E0352"/>
    <w:rsid w:val="007F3BF6"/>
    <w:rsid w:val="00807BBC"/>
    <w:rsid w:val="00810F00"/>
    <w:rsid w:val="0081281B"/>
    <w:rsid w:val="008141F8"/>
    <w:rsid w:val="008175BD"/>
    <w:rsid w:val="00831B2C"/>
    <w:rsid w:val="008338A5"/>
    <w:rsid w:val="0083409A"/>
    <w:rsid w:val="00837AB8"/>
    <w:rsid w:val="0084618C"/>
    <w:rsid w:val="0084658F"/>
    <w:rsid w:val="00850810"/>
    <w:rsid w:val="00852E68"/>
    <w:rsid w:val="00871A19"/>
    <w:rsid w:val="00872347"/>
    <w:rsid w:val="00873A48"/>
    <w:rsid w:val="008940AB"/>
    <w:rsid w:val="008946C9"/>
    <w:rsid w:val="00895F20"/>
    <w:rsid w:val="008A281F"/>
    <w:rsid w:val="008A7007"/>
    <w:rsid w:val="008A7B46"/>
    <w:rsid w:val="008B1558"/>
    <w:rsid w:val="008B225D"/>
    <w:rsid w:val="008B25C8"/>
    <w:rsid w:val="008B40E2"/>
    <w:rsid w:val="008B42D1"/>
    <w:rsid w:val="008B4C1F"/>
    <w:rsid w:val="008B50BD"/>
    <w:rsid w:val="008B50BF"/>
    <w:rsid w:val="008C1CDA"/>
    <w:rsid w:val="008C511A"/>
    <w:rsid w:val="008C6347"/>
    <w:rsid w:val="008C6548"/>
    <w:rsid w:val="008D00D5"/>
    <w:rsid w:val="008D3C6F"/>
    <w:rsid w:val="008D6649"/>
    <w:rsid w:val="008E0765"/>
    <w:rsid w:val="008E3A00"/>
    <w:rsid w:val="008E47AE"/>
    <w:rsid w:val="008F00F6"/>
    <w:rsid w:val="008F43AB"/>
    <w:rsid w:val="008F60DC"/>
    <w:rsid w:val="0090289B"/>
    <w:rsid w:val="00904402"/>
    <w:rsid w:val="00905DD2"/>
    <w:rsid w:val="009079EF"/>
    <w:rsid w:val="00912D08"/>
    <w:rsid w:val="009236C9"/>
    <w:rsid w:val="00927042"/>
    <w:rsid w:val="0093247D"/>
    <w:rsid w:val="00933633"/>
    <w:rsid w:val="00933AD3"/>
    <w:rsid w:val="00942F71"/>
    <w:rsid w:val="009459F1"/>
    <w:rsid w:val="00950D0B"/>
    <w:rsid w:val="00957940"/>
    <w:rsid w:val="00960D65"/>
    <w:rsid w:val="00963282"/>
    <w:rsid w:val="00963FCB"/>
    <w:rsid w:val="009702E3"/>
    <w:rsid w:val="00984E32"/>
    <w:rsid w:val="0098549F"/>
    <w:rsid w:val="0098555B"/>
    <w:rsid w:val="00990BBC"/>
    <w:rsid w:val="00991EFC"/>
    <w:rsid w:val="00993021"/>
    <w:rsid w:val="009935A9"/>
    <w:rsid w:val="00995A25"/>
    <w:rsid w:val="00997385"/>
    <w:rsid w:val="00997C09"/>
    <w:rsid w:val="009A1677"/>
    <w:rsid w:val="009A2666"/>
    <w:rsid w:val="009A3855"/>
    <w:rsid w:val="009A411B"/>
    <w:rsid w:val="009A5950"/>
    <w:rsid w:val="009C1123"/>
    <w:rsid w:val="009C1481"/>
    <w:rsid w:val="009C3E60"/>
    <w:rsid w:val="009C411C"/>
    <w:rsid w:val="009C54F1"/>
    <w:rsid w:val="009D5432"/>
    <w:rsid w:val="009D627C"/>
    <w:rsid w:val="009E0616"/>
    <w:rsid w:val="009E2957"/>
    <w:rsid w:val="009E4E69"/>
    <w:rsid w:val="009E649D"/>
    <w:rsid w:val="00A03CD2"/>
    <w:rsid w:val="00A06578"/>
    <w:rsid w:val="00A10B22"/>
    <w:rsid w:val="00A12702"/>
    <w:rsid w:val="00A13BEE"/>
    <w:rsid w:val="00A24F12"/>
    <w:rsid w:val="00A2627C"/>
    <w:rsid w:val="00A26846"/>
    <w:rsid w:val="00A32D1E"/>
    <w:rsid w:val="00A33255"/>
    <w:rsid w:val="00A3516F"/>
    <w:rsid w:val="00A35229"/>
    <w:rsid w:val="00A37FEA"/>
    <w:rsid w:val="00A42D6A"/>
    <w:rsid w:val="00A442F2"/>
    <w:rsid w:val="00A504B6"/>
    <w:rsid w:val="00A52DF4"/>
    <w:rsid w:val="00A57525"/>
    <w:rsid w:val="00A652A7"/>
    <w:rsid w:val="00A82F18"/>
    <w:rsid w:val="00A83872"/>
    <w:rsid w:val="00A85F41"/>
    <w:rsid w:val="00A97265"/>
    <w:rsid w:val="00AA19EB"/>
    <w:rsid w:val="00AA4B05"/>
    <w:rsid w:val="00AB2269"/>
    <w:rsid w:val="00AB2CDF"/>
    <w:rsid w:val="00AB5273"/>
    <w:rsid w:val="00AC01DC"/>
    <w:rsid w:val="00AC456C"/>
    <w:rsid w:val="00AC683B"/>
    <w:rsid w:val="00AD2E51"/>
    <w:rsid w:val="00AE0CA7"/>
    <w:rsid w:val="00AE7146"/>
    <w:rsid w:val="00AF2CE7"/>
    <w:rsid w:val="00AF5E1A"/>
    <w:rsid w:val="00B02D5D"/>
    <w:rsid w:val="00B06354"/>
    <w:rsid w:val="00B07D10"/>
    <w:rsid w:val="00B13B2F"/>
    <w:rsid w:val="00B16A67"/>
    <w:rsid w:val="00B2046F"/>
    <w:rsid w:val="00B22932"/>
    <w:rsid w:val="00B2350A"/>
    <w:rsid w:val="00B31C27"/>
    <w:rsid w:val="00B33058"/>
    <w:rsid w:val="00B34E02"/>
    <w:rsid w:val="00B372A9"/>
    <w:rsid w:val="00B37D11"/>
    <w:rsid w:val="00B40B82"/>
    <w:rsid w:val="00B41F94"/>
    <w:rsid w:val="00B469AD"/>
    <w:rsid w:val="00B47023"/>
    <w:rsid w:val="00B4764D"/>
    <w:rsid w:val="00B52C8F"/>
    <w:rsid w:val="00B55008"/>
    <w:rsid w:val="00B55961"/>
    <w:rsid w:val="00B573E7"/>
    <w:rsid w:val="00B57C98"/>
    <w:rsid w:val="00B725D1"/>
    <w:rsid w:val="00B752BF"/>
    <w:rsid w:val="00B754A2"/>
    <w:rsid w:val="00B75A88"/>
    <w:rsid w:val="00B8034A"/>
    <w:rsid w:val="00B86301"/>
    <w:rsid w:val="00B90577"/>
    <w:rsid w:val="00B9219B"/>
    <w:rsid w:val="00B927C6"/>
    <w:rsid w:val="00BA0EDB"/>
    <w:rsid w:val="00BA485F"/>
    <w:rsid w:val="00BA5679"/>
    <w:rsid w:val="00BA6773"/>
    <w:rsid w:val="00BA705B"/>
    <w:rsid w:val="00BB483F"/>
    <w:rsid w:val="00BC02E5"/>
    <w:rsid w:val="00BC0E60"/>
    <w:rsid w:val="00BC26A5"/>
    <w:rsid w:val="00BC69FA"/>
    <w:rsid w:val="00BD55E1"/>
    <w:rsid w:val="00BD7183"/>
    <w:rsid w:val="00BE0FFB"/>
    <w:rsid w:val="00BE1517"/>
    <w:rsid w:val="00BE18BA"/>
    <w:rsid w:val="00BF4592"/>
    <w:rsid w:val="00BF6409"/>
    <w:rsid w:val="00C0016F"/>
    <w:rsid w:val="00C00CEB"/>
    <w:rsid w:val="00C04C3A"/>
    <w:rsid w:val="00C05153"/>
    <w:rsid w:val="00C064A4"/>
    <w:rsid w:val="00C20A4B"/>
    <w:rsid w:val="00C22642"/>
    <w:rsid w:val="00C2501E"/>
    <w:rsid w:val="00C315CF"/>
    <w:rsid w:val="00C43226"/>
    <w:rsid w:val="00C43737"/>
    <w:rsid w:val="00C44013"/>
    <w:rsid w:val="00C453BD"/>
    <w:rsid w:val="00C45C81"/>
    <w:rsid w:val="00C46EFA"/>
    <w:rsid w:val="00C51C56"/>
    <w:rsid w:val="00C60104"/>
    <w:rsid w:val="00C6285A"/>
    <w:rsid w:val="00C62E7B"/>
    <w:rsid w:val="00C64E7D"/>
    <w:rsid w:val="00C70E71"/>
    <w:rsid w:val="00C73FE1"/>
    <w:rsid w:val="00C8067F"/>
    <w:rsid w:val="00C837A2"/>
    <w:rsid w:val="00C91263"/>
    <w:rsid w:val="00CA4564"/>
    <w:rsid w:val="00CB2916"/>
    <w:rsid w:val="00CD0021"/>
    <w:rsid w:val="00CD0BD7"/>
    <w:rsid w:val="00CD4538"/>
    <w:rsid w:val="00CE223C"/>
    <w:rsid w:val="00CF3131"/>
    <w:rsid w:val="00CF3BE1"/>
    <w:rsid w:val="00D00243"/>
    <w:rsid w:val="00D014AB"/>
    <w:rsid w:val="00D05ECD"/>
    <w:rsid w:val="00D073CB"/>
    <w:rsid w:val="00D24964"/>
    <w:rsid w:val="00D30140"/>
    <w:rsid w:val="00D36EBA"/>
    <w:rsid w:val="00D40AC2"/>
    <w:rsid w:val="00D4100E"/>
    <w:rsid w:val="00D43437"/>
    <w:rsid w:val="00D53522"/>
    <w:rsid w:val="00D54466"/>
    <w:rsid w:val="00D63A3C"/>
    <w:rsid w:val="00D6724D"/>
    <w:rsid w:val="00D6791A"/>
    <w:rsid w:val="00D707E2"/>
    <w:rsid w:val="00D75A83"/>
    <w:rsid w:val="00D87891"/>
    <w:rsid w:val="00D96B09"/>
    <w:rsid w:val="00D96C7F"/>
    <w:rsid w:val="00DB0063"/>
    <w:rsid w:val="00DB03EE"/>
    <w:rsid w:val="00DC198D"/>
    <w:rsid w:val="00DC1E99"/>
    <w:rsid w:val="00DC72BF"/>
    <w:rsid w:val="00DD0149"/>
    <w:rsid w:val="00DE09DF"/>
    <w:rsid w:val="00DE2420"/>
    <w:rsid w:val="00DE7B95"/>
    <w:rsid w:val="00DF110D"/>
    <w:rsid w:val="00DF1892"/>
    <w:rsid w:val="00DF45D3"/>
    <w:rsid w:val="00E02E86"/>
    <w:rsid w:val="00E14595"/>
    <w:rsid w:val="00E15CDF"/>
    <w:rsid w:val="00E213DC"/>
    <w:rsid w:val="00E24197"/>
    <w:rsid w:val="00E323DF"/>
    <w:rsid w:val="00E44646"/>
    <w:rsid w:val="00E46F15"/>
    <w:rsid w:val="00E50599"/>
    <w:rsid w:val="00E5102D"/>
    <w:rsid w:val="00E51A46"/>
    <w:rsid w:val="00E5254C"/>
    <w:rsid w:val="00E60F8C"/>
    <w:rsid w:val="00E76629"/>
    <w:rsid w:val="00E774B9"/>
    <w:rsid w:val="00E92398"/>
    <w:rsid w:val="00E95C19"/>
    <w:rsid w:val="00EA69A4"/>
    <w:rsid w:val="00EB0717"/>
    <w:rsid w:val="00EB4F62"/>
    <w:rsid w:val="00EB4F99"/>
    <w:rsid w:val="00EB5DD7"/>
    <w:rsid w:val="00EB6167"/>
    <w:rsid w:val="00EC2435"/>
    <w:rsid w:val="00EC5065"/>
    <w:rsid w:val="00EC76EB"/>
    <w:rsid w:val="00ED3273"/>
    <w:rsid w:val="00ED4B90"/>
    <w:rsid w:val="00ED6091"/>
    <w:rsid w:val="00ED7231"/>
    <w:rsid w:val="00EE1957"/>
    <w:rsid w:val="00EE516F"/>
    <w:rsid w:val="00F061A0"/>
    <w:rsid w:val="00F070EE"/>
    <w:rsid w:val="00F07CC8"/>
    <w:rsid w:val="00F1253E"/>
    <w:rsid w:val="00F14F53"/>
    <w:rsid w:val="00F1693C"/>
    <w:rsid w:val="00F201E5"/>
    <w:rsid w:val="00F225D2"/>
    <w:rsid w:val="00F314E2"/>
    <w:rsid w:val="00F33250"/>
    <w:rsid w:val="00F342C5"/>
    <w:rsid w:val="00F3520B"/>
    <w:rsid w:val="00F356C3"/>
    <w:rsid w:val="00F41EE4"/>
    <w:rsid w:val="00F43471"/>
    <w:rsid w:val="00F4449B"/>
    <w:rsid w:val="00F44FF9"/>
    <w:rsid w:val="00F52239"/>
    <w:rsid w:val="00F56CEA"/>
    <w:rsid w:val="00F60976"/>
    <w:rsid w:val="00F6216E"/>
    <w:rsid w:val="00F63D29"/>
    <w:rsid w:val="00F67D52"/>
    <w:rsid w:val="00F70102"/>
    <w:rsid w:val="00F732B6"/>
    <w:rsid w:val="00F74CE0"/>
    <w:rsid w:val="00F77CFD"/>
    <w:rsid w:val="00F829D8"/>
    <w:rsid w:val="00F83CA8"/>
    <w:rsid w:val="00F850B0"/>
    <w:rsid w:val="00F86D8E"/>
    <w:rsid w:val="00F93F65"/>
    <w:rsid w:val="00F95511"/>
    <w:rsid w:val="00F9578C"/>
    <w:rsid w:val="00FC3D76"/>
    <w:rsid w:val="00FC464E"/>
    <w:rsid w:val="00FC5481"/>
    <w:rsid w:val="00FD0A36"/>
    <w:rsid w:val="00FD146B"/>
    <w:rsid w:val="00FE08C7"/>
    <w:rsid w:val="00FE0F5C"/>
    <w:rsid w:val="00FE1DA6"/>
    <w:rsid w:val="00FE7AC7"/>
    <w:rsid w:val="00FF06DB"/>
    <w:rsid w:val="00FF292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60766C"/>
  <w15:docId w15:val="{DFAA7382-0238-4841-8542-58D4940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5D1"/>
    <w:pPr>
      <w:overflowPunct w:val="0"/>
      <w:autoSpaceDE w:val="0"/>
      <w:autoSpaceDN w:val="0"/>
      <w:adjustRightInd w:val="0"/>
      <w:spacing w:line="228" w:lineRule="exact"/>
      <w:ind w:firstLine="227"/>
      <w:jc w:val="both"/>
      <w:textAlignment w:val="baseline"/>
    </w:pPr>
    <w:rPr>
      <w:lang w:val="es-ES_tradnl"/>
    </w:rPr>
  </w:style>
  <w:style w:type="paragraph" w:styleId="Ttulo1">
    <w:name w:val="heading 1"/>
    <w:basedOn w:val="Normal"/>
    <w:next w:val="Normal"/>
    <w:qFormat/>
    <w:rsid w:val="002B66F5"/>
    <w:pPr>
      <w:keepNext/>
      <w:keepLines/>
      <w:numPr>
        <w:numId w:val="38"/>
      </w:numPr>
      <w:tabs>
        <w:tab w:val="clear" w:pos="454"/>
        <w:tab w:val="left" w:pos="567"/>
      </w:tabs>
      <w:suppressAutoHyphens/>
      <w:spacing w:before="220" w:after="110" w:line="280" w:lineRule="exact"/>
      <w:jc w:val="left"/>
      <w:outlineLvl w:val="0"/>
    </w:pPr>
    <w:rPr>
      <w:b/>
      <w:sz w:val="24"/>
    </w:rPr>
  </w:style>
  <w:style w:type="paragraph" w:styleId="Ttulo2">
    <w:name w:val="heading 2"/>
    <w:basedOn w:val="Normal"/>
    <w:next w:val="Normal"/>
    <w:qFormat/>
    <w:rsid w:val="002B66F5"/>
    <w:pPr>
      <w:keepNext/>
      <w:keepLines/>
      <w:numPr>
        <w:ilvl w:val="1"/>
        <w:numId w:val="38"/>
      </w:numPr>
      <w:suppressAutoHyphens/>
      <w:spacing w:before="160" w:after="80"/>
      <w:outlineLvl w:val="1"/>
    </w:pPr>
    <w:rPr>
      <w:b/>
    </w:rPr>
  </w:style>
  <w:style w:type="paragraph" w:styleId="Ttulo3">
    <w:name w:val="heading 3"/>
    <w:basedOn w:val="Normal"/>
    <w:next w:val="Normal"/>
    <w:qFormat/>
    <w:rsid w:val="002B66F5"/>
    <w:pPr>
      <w:keepNext/>
      <w:keepLines/>
      <w:numPr>
        <w:ilvl w:val="2"/>
        <w:numId w:val="38"/>
      </w:numPr>
      <w:suppressAutoHyphens/>
      <w:spacing w:before="140" w:after="70"/>
      <w:outlineLvl w:val="2"/>
    </w:pPr>
    <w:rPr>
      <w:b/>
    </w:rPr>
  </w:style>
  <w:style w:type="paragraph" w:styleId="Ttulo4">
    <w:name w:val="heading 4"/>
    <w:basedOn w:val="Normal"/>
    <w:next w:val="Normal"/>
    <w:qFormat/>
    <w:rsid w:val="002B66F5"/>
    <w:pPr>
      <w:keepNext/>
      <w:tabs>
        <w:tab w:val="left" w:pos="680"/>
      </w:tabs>
      <w:spacing w:before="200" w:after="80"/>
      <w:ind w:firstLine="0"/>
      <w:jc w:val="left"/>
      <w:outlineLvl w:val="3"/>
    </w:pPr>
    <w:rPr>
      <w:i/>
      <w:sz w:val="18"/>
    </w:rPr>
  </w:style>
  <w:style w:type="paragraph" w:styleId="Ttulo5">
    <w:name w:val="heading 5"/>
    <w:basedOn w:val="Normal"/>
    <w:next w:val="Normal"/>
    <w:qFormat/>
    <w:rsid w:val="002B66F5"/>
    <w:pPr>
      <w:numPr>
        <w:ilvl w:val="4"/>
        <w:numId w:val="38"/>
      </w:numPr>
      <w:spacing w:before="240" w:after="60"/>
      <w:outlineLvl w:val="4"/>
    </w:pPr>
    <w:rPr>
      <w:rFonts w:ascii="Arial" w:hAnsi="Arial"/>
      <w:sz w:val="22"/>
    </w:rPr>
  </w:style>
  <w:style w:type="paragraph" w:styleId="Ttulo6">
    <w:name w:val="heading 6"/>
    <w:basedOn w:val="Normal"/>
    <w:next w:val="Normal"/>
    <w:qFormat/>
    <w:rsid w:val="002B66F5"/>
    <w:pPr>
      <w:numPr>
        <w:ilvl w:val="5"/>
        <w:numId w:val="38"/>
      </w:numPr>
      <w:spacing w:before="240" w:after="60"/>
      <w:outlineLvl w:val="5"/>
    </w:pPr>
    <w:rPr>
      <w:i/>
      <w:sz w:val="22"/>
    </w:rPr>
  </w:style>
  <w:style w:type="paragraph" w:styleId="Ttulo7">
    <w:name w:val="heading 7"/>
    <w:basedOn w:val="Normal"/>
    <w:next w:val="Normal"/>
    <w:qFormat/>
    <w:rsid w:val="002B66F5"/>
    <w:pPr>
      <w:numPr>
        <w:ilvl w:val="6"/>
        <w:numId w:val="38"/>
      </w:numPr>
      <w:spacing w:before="240" w:after="60"/>
      <w:outlineLvl w:val="6"/>
    </w:pPr>
    <w:rPr>
      <w:rFonts w:ascii="Arial" w:hAnsi="Arial"/>
    </w:rPr>
  </w:style>
  <w:style w:type="paragraph" w:styleId="Ttulo8">
    <w:name w:val="heading 8"/>
    <w:basedOn w:val="Normal"/>
    <w:next w:val="Normal"/>
    <w:qFormat/>
    <w:rsid w:val="002B66F5"/>
    <w:pPr>
      <w:numPr>
        <w:ilvl w:val="7"/>
        <w:numId w:val="38"/>
      </w:numPr>
      <w:spacing w:before="240" w:after="60"/>
      <w:outlineLvl w:val="7"/>
    </w:pPr>
    <w:rPr>
      <w:rFonts w:ascii="Arial" w:hAnsi="Arial"/>
      <w:i/>
    </w:rPr>
  </w:style>
  <w:style w:type="paragraph" w:styleId="Ttulo9">
    <w:name w:val="heading 9"/>
    <w:basedOn w:val="Normal"/>
    <w:next w:val="Normal"/>
    <w:qFormat/>
    <w:rsid w:val="002B66F5"/>
    <w:pPr>
      <w:numPr>
        <w:ilvl w:val="8"/>
        <w:numId w:val="3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a">
    <w:name w:val="p1a"/>
    <w:basedOn w:val="Normal"/>
    <w:next w:val="Normal"/>
    <w:rsid w:val="0053704E"/>
    <w:pPr>
      <w:ind w:firstLine="0"/>
    </w:pPr>
  </w:style>
  <w:style w:type="paragraph" w:customStyle="1" w:styleId="abstract">
    <w:name w:val="abstract"/>
    <w:basedOn w:val="p1a"/>
    <w:rsid w:val="00C91263"/>
    <w:pPr>
      <w:spacing w:before="160" w:after="120" w:line="220" w:lineRule="exact"/>
      <w:ind w:left="567" w:right="567"/>
      <w:contextualSpacing/>
    </w:pPr>
    <w:rPr>
      <w:sz w:val="18"/>
    </w:rPr>
  </w:style>
  <w:style w:type="paragraph" w:customStyle="1" w:styleId="address">
    <w:name w:val="address"/>
    <w:basedOn w:val="p1a"/>
    <w:rsid w:val="0053704E"/>
    <w:pPr>
      <w:jc w:val="center"/>
    </w:pPr>
    <w:rPr>
      <w:sz w:val="18"/>
    </w:rPr>
  </w:style>
  <w:style w:type="paragraph" w:customStyle="1" w:styleId="author">
    <w:name w:val="author"/>
    <w:basedOn w:val="p1a"/>
    <w:next w:val="address"/>
    <w:rsid w:val="0053704E"/>
    <w:pPr>
      <w:spacing w:after="220"/>
      <w:jc w:val="center"/>
    </w:pPr>
  </w:style>
  <w:style w:type="paragraph" w:styleId="Descripcin">
    <w:name w:val="caption"/>
    <w:basedOn w:val="Normal"/>
    <w:next w:val="Normal"/>
    <w:qFormat/>
    <w:rsid w:val="0053704E"/>
    <w:pPr>
      <w:spacing w:before="120" w:after="120"/>
    </w:pPr>
    <w:rPr>
      <w:b/>
    </w:rPr>
  </w:style>
  <w:style w:type="paragraph" w:customStyle="1" w:styleId="image">
    <w:name w:val="image"/>
    <w:basedOn w:val="p1a"/>
    <w:next w:val="p1a"/>
    <w:rsid w:val="008B1558"/>
    <w:pPr>
      <w:spacing w:before="240" w:after="120" w:line="240" w:lineRule="auto"/>
      <w:jc w:val="center"/>
    </w:pPr>
  </w:style>
  <w:style w:type="paragraph" w:customStyle="1" w:styleId="bulletitem">
    <w:name w:val="bullet item"/>
    <w:basedOn w:val="Normal"/>
    <w:rsid w:val="006E031A"/>
    <w:pPr>
      <w:numPr>
        <w:numId w:val="30"/>
      </w:numPr>
      <w:spacing w:before="120" w:after="120"/>
      <w:contextualSpacing/>
    </w:pPr>
  </w:style>
  <w:style w:type="paragraph" w:customStyle="1" w:styleId="dashitem">
    <w:name w:val="dash item"/>
    <w:basedOn w:val="bulletitem"/>
    <w:rsid w:val="00C6285A"/>
    <w:pPr>
      <w:numPr>
        <w:numId w:val="27"/>
      </w:numPr>
      <w:spacing w:before="80" w:after="80"/>
    </w:pPr>
  </w:style>
  <w:style w:type="paragraph" w:customStyle="1" w:styleId="equation">
    <w:name w:val="equation"/>
    <w:basedOn w:val="Normal"/>
    <w:next w:val="p1a"/>
    <w:rsid w:val="0053704E"/>
    <w:pPr>
      <w:tabs>
        <w:tab w:val="left" w:pos="6237"/>
      </w:tabs>
      <w:spacing w:before="120" w:after="120"/>
      <w:ind w:left="227"/>
      <w:jc w:val="center"/>
    </w:pPr>
  </w:style>
  <w:style w:type="paragraph" w:customStyle="1" w:styleId="figurecaption">
    <w:name w:val="figure caption"/>
    <w:basedOn w:val="Normal"/>
    <w:next w:val="p1a"/>
    <w:rsid w:val="00454DD4"/>
    <w:pPr>
      <w:keepNext/>
      <w:keepLines/>
      <w:spacing w:before="120" w:after="240" w:line="220" w:lineRule="exact"/>
      <w:ind w:firstLine="0"/>
      <w:jc w:val="center"/>
    </w:pPr>
    <w:rPr>
      <w:sz w:val="18"/>
    </w:rPr>
  </w:style>
  <w:style w:type="paragraph" w:styleId="Textonotapie">
    <w:name w:val="footnote text"/>
    <w:basedOn w:val="Normal"/>
    <w:semiHidden/>
    <w:rsid w:val="0053704E"/>
    <w:pPr>
      <w:tabs>
        <w:tab w:val="left" w:pos="170"/>
      </w:tabs>
      <w:spacing w:line="220" w:lineRule="exact"/>
      <w:ind w:left="170" w:hanging="170"/>
    </w:pPr>
    <w:rPr>
      <w:sz w:val="18"/>
    </w:rPr>
  </w:style>
  <w:style w:type="character" w:styleId="Hipervnculo">
    <w:name w:val="Hyperlink"/>
    <w:basedOn w:val="Fuentedeprrafopredeter"/>
    <w:rsid w:val="00BA5679"/>
    <w:rPr>
      <w:color w:val="0000FF"/>
      <w:u w:val="single"/>
    </w:rPr>
  </w:style>
  <w:style w:type="character" w:styleId="Refdenotaalpie">
    <w:name w:val="footnote reference"/>
    <w:basedOn w:val="Fuentedeprrafopredeter"/>
    <w:semiHidden/>
    <w:rsid w:val="0053704E"/>
    <w:rPr>
      <w:position w:val="6"/>
      <w:sz w:val="12"/>
      <w:vertAlign w:val="baseline"/>
    </w:rPr>
  </w:style>
  <w:style w:type="paragraph" w:styleId="Piedepgina">
    <w:name w:val="footer"/>
    <w:basedOn w:val="Normal"/>
    <w:link w:val="PiedepginaCar"/>
    <w:uiPriority w:val="99"/>
    <w:rsid w:val="0053704E"/>
    <w:pPr>
      <w:tabs>
        <w:tab w:val="center" w:pos="4536"/>
        <w:tab w:val="right" w:pos="9072"/>
      </w:tabs>
    </w:pPr>
  </w:style>
  <w:style w:type="paragraph" w:customStyle="1" w:styleId="heading1">
    <w:name w:val="heading1"/>
    <w:basedOn w:val="Ttulo1"/>
    <w:next w:val="p1a"/>
    <w:rsid w:val="002B66F5"/>
  </w:style>
  <w:style w:type="paragraph" w:customStyle="1" w:styleId="heading2">
    <w:name w:val="heading2"/>
    <w:basedOn w:val="Ttulo2"/>
    <w:next w:val="p1a"/>
    <w:rsid w:val="00190935"/>
  </w:style>
  <w:style w:type="paragraph" w:customStyle="1" w:styleId="heading3">
    <w:name w:val="heading3"/>
    <w:basedOn w:val="Ttulo3"/>
    <w:next w:val="p1a"/>
    <w:rsid w:val="00A504B6"/>
  </w:style>
  <w:style w:type="paragraph" w:customStyle="1" w:styleId="heading4">
    <w:name w:val="heading4"/>
    <w:basedOn w:val="Ttulo4"/>
    <w:next w:val="p1a"/>
    <w:rsid w:val="00A504B6"/>
  </w:style>
  <w:style w:type="paragraph" w:styleId="Encabezado">
    <w:name w:val="header"/>
    <w:basedOn w:val="Normal"/>
    <w:link w:val="EncabezadoCar"/>
    <w:uiPriority w:val="99"/>
    <w:rsid w:val="00210248"/>
    <w:pPr>
      <w:spacing w:line="220" w:lineRule="exact"/>
      <w:ind w:firstLine="0"/>
    </w:pPr>
    <w:rPr>
      <w:sz w:val="18"/>
    </w:rPr>
  </w:style>
  <w:style w:type="paragraph" w:customStyle="1" w:styleId="numbereditem">
    <w:name w:val="numbered item"/>
    <w:basedOn w:val="Normal"/>
    <w:rsid w:val="006E031A"/>
    <w:pPr>
      <w:numPr>
        <w:numId w:val="37"/>
      </w:numPr>
      <w:spacing w:before="120" w:after="120"/>
      <w:contextualSpacing/>
    </w:pPr>
  </w:style>
  <w:style w:type="paragraph" w:customStyle="1" w:styleId="programcode">
    <w:name w:val="programcode"/>
    <w:basedOn w:val="Normal"/>
    <w:rsid w:val="00001D9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line="170" w:lineRule="exact"/>
      <w:ind w:left="227" w:firstLine="0"/>
      <w:contextualSpacing/>
      <w:jc w:val="left"/>
    </w:pPr>
    <w:rPr>
      <w:rFonts w:ascii="Courier" w:hAnsi="Courier"/>
      <w:sz w:val="14"/>
      <w:szCs w:val="14"/>
    </w:rPr>
  </w:style>
  <w:style w:type="paragraph" w:customStyle="1" w:styleId="referenceitem">
    <w:name w:val="referenceitem"/>
    <w:basedOn w:val="Normal"/>
    <w:rsid w:val="00F829D8"/>
    <w:pPr>
      <w:spacing w:line="220" w:lineRule="exact"/>
      <w:ind w:left="340" w:hanging="340"/>
    </w:pPr>
    <w:rPr>
      <w:sz w:val="18"/>
    </w:rPr>
  </w:style>
  <w:style w:type="paragraph" w:customStyle="1" w:styleId="runninghead-left">
    <w:name w:val="running head - left"/>
    <w:basedOn w:val="Encabezado"/>
    <w:link w:val="runninghead-leftZchn"/>
    <w:rsid w:val="007608F0"/>
    <w:rPr>
      <w:szCs w:val="18"/>
    </w:rPr>
  </w:style>
  <w:style w:type="paragraph" w:customStyle="1" w:styleId="runninghead-right">
    <w:name w:val="running head - right"/>
    <w:basedOn w:val="Encabezado"/>
    <w:rsid w:val="007608F0"/>
    <w:pPr>
      <w:jc w:val="right"/>
    </w:pPr>
    <w:rPr>
      <w:bCs/>
      <w:szCs w:val="18"/>
    </w:rPr>
  </w:style>
  <w:style w:type="character" w:styleId="Nmerodepgina">
    <w:name w:val="page number"/>
    <w:basedOn w:val="Fuentedeprrafopredeter"/>
    <w:rsid w:val="00210248"/>
    <w:rPr>
      <w:sz w:val="18"/>
    </w:rPr>
  </w:style>
  <w:style w:type="paragraph" w:customStyle="1" w:styleId="tablecaption">
    <w:name w:val="table caption"/>
    <w:basedOn w:val="Normal"/>
    <w:next w:val="Normal"/>
    <w:rsid w:val="00454DD4"/>
    <w:pPr>
      <w:keepNext/>
      <w:keepLines/>
      <w:spacing w:before="100" w:after="60" w:line="220" w:lineRule="exact"/>
      <w:ind w:firstLine="0"/>
      <w:jc w:val="center"/>
    </w:pPr>
    <w:rPr>
      <w:sz w:val="18"/>
      <w:lang w:val="de-DE"/>
    </w:rPr>
  </w:style>
  <w:style w:type="paragraph" w:customStyle="1" w:styleId="Ttulo10">
    <w:name w:val="Título1"/>
    <w:basedOn w:val="p1a"/>
    <w:next w:val="author"/>
    <w:rsid w:val="007608F0"/>
    <w:pPr>
      <w:keepNext/>
      <w:keepLines/>
      <w:pageBreakBefore/>
      <w:suppressAutoHyphens/>
      <w:spacing w:after="460" w:line="348" w:lineRule="exact"/>
      <w:jc w:val="center"/>
    </w:pPr>
    <w:rPr>
      <w:b/>
      <w:sz w:val="28"/>
    </w:rPr>
  </w:style>
  <w:style w:type="paragraph" w:customStyle="1" w:styleId="keywords">
    <w:name w:val="keywords"/>
    <w:basedOn w:val="abstract"/>
    <w:rsid w:val="00001D94"/>
    <w:pPr>
      <w:spacing w:before="240"/>
      <w:jc w:val="left"/>
    </w:pPr>
  </w:style>
  <w:style w:type="paragraph" w:customStyle="1" w:styleId="e-mail">
    <w:name w:val="e-mail"/>
    <w:basedOn w:val="address"/>
    <w:next w:val="address"/>
    <w:rsid w:val="009A411B"/>
    <w:rPr>
      <w:rFonts w:ascii="Courier" w:hAnsi="Courier"/>
    </w:rPr>
  </w:style>
  <w:style w:type="character" w:customStyle="1" w:styleId="EncabezadoCar">
    <w:name w:val="Encabezado Car"/>
    <w:basedOn w:val="Fuentedeprrafopredeter"/>
    <w:link w:val="Encabezado"/>
    <w:uiPriority w:val="99"/>
    <w:rsid w:val="007608F0"/>
    <w:rPr>
      <w:sz w:val="18"/>
      <w:lang w:val="en-US" w:eastAsia="de-DE" w:bidi="ar-SA"/>
    </w:rPr>
  </w:style>
  <w:style w:type="character" w:customStyle="1" w:styleId="runninghead-leftZchn">
    <w:name w:val="running head - left Zchn"/>
    <w:basedOn w:val="EncabezadoCar"/>
    <w:link w:val="runninghead-left"/>
    <w:rsid w:val="007608F0"/>
    <w:rPr>
      <w:sz w:val="18"/>
      <w:szCs w:val="18"/>
      <w:lang w:val="en-US" w:eastAsia="de-DE" w:bidi="ar-SA"/>
    </w:rPr>
  </w:style>
  <w:style w:type="paragraph" w:styleId="Textosinformato">
    <w:name w:val="Plain Text"/>
    <w:basedOn w:val="Normal"/>
    <w:link w:val="TextosinformatoCar"/>
    <w:rsid w:val="0035112D"/>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35112D"/>
    <w:rPr>
      <w:rFonts w:ascii="Consolas" w:hAnsi="Consolas"/>
      <w:sz w:val="21"/>
      <w:szCs w:val="21"/>
      <w:lang w:val="en-US"/>
    </w:rPr>
  </w:style>
  <w:style w:type="paragraph" w:styleId="Textodeglobo">
    <w:name w:val="Balloon Text"/>
    <w:basedOn w:val="Normal"/>
    <w:link w:val="TextodegloboCar"/>
    <w:rsid w:val="00C064A4"/>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C064A4"/>
    <w:rPr>
      <w:rFonts w:ascii="Tahoma" w:hAnsi="Tahoma" w:cs="Tahoma"/>
      <w:sz w:val="16"/>
      <w:szCs w:val="16"/>
      <w:lang w:val="en-US"/>
    </w:rPr>
  </w:style>
  <w:style w:type="table" w:styleId="Tablaconcuadrcula">
    <w:name w:val="Table Grid"/>
    <w:basedOn w:val="Tablanormal"/>
    <w:rsid w:val="00F43471"/>
    <w:rPr>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6F3C87"/>
    <w:rPr>
      <w:lang w:val="en-US"/>
    </w:rPr>
  </w:style>
  <w:style w:type="paragraph" w:styleId="Prrafodelista">
    <w:name w:val="List Paragraph"/>
    <w:basedOn w:val="Normal"/>
    <w:uiPriority w:val="34"/>
    <w:qFormat/>
    <w:rsid w:val="00AD2E51"/>
    <w:pPr>
      <w:ind w:left="720"/>
      <w:contextualSpacing/>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ompact">
    <w:name w:val="Compact"/>
    <w:basedOn w:val="Normal"/>
    <w:qFormat/>
    <w:pPr>
      <w:spacing w:before="20" w:after="20" w:line="184" w:lineRule="exact"/>
      <w:ind w:firstLine="0"/>
      <w:contextualSpacing/>
    </w:pPr>
    <w:rPr>
      <w:sz w:val="16"/>
      <w:szCs w:val="16"/>
    </w:rPr>
  </w:style>
  <w:style w:type="table" w:customStyle="1" w:styleId="Table">
    <w:name w:val="Table"/>
    <w:basedOn w:val="TableNormal"/>
    <w:uiPriority w:val="59"/>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72" w:type="dxa"/>
        <w:bottom w:w="28"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29">
      <w:bodyDiv w:val="1"/>
      <w:marLeft w:val="0"/>
      <w:marRight w:val="0"/>
      <w:marTop w:val="0"/>
      <w:marBottom w:val="0"/>
      <w:divBdr>
        <w:top w:val="none" w:sz="0" w:space="0" w:color="auto"/>
        <w:left w:val="none" w:sz="0" w:space="0" w:color="auto"/>
        <w:bottom w:val="none" w:sz="0" w:space="0" w:color="auto"/>
        <w:right w:val="none" w:sz="0" w:space="0" w:color="auto"/>
      </w:divBdr>
      <w:divsChild>
        <w:div w:id="668338083">
          <w:marLeft w:val="547"/>
          <w:marRight w:val="0"/>
          <w:marTop w:val="144"/>
          <w:marBottom w:val="0"/>
          <w:divBdr>
            <w:top w:val="none" w:sz="0" w:space="0" w:color="auto"/>
            <w:left w:val="none" w:sz="0" w:space="0" w:color="auto"/>
            <w:bottom w:val="none" w:sz="0" w:space="0" w:color="auto"/>
            <w:right w:val="none" w:sz="0" w:space="0" w:color="auto"/>
          </w:divBdr>
        </w:div>
        <w:div w:id="1763448250">
          <w:marLeft w:val="547"/>
          <w:marRight w:val="0"/>
          <w:marTop w:val="144"/>
          <w:marBottom w:val="0"/>
          <w:divBdr>
            <w:top w:val="none" w:sz="0" w:space="0" w:color="auto"/>
            <w:left w:val="none" w:sz="0" w:space="0" w:color="auto"/>
            <w:bottom w:val="none" w:sz="0" w:space="0" w:color="auto"/>
            <w:right w:val="none" w:sz="0" w:space="0" w:color="auto"/>
          </w:divBdr>
        </w:div>
        <w:div w:id="340856021">
          <w:marLeft w:val="547"/>
          <w:marRight w:val="0"/>
          <w:marTop w:val="144"/>
          <w:marBottom w:val="0"/>
          <w:divBdr>
            <w:top w:val="none" w:sz="0" w:space="0" w:color="auto"/>
            <w:left w:val="none" w:sz="0" w:space="0" w:color="auto"/>
            <w:bottom w:val="none" w:sz="0" w:space="0" w:color="auto"/>
            <w:right w:val="none" w:sz="0" w:space="0" w:color="auto"/>
          </w:divBdr>
        </w:div>
        <w:div w:id="1787576473">
          <w:marLeft w:val="547"/>
          <w:marRight w:val="0"/>
          <w:marTop w:val="144"/>
          <w:marBottom w:val="0"/>
          <w:divBdr>
            <w:top w:val="none" w:sz="0" w:space="0" w:color="auto"/>
            <w:left w:val="none" w:sz="0" w:space="0" w:color="auto"/>
            <w:bottom w:val="none" w:sz="0" w:space="0" w:color="auto"/>
            <w:right w:val="none" w:sz="0" w:space="0" w:color="auto"/>
          </w:divBdr>
        </w:div>
        <w:div w:id="471213533">
          <w:marLeft w:val="547"/>
          <w:marRight w:val="0"/>
          <w:marTop w:val="144"/>
          <w:marBottom w:val="0"/>
          <w:divBdr>
            <w:top w:val="none" w:sz="0" w:space="0" w:color="auto"/>
            <w:left w:val="none" w:sz="0" w:space="0" w:color="auto"/>
            <w:bottom w:val="none" w:sz="0" w:space="0" w:color="auto"/>
            <w:right w:val="none" w:sz="0" w:space="0" w:color="auto"/>
          </w:divBdr>
        </w:div>
      </w:divsChild>
    </w:div>
    <w:div w:id="1516069049">
      <w:bodyDiv w:val="1"/>
      <w:marLeft w:val="0"/>
      <w:marRight w:val="0"/>
      <w:marTop w:val="0"/>
      <w:marBottom w:val="0"/>
      <w:divBdr>
        <w:top w:val="none" w:sz="0" w:space="0" w:color="auto"/>
        <w:left w:val="none" w:sz="0" w:space="0" w:color="auto"/>
        <w:bottom w:val="none" w:sz="0" w:space="0" w:color="auto"/>
        <w:right w:val="none" w:sz="0" w:space="0" w:color="auto"/>
      </w:divBdr>
      <w:divsChild>
        <w:div w:id="2036275013">
          <w:marLeft w:val="547"/>
          <w:marRight w:val="0"/>
          <w:marTop w:val="144"/>
          <w:marBottom w:val="0"/>
          <w:divBdr>
            <w:top w:val="none" w:sz="0" w:space="0" w:color="auto"/>
            <w:left w:val="none" w:sz="0" w:space="0" w:color="auto"/>
            <w:bottom w:val="none" w:sz="0" w:space="0" w:color="auto"/>
            <w:right w:val="none" w:sz="0" w:space="0" w:color="auto"/>
          </w:divBdr>
        </w:div>
        <w:div w:id="1664164050">
          <w:marLeft w:val="547"/>
          <w:marRight w:val="0"/>
          <w:marTop w:val="144"/>
          <w:marBottom w:val="0"/>
          <w:divBdr>
            <w:top w:val="none" w:sz="0" w:space="0" w:color="auto"/>
            <w:left w:val="none" w:sz="0" w:space="0" w:color="auto"/>
            <w:bottom w:val="none" w:sz="0" w:space="0" w:color="auto"/>
            <w:right w:val="none" w:sz="0" w:space="0" w:color="auto"/>
          </w:divBdr>
        </w:div>
        <w:div w:id="696471438">
          <w:marLeft w:val="547"/>
          <w:marRight w:val="0"/>
          <w:marTop w:val="144"/>
          <w:marBottom w:val="0"/>
          <w:divBdr>
            <w:top w:val="none" w:sz="0" w:space="0" w:color="auto"/>
            <w:left w:val="none" w:sz="0" w:space="0" w:color="auto"/>
            <w:bottom w:val="none" w:sz="0" w:space="0" w:color="auto"/>
            <w:right w:val="none" w:sz="0" w:space="0" w:color="auto"/>
          </w:divBdr>
        </w:div>
        <w:div w:id="1064178273">
          <w:marLeft w:val="547"/>
          <w:marRight w:val="0"/>
          <w:marTop w:val="144"/>
          <w:marBottom w:val="0"/>
          <w:divBdr>
            <w:top w:val="none" w:sz="0" w:space="0" w:color="auto"/>
            <w:left w:val="none" w:sz="0" w:space="0" w:color="auto"/>
            <w:bottom w:val="none" w:sz="0" w:space="0" w:color="auto"/>
            <w:right w:val="none" w:sz="0" w:space="0" w:color="auto"/>
          </w:divBdr>
        </w:div>
        <w:div w:id="881138075">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onge\Mis%20documentos\raul\USM\MTI\Graduacion\Graduaci&#243;n-2008-09\Final\sv-ln20090127.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0A9CF-D559-0D40-812F-5B4E5CCC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Settings\rmonge\Mis documentos\raul\USM\MTI\Graduacion\Graduación-2008-09\Final\sv-ln20090127.dotm</Template>
  <TotalTime>248</TotalTime>
  <Pages>6</Pages>
  <Words>1646</Words>
  <Characters>9054</Characters>
  <Application>Microsoft Office Word</Application>
  <DocSecurity>0</DocSecurity>
  <Lines>75</Lines>
  <Paragraphs>21</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rmonge</dc:creator>
  <cp:keywords/>
  <dc:description>Formats and macros for Springer Lecture Notes</dc:description>
  <cp:lastModifiedBy>Raul Monge</cp:lastModifiedBy>
  <cp:revision>28</cp:revision>
  <dcterms:created xsi:type="dcterms:W3CDTF">2013-09-26T19:17:00Z</dcterms:created>
  <dcterms:modified xsi:type="dcterms:W3CDTF">2023-08-25T21:35:00Z</dcterms:modified>
</cp:coreProperties>
</file>