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y 30 del dominio en inglés;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mejora que no replica sobre el corpus mayor. El mejor modelo local alcanza 81,47 % de F1 en español y 90,16 % en el dominio, preservando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and 30 domain ones in English;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an improvement that does not replicate on the larger corpus. The best local model reaches 81.47 % F1 in Spanish and 90.16 % on the domain corpus, preserving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 de los resultados</w:t>
      </w:r>
    </w:p>
    <w:p>
      <w:pPr>
        <w:numPr>
          <w:ilvl w:val="0"/>
          <w:numId w:val="0"/>
        </w:numPr>
        <w:pStyle w:val="numbereditem"/>
      </w:pPr>
      <w:r>
        <w:t>Conclusiones y trabajo futuro</w:t>
      </w:r>
    </w:p>
    <w:p>
      <w:pPr>
        <w:numPr>
          <w:ilvl w:val="0"/>
          <w:numId w:val="0"/>
        </w:numPr>
        <w:pStyle w:val="bulletitem"/>
      </w:pPr>
      <w:r>
        <w:t>Referencias</w:t>
      </w:r>
    </w:p>
    <w:p>
      <w:pPr>
        <w:numPr>
          <w:ilvl w:val="0"/>
          <w:numId w:val="0"/>
        </w:numPr>
        <w:pStyle w:val="bullet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numbereditem"/>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dxa" w:w="8838"/>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es menor: el </w:t>
      </w:r>
      <w:r>
        <w:rPr>
          <w:b/>
        </w:rPr>
        <w:t>66,0 %</w:t>
      </w:r>
      <w:r>
        <w:t xml:space="preserve"> de los falsos positivos del estudio, 12 852 de 19 464, proceden de esa categoría, según recoge la Figura 1. La cifra cubre los veintiséis grupos que sostienen la Tabla 7 y está desglosada por grupo en </w:t>
      </w:r>
      <w:r>
        <w:t>results/COMPOSICION_FP_20260908/</w:t>
      </w:r>
      <w:r>
        <w:t>.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desde el 8 de septiembre de 2026: recuperadas de CoNLL-2002 las localizaciones que su anotación ya traía y anotados a mano los quince artículos restantes, el fichero pasa a tener 545 localizaciones en 119 de los 120 registros, y el único que queda sin ninguna no menciona ningún lugar. Las cifras de este informe son anteriores a esa corrección y se conservan tal como se midieron; sustituirlas exige volver a inferir, que es lo que hará la re-corrida pendiente.</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16"/>
                    <a:stretch>
                      <a:fillRect/>
                    </a:stretch>
                  </pic:blipFill>
                  <pic:spPr>
                    <a:xfrm>
                      <a:off x="0" y="0"/>
                      <a:ext cx="5612130" cy="1159663"/>
                    </a:xfrm>
                    <a:prstGeom prst="rect"/>
                  </pic:spPr>
                </pic:pic>
              </a:graphicData>
            </a:graphic>
          </wp:inline>
        </w:drawing>
      </w:r>
    </w:p>
    <w:p>
      <w:pPr>
        <w:numPr>
          <w:ilvl w:val="0"/>
          <w:numId w:val="0"/>
        </w:numPr>
        <w:pStyle w:val="figurecaption"/>
      </w:pPr>
      <w:r>
        <w:t xml:space="preserve">Figura 1. Composición de los falsos positivos del estudio sobre N=120, en los veintiséis grupos que sostienen la Tabla 7. Dos de cada tres proceden de una categoría que el corpus no anota y en la que, por tanto, ningún modelo podía acertar.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la exhaustividad más alta entre los modelos locales la obtiene gemma4:latest con prompt few-shot en español (86.87%), por delante de gemma4:31b (86.80%) y de su compilación MLX (86.76%), pese a ser un modelo de un tercio del tamaño; la variante alojada alcanza un valor equivalente (86.88%). Es decir, las cuatro configuraciones se agrupan en menos de un décimo de punto, y lo que separa a gemma4:31b no es la exhaustividad sino su tasa de alucinación, de 0.16%.</w:t>
      </w:r>
    </w:p>
    <w:p>
      <w:pPr>
        <w:numPr>
          <w:ilvl w:val="0"/>
          <w:numId w:val="0"/>
        </w:numPr>
        <w:pStyle w:val="p1a"/>
      </w:pPr>
      <w:r>
        <w:rPr>
          <w:b/>
        </w:rPr>
        <w:t>Hallazgo 3:</w:t>
      </w:r>
      <w:r>
        <w:t xml:space="preserve"> deepseek-r1:1.5b debe descartarse para producción: F1 de 27.65% y Recall de solo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p1a"/>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5.3.1 Validación Estadística sobre Corpus Real N=120 (estudio completo)</w:t>
      </w:r>
    </w:p>
    <w:p>
      <w:pPr>
        <w:numPr>
          <w:ilvl w:val="0"/>
          <w:numId w:val="0"/>
        </w:numPr>
        <w:pStyle w:val="p1a"/>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del 8 de septiembre de 2026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no es representable—, de modo que se rechaza la hipótesis nula con un margen mayor que sobre el corpus del dominio, donde la comparación entre las dos compilaciones de 31B no alcanzaba significancia. El post-hoc de Tukey identifica 217 comparaciones significativas de las 325 posibles; pero al contrastar cada modelo consigo mismo (extracción directa frente a KB RAG) la mejora solo supera la corrección por comparaciones múltiples en </w:t>
      </w:r>
      <w:r>
        <w:t>nemotron-mini:4b</w:t>
      </w:r>
      <w:r>
        <w:t xml:space="preserve">, con 12,26 puntos. </w:t>
      </w:r>
      <w:r>
        <w:t>llama3.2:latest</w:t>
      </w:r>
      <w:r>
        <w:t>, que sobre el corpus publicado alcanzaba significancia con 10,82 puntos, queda sobre este corpus en 6,73 puntos y p=0,2334: dentro del margen de comparaciones múltiples, la mejora deja de distinguirse del azar. Conviene declarar una limitación del contraste: los veintiséis grupos evalúan los mismos 113 artículos, de modo que las observaciones están apareadas y un modelo de medidas repetidas sería el procedimiento estrictamente correcto. La prueba de Levene sí detecta heterocedasticidad (p = 1,39 × 10⁻¹¹), a diferencia de sobre el corpus publicado: con el defecto de anotación de Locations corregido, la dispersión entre modelos deja de ser uniforme. No invalida el ANOVA por sí sola —el diseño está balanceado, con 2 938 observaciones repartidas en 113 por grupo, lo que hace robusto el estadístico F—, pero refuerza la limitación anterior: el procedimiento apropiado no es este ANOVA de una vía. Y tratar como independientes unas observaciones apareadas hace el contraste conservador: repetido con la prueba de Friedman, que es la que corresponde a un diseño de medidas repetidas, el rechazo se sostiene con holgura (χ² = 1 802,3671), de modo que la conclusión no depende de esa elección.</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 La Figura 2 recoge ambas lecturas: el desplazamiento de cada modelo al añadir la recuperación y la relación entre esa mejora y el desempeño de partida.</w:t>
      </w:r>
    </w:p>
    <w:p>
      <w:pPr>
        <w:numPr>
          <w:ilvl w:val="0"/>
          <w:numId w:val="0"/>
        </w:numPr>
        <w:pStyle w:val="Normal"/>
      </w:pPr>
      <w:r>
        <w:t xml:space="preserve">Conviene cuantificar esa relación y declarar hasta dónde llega su respaldo, porque de ella depende el hallazgo. Correlacionando el F1 base de cada modelo con la mejora que le aporta la recuperación se obtiene un coeficiente de </w:t>
      </w:r>
      <w:r>
        <w:rPr>
          <w:b/>
        </w:rPr>
        <w:t>Spearman de −0,0879</w:t>
      </w:r>
      <w:r>
        <w:t xml:space="preserve"> (p = 0,7752) y uno de </w:t>
      </w:r>
      <w:r>
        <w:rPr>
          <w:b/>
        </w:rPr>
        <w:t>Pearson de −0,4816</w:t>
      </w:r>
      <w:r>
        <w:t xml:space="preserve"> (p = 0,0956). A diferencia de sobre el corpus publicado, donde los dos coeficientes discrepaban en el veredicto, aquí </w:t>
      </w:r>
      <w:r>
        <w:rPr>
          <w:b/>
        </w:rPr>
        <w:t>coinciden</w:t>
      </w:r>
      <w:r>
        <w:t xml:space="preserve">: ninguno alcanza significancia al umbral convencional del 5 %. Retirado </w:t>
      </w:r>
      <w:r>
        <w:t>nemotron-mini:4b</w:t>
      </w:r>
      <w:r>
        <w:t xml:space="preserve"> de la muestra, el Pearson pasa a +0,0120 (p = 0,971), lo que confirma que la relación con la capacidad depende casi enteramente de ese modelo y no es un patrón generalizable a los otros doce. La afirmación que sigue debe leerse, por tanto, no como una relación con la capacidad sino como el beneficio demostrable de un único modelo, el más débil del estudio.</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7"/>
                    <a:stretch>
                      <a:fillRect/>
                    </a:stretch>
                  </pic:blipFill>
                  <pic:spPr>
                    <a:xfrm>
                      <a:off x="0" y="0"/>
                      <a:ext cx="5612130" cy="2521179"/>
                    </a:xfrm>
                    <a:prstGeom prst="rect"/>
                  </pic:spPr>
                </pic:pic>
              </a:graphicData>
            </a:graphic>
          </wp:inline>
        </w:drawing>
      </w:r>
    </w:p>
    <w:p>
      <w:pPr>
        <w:numPr>
          <w:ilvl w:val="0"/>
          <w:numId w:val="0"/>
        </w:numPr>
        <w:pStyle w:val="figure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p1a"/>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numbereditem"/>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numbereditem"/>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numbereditem"/>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numbereditem"/>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 [38].</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numbereditem"/>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según el criterio de artículo afectado, va de −0,082 a +0,155 de F1 cuando la corrupción está en la anotación de referencia y de −0,267 a +0,015 cuando está en el texto de entrada (Anexo H.3).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numbereditem"/>
      </w:pPr>
      <w:r>
        <w:t>Recuperación de las localizaciones que el conversor descarta (Prioridad Alta): los prompts del sistema solicitan</w:t>
      </w:r>
    </w:p>
    <w:p>
      <w:pPr>
        <w:numPr>
          <w:ilvl w:val="0"/>
          <w:numId w:val="0"/>
        </w:numPr>
        <w:pStyle w:val="Normal"/>
      </w:pPr>
      <w:r>
        <w:t xml:space="preserve">tres categorías de entidad, personas, organizaciones y localizaciones, pero ninguno de los tres corpus anota la tercera. Como se explica en §3.3, eso convierte toda localización correctamente identificada en un falso positivo, y de ahí procede el 66,0 % de los falsos positivos del estudio. La medición restringida a las dos categorías anotadas, que este informe publica en paralelo, corrige el efecto sin reejecutar inferencia, pero no sustituye a la solución de fondo. Y esa solución es más barata de lo que parece: para 105 de los 120 artículos las localizaciones </w:t>
      </w:r>
      <w:r>
        <w:rPr>
          <w:b/>
        </w:rPr>
        <w:t>ya están anotadas</w:t>
      </w:r>
      <w:r>
        <w:t xml:space="preserve"> en CoNLL-2002 y basta con dejar de descartarlas al convertir, porque el conversor filtra las etiquetas por personas y organizaciones y escribe la lista de localizaciones como constante vacía. Solo los quince artículos de Kleptotrace exigirían anotación nueva. Medir las tres categorías es la única vía para saber cuánto de la precisión aparente se debe a la habilidad del modelo y cuánto al vacío de la referencia.</w:t>
      </w:r>
    </w:p>
    <w:p>
      <w:pPr>
        <w:numPr>
          <w:ilvl w:val="0"/>
          <w:numId w:val="0"/>
        </w:numPr>
        <w:pStyle w:val="numbereditem"/>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numbereditem"/>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numbereditem"/>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referenceitem"/>
      </w:pPr>
      <w:r>
        <w:t>[3] S. Wu et al., "BloombergGPT: A Large Language Model for Finance," 2023, arXiv:2303.17564. [Online]. Available: https://arxiv.org/abs/2303.17564</w:t>
      </w:r>
    </w:p>
    <w:p>
      <w:pPr>
        <w:numPr>
          <w:ilvl w:val="0"/>
          <w:numId w:val="0"/>
        </w:numPr>
        <w:pStyle w:val="referenceitem"/>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referenceitem"/>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referenceitem"/>
      </w:pPr>
      <w:r>
        <w:t>[6] Y. Gao et al., "Retrieval-Augmented Generation for Large Language Models: A Survey," 2024, arXiv:2312.10997. [Online]. Available: https://arxiv.org/abs/2312.10997</w:t>
      </w:r>
    </w:p>
    <w:p>
      <w:pPr>
        <w:numPr>
          <w:ilvl w:val="0"/>
          <w:numId w:val="0"/>
        </w:numPr>
        <w:pStyle w:val="referenceitem"/>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referenceitem"/>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referenceitem"/>
      </w:pPr>
      <w:r>
        <w:t>[9] P. Islam, A. Kannappan, D. Kiela, R. Qian, N. Scherrer, and B. Vidgen, "FinanceBench: A New Benchmark for Financial Question Answering," 2023, arXiv:2311.11944. [En línea]. Disponible: https://arxiv.org/abs/2311.11944</w:t>
      </w:r>
    </w:p>
    <w:p>
      <w:pPr>
        <w:numPr>
          <w:ilvl w:val="0"/>
          <w:numId w:val="0"/>
        </w:numPr>
        <w:pStyle w:val="referenceitem"/>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referenceitem"/>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referenceitem"/>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referenceitem"/>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referenceitem"/>
      </w:pPr>
      <w:r>
        <w:t xml:space="preserve">[16] R. Schwartz et al., "Green AI," </w:t>
      </w:r>
      <w:r>
        <w:rPr>
          <w:i/>
        </w:rPr>
        <w:t>Communications of the ACM</w:t>
      </w:r>
      <w:r>
        <w:t>, vol. 63, no. 12, pp. 54-63, 2020. [En línea]. Disponible: https://doi.org/10.1145/3381831</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referenceitem"/>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referenceitem"/>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referenceitem"/>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referenceitem"/>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referenceitem"/>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referenceitem"/>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referenceitem"/>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referenceitem"/>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referenceitem"/>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referenceitem"/>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referenceitem"/>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referenceitem"/>
      </w:pPr>
      <w:r>
        <w:t xml:space="preserve">[29] Ollama. </w:t>
      </w:r>
      <w:r>
        <w:rPr>
          <w:i/>
        </w:rPr>
        <w:t>Ollama</w:t>
      </w:r>
      <w:r>
        <w:t xml:space="preserve"> [Online]. Available: https://github.com/ollama/ollama (accedido: 8 sep. 2026).</w:t>
      </w:r>
    </w:p>
    <w:p>
      <w:pPr>
        <w:numPr>
          <w:ilvl w:val="0"/>
          <w:numId w:val="0"/>
        </w:numPr>
        <w:pStyle w:val="referenceitem"/>
      </w:pPr>
      <w:r>
        <w:t xml:space="preserve">[30] llama.cpp contributors. </w:t>
      </w:r>
      <w:r>
        <w:rPr>
          <w:i/>
        </w:rPr>
        <w:t>llama.cpp: LLM inference in C/C++</w:t>
      </w:r>
      <w:r>
        <w:t xml:space="preserve"> [Online]. Available: https://github.com/ggml-org/llama.cpp (accedido: 8 sep. 2026).</w:t>
      </w:r>
    </w:p>
    <w:p>
      <w:pPr>
        <w:numPr>
          <w:ilvl w:val="0"/>
          <w:numId w:val="0"/>
        </w:numPr>
        <w:pStyle w:val="referenceitem"/>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referenceitem"/>
      </w:pPr>
      <w:r>
        <w:t xml:space="preserve">[32] Chroma. </w:t>
      </w:r>
      <w:r>
        <w:rPr>
          <w:i/>
        </w:rPr>
        <w:t>chroma: search infrastructure for AI</w:t>
      </w:r>
      <w:r>
        <w:t xml:space="preserve"> [Online]. Available: https://github.com/chroma-core/chroma (accedido: 8 sep. 2026).</w:t>
      </w:r>
    </w:p>
    <w:p>
      <w:pPr>
        <w:numPr>
          <w:ilvl w:val="0"/>
          <w:numId w:val="0"/>
        </w:numPr>
        <w:pStyle w:val="referenceitem"/>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referenceitem"/>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referenceitem"/>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referenceitem"/>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referenceitem"/>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referenceitem"/>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referenceitem"/>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p1a"/>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dxa" w:w="8838"/>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program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program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p1a"/>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p1a"/>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p1a"/>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p1a"/>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ulletitem"/>
      </w:pPr>
      <w:r>
        <w:rPr>
          <w:b/>
        </w:rPr>
        <w:t>Por entidad de referencia corrupta</w:t>
      </w:r>
      <w:r>
        <w:t>: 89 artículos afectados y 31 no.</w:t>
      </w:r>
    </w:p>
    <w:p>
      <w:pPr>
        <w:numPr>
          <w:ilvl w:val="0"/>
          <w:numId w:val="0"/>
        </w:numPr>
        <w:pStyle w:val="bulletitem"/>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dxa" w:w="8838"/>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p1a"/>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p1a"/>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dxa" w:w="8838"/>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p1a"/>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20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de modo que ocho de los veintiséis grupos disponen de dos o tres corridas. La columna «Corrida» de la tabla anterior indica cuál sostiene cada fila; este apartado declara las restantes. La Tabla 20 las recoge todas.</w:t>
      </w:r>
    </w:p>
    <w:p>
      <w:pPr>
        <w:numPr>
          <w:ilvl w:val="0"/>
          <w:numId w:val="0"/>
        </w:numPr>
        <w:pStyle w:val="Normal"/>
      </w:pPr>
      <w:r>
        <w:t xml:space="preserve">Conviene separar dos situaciones que no son la misma. Seis de esos ocho grupos tienen una corrida previa que </w:t>
      </w:r>
      <w:r>
        <w:rPr>
          <w:b/>
        </w:rPr>
        <w:t>no es una medición alternativa sino una medición inválida</w:t>
      </w:r>
      <w:r>
        <w:t xml:space="preserve">: el modelo no llegó a responder en una parte sustancial del corpus, de modo que sus cifras no describen su desempeño sino el de un arnés mal configurado. Esas cifras </w:t>
      </w:r>
      <w:r>
        <w:rPr>
          <w:b/>
        </w:rPr>
        <w:t>no se publican en ninguna parte de este informe</w:t>
      </w:r>
      <w:r>
        <w:t>, porque un número que no mide lo que dice medir no es un resultado y ofrecerlo junto al bueno invitaría a leerlos como dos estimaciones entre las que se ha elegido. Lo que sí se declara es que la corrida existió, por qué se descartó y con qué evidencia. Los dos grupos restantes sí son repeticiones válidas, y ahí se dan ambas cifras.</w:t>
      </w:r>
    </w:p>
    <w:p>
      <w:pPr>
        <w:numPr>
          <w:ilvl w:val="0"/>
          <w:numId w:val="0"/>
        </w:numPr>
        <w:pStyle w:val="tablecaption"/>
      </w:pPr>
      <w:r>
        <w:t>Tabla 20. Grupos con más de una corrida sobre N=120, con el motivo de la sustitución y la evidencia</w:t>
      </w:r>
    </w:p>
    <w:tbl>
      <w:tblPr>
        <w:tblStyle w:val="Table"/>
        <w:tblW w:type="dxa" w:w="8838"/>
        <w:tblLayout w:type="fixed"/>
        <w:tblLook w:firstRow="1" w:lastRow="0" w:firstColumn="0" w:lastColumn="0" w:noHBand="0" w:noVBand="0" w:val="0020"/>
      </w:tblPr>
      <w:tblGrid>
        <w:gridCol w:w="2270"/>
        <w:gridCol w:w="1513"/>
        <w:gridCol w:w="900"/>
        <w:gridCol w:w="1513"/>
        <w:gridCol w:w="2642"/>
      </w:tblGrid>
      <w:tr>
        <w:trPr>
          <w:tblHeader w:val="on"/>
        </w:trPr>
        <w:tc>
          <w:tcPr>
            <w:tcW w:type="dxa" w:w="2270"/>
          </w:tcPr>
          <w:p>
            <w:pPr>
              <w:pStyle w:val="Compact"/>
              <w:jc w:val="left"/>
            </w:pPr>
            <w:r>
              <w:rPr>
                <w:b/>
              </w:rPr>
              <w:t>Grupo</w:t>
            </w:r>
          </w:p>
        </w:tc>
        <w:tc>
          <w:tcPr>
            <w:tcW w:type="dxa" w:w="1513"/>
          </w:tcPr>
          <w:p>
            <w:pPr>
              <w:pStyle w:val="Compact"/>
              <w:jc w:val="left"/>
            </w:pPr>
            <w:r>
              <w:rPr>
                <w:b/>
              </w:rPr>
              <w:t>Corrida publicada</w:t>
            </w:r>
          </w:p>
        </w:tc>
        <w:tc>
          <w:tcPr>
            <w:tcW w:type="dxa" w:w="900"/>
          </w:tcPr>
          <w:p>
            <w:pPr>
              <w:pStyle w:val="Compact"/>
              <w:jc w:val="left"/>
            </w:pPr>
            <w:r>
              <w:rPr>
                <w:b/>
              </w:rPr>
              <w:t>F1</w:t>
            </w:r>
          </w:p>
        </w:tc>
        <w:tc>
          <w:tcPr>
            <w:tcW w:type="dxa" w:w="1513"/>
          </w:tcPr>
          <w:p>
            <w:pPr>
              <w:pStyle w:val="Compact"/>
              <w:jc w:val="center"/>
            </w:pPr>
            <w:r>
              <w:rPr>
                <w:b/>
              </w:rPr>
              <w:t>Corrida sustituida</w:t>
            </w:r>
          </w:p>
        </w:tc>
        <w:tc>
          <w:tcPr>
            <w:tcW w:type="dxa" w:w="2642"/>
          </w:tcPr>
          <w:p>
            <w:pPr>
              <w:pStyle w:val="Compact"/>
              <w:jc w:val="center"/>
            </w:pPr>
            <w:r>
              <w:rPr>
                <w:b/>
              </w:rPr>
              <w:t>Situación y evidencia</w:t>
            </w:r>
          </w:p>
        </w:tc>
      </w:tr>
      <w:tr>
        <w:tc>
          <w:tcPr>
            <w:tcW w:type="dxa" w:w="2270"/>
          </w:tcPr>
          <w:p>
            <w:pPr>
              <w:pStyle w:val="Compact"/>
              <w:jc w:val="left"/>
            </w:pPr>
            <w:r>
              <w:rPr>
                <w:b w:val="0"/>
              </w:rPr>
              <w:t>gemma4:12b-mlx (baseline)</w:t>
            </w:r>
          </w:p>
        </w:tc>
        <w:tc>
          <w:tcPr>
            <w:tcW w:type="dxa" w:w="1513"/>
          </w:tcPr>
          <w:p>
            <w:pPr>
              <w:pStyle w:val="Compact"/>
              <w:jc w:val="left"/>
            </w:pPr>
            <w:r>
              <w:rPr>
                <w:b w:val="0"/>
              </w:rPr>
              <w:t>afectados_thinking</w:t>
            </w:r>
          </w:p>
        </w:tc>
        <w:tc>
          <w:tcPr>
            <w:tcW w:type="dxa" w:w="900"/>
          </w:tcPr>
          <w:p>
            <w:pPr>
              <w:pStyle w:val="Compact"/>
              <w:jc w:val="left"/>
            </w:pPr>
            <w:r>
              <w:rPr>
                <w:b w:val="0"/>
              </w:rPr>
              <w:t>56,18</w:t>
            </w:r>
          </w:p>
        </w:tc>
        <w:tc>
          <w:tcPr>
            <w:tcW w:type="dxa" w:w="1513"/>
          </w:tcPr>
          <w:p>
            <w:pPr>
              <w:pStyle w:val="Compact"/>
              <w:jc w:val="center"/>
            </w:pPr>
            <w:r>
              <w:rPr>
                <w:b w:val="0"/>
              </w:rPr>
              <w:t>P3</w:t>
            </w:r>
          </w:p>
        </w:tc>
        <w:tc>
          <w:tcPr>
            <w:tcW w:type="dxa" w:w="2642"/>
          </w:tcPr>
          <w:p>
            <w:pPr>
              <w:pStyle w:val="Compact"/>
              <w:jc w:val="center"/>
            </w:pPr>
            <w:r>
              <w:rPr>
                <w:b w:val="0"/>
              </w:rPr>
              <w:t>inválida: 68 de 120 artículos sin extraer nada</w:t>
            </w:r>
          </w:p>
        </w:tc>
      </w:tr>
      <w:tr>
        <w:tc>
          <w:tcPr>
            <w:tcW w:type="dxa" w:w="2270"/>
          </w:tcPr>
          <w:p>
            <w:pPr>
              <w:pStyle w:val="Compact"/>
              <w:jc w:val="left"/>
            </w:pPr>
            <w:r>
              <w:rPr>
                <w:b w:val="0"/>
              </w:rPr>
              <w:t>gemma4:12b-mlx (KB RAG)</w:t>
            </w:r>
          </w:p>
        </w:tc>
        <w:tc>
          <w:tcPr>
            <w:tcW w:type="dxa" w:w="1513"/>
          </w:tcPr>
          <w:p>
            <w:pPr>
              <w:pStyle w:val="Compact"/>
              <w:jc w:val="left"/>
            </w:pPr>
            <w:r>
              <w:rPr>
                <w:b w:val="0"/>
              </w:rPr>
              <w:t>afectados_thinking</w:t>
            </w:r>
          </w:p>
        </w:tc>
        <w:tc>
          <w:tcPr>
            <w:tcW w:type="dxa" w:w="900"/>
          </w:tcPr>
          <w:p>
            <w:pPr>
              <w:pStyle w:val="Compact"/>
              <w:jc w:val="left"/>
            </w:pPr>
            <w:r>
              <w:rPr>
                <w:b w:val="0"/>
              </w:rPr>
              <w:t>58,46</w:t>
            </w:r>
          </w:p>
        </w:tc>
        <w:tc>
          <w:tcPr>
            <w:tcW w:type="dxa" w:w="1513"/>
          </w:tcPr>
          <w:p>
            <w:pPr>
              <w:pStyle w:val="Compact"/>
              <w:jc w:val="center"/>
            </w:pPr>
            <w:r>
              <w:rPr>
                <w:b w:val="0"/>
              </w:rPr>
              <w:t>P3</w:t>
            </w:r>
          </w:p>
        </w:tc>
        <w:tc>
          <w:tcPr>
            <w:tcW w:type="dxa" w:w="2642"/>
          </w:tcPr>
          <w:p>
            <w:pPr>
              <w:pStyle w:val="Compact"/>
              <w:jc w:val="center"/>
            </w:pPr>
            <w:r>
              <w:rPr>
                <w:b w:val="0"/>
              </w:rPr>
              <w:t>inválida: 98 de 120 artículos sin extraer nada</w:t>
            </w:r>
          </w:p>
        </w:tc>
      </w:tr>
      <w:tr>
        <w:tc>
          <w:tcPr>
            <w:tcW w:type="dxa" w:w="2270"/>
          </w:tcPr>
          <w:p>
            <w:pPr>
              <w:pStyle w:val="Compact"/>
              <w:jc w:val="left"/>
            </w:pPr>
            <w:r>
              <w:rPr>
                <w:b w:val="0"/>
              </w:rPr>
              <w:t>qwen3:8b (baseline)</w:t>
            </w:r>
          </w:p>
        </w:tc>
        <w:tc>
          <w:tcPr>
            <w:tcW w:type="dxa" w:w="1513"/>
          </w:tcPr>
          <w:p>
            <w:pPr>
              <w:pStyle w:val="Compact"/>
              <w:jc w:val="left"/>
            </w:pPr>
            <w:r>
              <w:rPr>
                <w:b w:val="0"/>
              </w:rPr>
              <w:t>qwen3_nothink</w:t>
            </w:r>
          </w:p>
        </w:tc>
        <w:tc>
          <w:tcPr>
            <w:tcW w:type="dxa" w:w="900"/>
          </w:tcPr>
          <w:p>
            <w:pPr>
              <w:pStyle w:val="Compact"/>
              <w:jc w:val="left"/>
            </w:pPr>
            <w:r>
              <w:rPr>
                <w:b w:val="0"/>
              </w:rPr>
              <w:t>48,21</w:t>
            </w:r>
          </w:p>
        </w:tc>
        <w:tc>
          <w:tcPr>
            <w:tcW w:type="dxa" w:w="1513"/>
          </w:tcPr>
          <w:p>
            <w:pPr>
              <w:pStyle w:val="Compact"/>
              <w:jc w:val="center"/>
            </w:pPr>
            <w:r>
              <w:rPr>
                <w:b w:val="0"/>
              </w:rPr>
              <w:t>P3 y 12b-mlx</w:t>
            </w:r>
          </w:p>
        </w:tc>
        <w:tc>
          <w:tcPr>
            <w:tcW w:type="dxa" w:w="2642"/>
          </w:tcPr>
          <w:p>
            <w:pPr>
              <w:pStyle w:val="Compact"/>
              <w:jc w:val="center"/>
            </w:pPr>
            <w:r>
              <w:rPr>
                <w:b w:val="0"/>
              </w:rPr>
              <w:t>inválida: 19 de 120 sin extraer nada; cobertura parcial</w:t>
            </w:r>
          </w:p>
        </w:tc>
      </w:tr>
      <w:tr>
        <w:tc>
          <w:tcPr>
            <w:tcW w:type="dxa" w:w="2270"/>
          </w:tcPr>
          <w:p>
            <w:pPr>
              <w:pStyle w:val="Compact"/>
              <w:jc w:val="left"/>
            </w:pPr>
            <w:r>
              <w:rPr>
                <w:b w:val="0"/>
              </w:rPr>
              <w:t>qwen3:8b (KB RAG)</w:t>
            </w:r>
          </w:p>
        </w:tc>
        <w:tc>
          <w:tcPr>
            <w:tcW w:type="dxa" w:w="1513"/>
          </w:tcPr>
          <w:p>
            <w:pPr>
              <w:pStyle w:val="Compact"/>
              <w:jc w:val="left"/>
            </w:pPr>
            <w:r>
              <w:rPr>
                <w:b w:val="0"/>
              </w:rPr>
              <w:t>qwen3_nothink</w:t>
            </w:r>
          </w:p>
        </w:tc>
        <w:tc>
          <w:tcPr>
            <w:tcW w:type="dxa" w:w="900"/>
          </w:tcPr>
          <w:p>
            <w:pPr>
              <w:pStyle w:val="Compact"/>
              <w:jc w:val="left"/>
            </w:pPr>
            <w:r>
              <w:rPr>
                <w:b w:val="0"/>
              </w:rPr>
              <w:t>51,46</w:t>
            </w:r>
          </w:p>
        </w:tc>
        <w:tc>
          <w:tcPr>
            <w:tcW w:type="dxa" w:w="1513"/>
          </w:tcPr>
          <w:p>
            <w:pPr>
              <w:pStyle w:val="Compact"/>
              <w:jc w:val="center"/>
            </w:pPr>
            <w:r>
              <w:rPr>
                <w:b w:val="0"/>
              </w:rPr>
              <w:t>12b-mlx y P3</w:t>
            </w:r>
          </w:p>
        </w:tc>
        <w:tc>
          <w:tcPr>
            <w:tcW w:type="dxa" w:w="2642"/>
          </w:tcPr>
          <w:p>
            <w:pPr>
              <w:pStyle w:val="Compact"/>
              <w:jc w:val="center"/>
            </w:pPr>
            <w:r>
              <w:rPr>
                <w:b w:val="0"/>
              </w:rPr>
              <w:t>inválida: 31 de 120 sin extraer nada; cobertura parcial</w:t>
            </w:r>
          </w:p>
        </w:tc>
      </w:tr>
      <w:tr>
        <w:tc>
          <w:tcPr>
            <w:tcW w:type="dxa" w:w="2270"/>
          </w:tcPr>
          <w:p>
            <w:pPr>
              <w:pStyle w:val="Compact"/>
              <w:jc w:val="left"/>
            </w:pPr>
            <w:r>
              <w:rPr>
                <w:b w:val="0"/>
              </w:rPr>
              <w:t>gpt-oss:20b (baseline)</w:t>
            </w:r>
          </w:p>
        </w:tc>
        <w:tc>
          <w:tcPr>
            <w:tcW w:type="dxa" w:w="1513"/>
          </w:tcPr>
          <w:p>
            <w:pPr>
              <w:pStyle w:val="Compact"/>
              <w:jc w:val="left"/>
            </w:pPr>
            <w:r>
              <w:rPr>
                <w:b w:val="0"/>
              </w:rPr>
              <w:t>gptoss_rerun</w:t>
            </w:r>
          </w:p>
        </w:tc>
        <w:tc>
          <w:tcPr>
            <w:tcW w:type="dxa" w:w="900"/>
          </w:tcPr>
          <w:p>
            <w:pPr>
              <w:pStyle w:val="Compact"/>
              <w:jc w:val="left"/>
            </w:pPr>
            <w:r>
              <w:rPr>
                <w:b w:val="0"/>
              </w:rPr>
              <w:t>52,39</w:t>
            </w:r>
          </w:p>
        </w:tc>
        <w:tc>
          <w:tcPr>
            <w:tcW w:type="dxa" w:w="1513"/>
          </w:tcPr>
          <w:p>
            <w:pPr>
              <w:pStyle w:val="Compact"/>
              <w:jc w:val="center"/>
            </w:pPr>
            <w:r>
              <w:rPr>
                <w:b w:val="0"/>
              </w:rPr>
              <w:t>excluidos</w:t>
            </w:r>
          </w:p>
        </w:tc>
        <w:tc>
          <w:tcPr>
            <w:tcW w:type="dxa" w:w="2642"/>
          </w:tcPr>
          <w:p>
            <w:pPr>
              <w:pStyle w:val="Compact"/>
              <w:jc w:val="center"/>
            </w:pPr>
            <w:r>
              <w:rPr>
                <w:b w:val="0"/>
              </w:rPr>
              <w:t>inválida: 27 de 120 sin extraer nada por presupuesto agotado</w:t>
            </w:r>
          </w:p>
        </w:tc>
      </w:tr>
      <w:tr>
        <w:tc>
          <w:tcPr>
            <w:tcW w:type="dxa" w:w="2270"/>
          </w:tcPr>
          <w:p>
            <w:pPr>
              <w:pStyle w:val="Compact"/>
              <w:jc w:val="left"/>
            </w:pPr>
            <w:r>
              <w:rPr>
                <w:b w:val="0"/>
              </w:rPr>
              <w:t>gpt-oss:20b (KB RAG)</w:t>
            </w:r>
          </w:p>
        </w:tc>
        <w:tc>
          <w:tcPr>
            <w:tcW w:type="dxa" w:w="1513"/>
          </w:tcPr>
          <w:p>
            <w:pPr>
              <w:pStyle w:val="Compact"/>
              <w:jc w:val="left"/>
            </w:pPr>
            <w:r>
              <w:rPr>
                <w:b w:val="0"/>
              </w:rPr>
              <w:t>gptoss_rerun</w:t>
            </w:r>
          </w:p>
        </w:tc>
        <w:tc>
          <w:tcPr>
            <w:tcW w:type="dxa" w:w="900"/>
          </w:tcPr>
          <w:p>
            <w:pPr>
              <w:pStyle w:val="Compact"/>
              <w:jc w:val="left"/>
            </w:pPr>
            <w:r>
              <w:rPr>
                <w:b w:val="0"/>
              </w:rPr>
              <w:t>55,67</w:t>
            </w:r>
          </w:p>
        </w:tc>
        <w:tc>
          <w:tcPr>
            <w:tcW w:type="dxa" w:w="1513"/>
          </w:tcPr>
          <w:p>
            <w:pPr>
              <w:pStyle w:val="Compact"/>
              <w:jc w:val="center"/>
            </w:pPr>
            <w:r>
              <w:rPr>
                <w:b w:val="0"/>
              </w:rPr>
              <w:t>excluidos</w:t>
            </w:r>
          </w:p>
        </w:tc>
        <w:tc>
          <w:tcPr>
            <w:tcW w:type="dxa" w:w="2642"/>
          </w:tcPr>
          <w:p>
            <w:pPr>
              <w:pStyle w:val="Compact"/>
              <w:jc w:val="center"/>
            </w:pPr>
            <w:r>
              <w:rPr>
                <w:b w:val="0"/>
              </w:rPr>
              <w:t>inválida: 49 de 120 sin extraer nada por presupuesto agotado</w:t>
            </w:r>
          </w:p>
        </w:tc>
      </w:tr>
      <w:tr>
        <w:tc>
          <w:tcPr>
            <w:tcW w:type="dxa" w:w="2270"/>
          </w:tcPr>
          <w:p>
            <w:pPr>
              <w:pStyle w:val="Compact"/>
              <w:jc w:val="left"/>
            </w:pPr>
            <w:r>
              <w:rPr>
                <w:b w:val="0"/>
              </w:rPr>
              <w:t>nemotron-mini:4b (baseline)</w:t>
            </w:r>
          </w:p>
        </w:tc>
        <w:tc>
          <w:tcPr>
            <w:tcW w:type="dxa" w:w="1513"/>
          </w:tcPr>
          <w:p>
            <w:pPr>
              <w:pStyle w:val="Compact"/>
              <w:jc w:val="left"/>
            </w:pPr>
            <w:r>
              <w:rPr>
                <w:b w:val="0"/>
              </w:rPr>
              <w:t>nemotron_rerun</w:t>
            </w:r>
          </w:p>
        </w:tc>
        <w:tc>
          <w:tcPr>
            <w:tcW w:type="dxa" w:w="900"/>
          </w:tcPr>
          <w:p>
            <w:pPr>
              <w:pStyle w:val="Compact"/>
              <w:jc w:val="left"/>
            </w:pPr>
            <w:r>
              <w:rPr>
                <w:b w:val="0"/>
              </w:rPr>
              <w:t>22,59</w:t>
            </w:r>
          </w:p>
        </w:tc>
        <w:tc>
          <w:tcPr>
            <w:tcW w:type="dxa" w:w="1513"/>
          </w:tcPr>
          <w:p>
            <w:pPr>
              <w:pStyle w:val="Compact"/>
              <w:jc w:val="center"/>
            </w:pPr>
            <w:r>
              <w:rPr>
                <w:b w:val="0"/>
              </w:rPr>
              <w:t>P3 (F1 21,30)</w:t>
            </w:r>
          </w:p>
        </w:tc>
        <w:tc>
          <w:tcPr>
            <w:tcW w:type="dxa" w:w="2642"/>
          </w:tcPr>
          <w:p>
            <w:pPr>
              <w:pStyle w:val="Compact"/>
              <w:jc w:val="center"/>
            </w:pPr>
            <w:r>
              <w:rPr>
                <w:b w:val="0"/>
              </w:rPr>
              <w:t>válida: repetición del diagnóstico de vacíos</w:t>
            </w:r>
          </w:p>
        </w:tc>
      </w:tr>
      <w:tr>
        <w:tc>
          <w:tcPr>
            <w:tcW w:type="dxa" w:w="2270"/>
          </w:tcPr>
          <w:p>
            <w:pPr>
              <w:pStyle w:val="Compact"/>
              <w:jc w:val="left"/>
            </w:pPr>
            <w:r>
              <w:rPr>
                <w:b w:val="0"/>
              </w:rPr>
              <w:t>nemotron-mini:4b (KB RAG)</w:t>
            </w:r>
          </w:p>
        </w:tc>
        <w:tc>
          <w:tcPr>
            <w:tcW w:type="dxa" w:w="1513"/>
          </w:tcPr>
          <w:p>
            <w:pPr>
              <w:pStyle w:val="Compact"/>
              <w:jc w:val="left"/>
            </w:pPr>
            <w:r>
              <w:rPr>
                <w:b w:val="0"/>
              </w:rPr>
              <w:t>nemotron_rerun</w:t>
            </w:r>
          </w:p>
        </w:tc>
        <w:tc>
          <w:tcPr>
            <w:tcW w:type="dxa" w:w="900"/>
          </w:tcPr>
          <w:p>
            <w:pPr>
              <w:pStyle w:val="Compact"/>
              <w:jc w:val="left"/>
            </w:pPr>
            <w:r>
              <w:rPr>
                <w:b w:val="0"/>
              </w:rPr>
              <w:t>37,12</w:t>
            </w:r>
          </w:p>
        </w:tc>
        <w:tc>
          <w:tcPr>
            <w:tcW w:type="dxa" w:w="1513"/>
          </w:tcPr>
          <w:p>
            <w:pPr>
              <w:pStyle w:val="Compact"/>
              <w:jc w:val="center"/>
            </w:pPr>
            <w:r>
              <w:rPr>
                <w:b w:val="0"/>
              </w:rPr>
              <w:t>P3 (F1 37,33)</w:t>
            </w:r>
          </w:p>
        </w:tc>
        <w:tc>
          <w:tcPr>
            <w:tcW w:type="dxa" w:w="2642"/>
          </w:tcPr>
          <w:p>
            <w:pPr>
              <w:pStyle w:val="Compact"/>
              <w:jc w:val="center"/>
            </w:pPr>
            <w:r>
              <w:rPr>
                <w:b w:val="0"/>
              </w:rPr>
              <w:t>válida: repetición del diagnóstico de vacíos</w:t>
            </w:r>
          </w:p>
        </w:tc>
      </w:tr>
    </w:tbl>
    <w:p>
      <w:pPr>
        <w:numPr>
          <w:ilvl w:val="0"/>
          <w:numId w:val="0"/>
        </w:numPr>
        <w:pStyle w:val="Normal"/>
      </w:pPr>
      <w:r>
        <w:t xml:space="preserve">La última fila acredita que el criterio fue la validez de la medición y no su resultado: en </w:t>
      </w:r>
      <w:r>
        <w:t>nemotron-mini:4b</w:t>
      </w:r>
      <w:r>
        <w:t xml:space="preserve"> con KB RAG la corrida publicada da </w:t>
      </w:r>
      <w:r>
        <w:rPr>
          <w:b/>
        </w:rPr>
        <w:t>menos</w:t>
      </w:r>
      <w:r>
        <w:t xml:space="preserve"> que la sustituida (37,12 frente a 37,33), y aun así es la que se toma.</w:t>
      </w:r>
    </w:p>
    <w:p>
      <w:pPr>
        <w:numPr>
          <w:ilvl w:val="0"/>
          <w:numId w:val="0"/>
        </w:numPr>
        <w:pStyle w:val="Normal"/>
      </w:pPr>
      <w:r>
        <w:t xml:space="preserve">Los motivos de invalidez son dos. El </w:t>
      </w:r>
      <w:r>
        <w:rPr>
          <w:b/>
        </w:rPr>
        <w:t>modo de razonamiento activo</w:t>
      </w:r>
      <w:r>
        <w:t xml:space="preserve"> hacía que el modelo consumiera el presupuesto de salida deliberando y devolviera una respuesta vacía; el síntoma es inequívoco, porque precisión y exhaustividad caen </w:t>
      </w:r>
      <w:r>
        <w:rPr>
          <w:b/>
        </w:rPr>
        <w:t>a cero a la vez</w:t>
      </w:r>
      <w:r>
        <w:t xml:space="preserve">, que es la firma de no haber contestado y no la de haberse equivocado. En </w:t>
      </w:r>
      <w:r>
        <w:t>gemma4:12b-mlx</w:t>
      </w:r>
      <w:r>
        <w:t xml:space="preserve"> con KB RAG eso ocurrió en 98 de los 120 artículos, con una latencia media de 967 s frente a los 158 s de la corrida válida. Desactivado el razonamiento, los 120 registros resuelven por análisis directo del JSON.</w:t>
      </w:r>
    </w:p>
    <w:p>
      <w:pPr>
        <w:numPr>
          <w:ilvl w:val="0"/>
          <w:numId w:val="0"/>
        </w:numPr>
        <w:pStyle w:val="Normal"/>
      </w:pPr>
      <w:r>
        <w:t xml:space="preserve">El </w:t>
      </w:r>
      <w:r>
        <w:rPr>
          <w:b/>
        </w:rPr>
        <w:t>presupuesto de salida agotado</w:t>
      </w:r>
      <w:r>
        <w:t xml:space="preserve"> produce el mismo efecto por otra vía: </w:t>
      </w:r>
      <w:r>
        <w:t>gpt-oss:20b</w:t>
      </w:r>
      <w:r>
        <w:t xml:space="preserve"> es un modelo de razonamiento, y con 2048 tokens no alcanzaba a emitir el JSON tras deliberar. Ampliarlo a 4096 baja los artículos sin extracción de 27 y 49 a 6 y 5. Eso exige una salvedad de comparabilidad que conviene no minimizar: </w:t>
      </w:r>
      <w:r>
        <w:t>gpt-oss:20b</w:t>
      </w:r>
      <w:r>
        <w:t xml:space="preserve"> es el único de los trece cuya cifra publicada procede de una corrida con </w:t>
      </w:r>
      <w:r>
        <w:rPr>
          <w:b/>
        </w:rPr>
        <w:t>4096</w:t>
      </w:r>
      <w:r>
        <w:t xml:space="preserve"> tokens de salida, mientras los otros doce se midieron con </w:t>
      </w:r>
      <w:r>
        <w:rPr>
          <w:b/>
        </w:rPr>
        <w:t>2048</w:t>
      </w:r>
      <w:r>
        <w:t xml:space="preserve">. Su ventaja sobre </w:t>
      </w:r>
      <w:r>
        <w:t>qwen2.5:14b</w:t>
      </w:r>
      <w:r>
        <w:t xml:space="preserve"> o </w:t>
      </w:r>
      <w:r>
        <w:t>llama3.1:8b</w:t>
      </w:r>
      <w:r>
        <w:t xml:space="preserve">, por tanto, no es enteramente atribuible al modelo. Esa asimetría la resuelve una re-corrida completa que unifica el presupuesto en 4096 tokens para los trece modelos, ejecutada el 8 de septiembre de 2026 y consolidada aparte. Existen por tanto </w:t>
      </w:r>
      <w:r>
        <w:rPr>
          <w:b/>
        </w:rPr>
        <w:t>dos mediciones del mismo experimento</w:t>
      </w:r>
      <w:r>
        <w:t xml:space="preserve">, y este informe declara las dos. La de referencia es la primera, que es la que sostiene todas las cifras del capítulo de resultados y los contrastes de §5.3, y lo es por dos razones. La segunda se completó una vez cerrado ese análisis, de modo que adoptarla obligaría a rehacerlo entero. Y las dos no difieren solo en el presupuesto de salida: la segunda excluye además siete artículos cuya codificación estaba contaminada, de modo que aporta ciento trece registros por grupo y no los ciento veinte de la primera. Mientras la referencia sea la primera, las cifras de </w:t>
      </w:r>
      <w:r>
        <w:t>gpt-oss:20b</w:t>
      </w:r>
      <w:r>
        <w:t xml:space="preserve"> de la Tabla 7 deben leerse con la reserva anterior. Los nueve parámetros restantes —modo de recuperación </w:t>
      </w:r>
      <w:r>
        <w:t>kb_combined</w:t>
      </w:r>
      <w:r>
        <w:t>, corpus, temperatura 0,1, tamaño de lote y los demás— coinciden en las ocho corridas fusionadas.</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