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numPr>
          <w:ilvl w:val="0"/>
          <w:numId w:val="0"/>
        </w:numPr>
        <w:pStyle w:val="Title"/>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uthor"/>
      </w:pPr>
      <w:r>
        <w:t>Austranet — Departamento de Informática, Universidad Técnica Federico Santa María, Valparaíso, Chile</w:t>
      </w:r>
    </w:p>
    <w:p>
      <w:pPr>
        <w:numPr>
          <w:ilvl w:val="0"/>
          <w:numId w:val="0"/>
        </w:numPr>
        <w:pStyle w:val="Author"/>
      </w:pPr>
      <w:r>
        <w:t>eahumada@gmail.com</w:t>
      </w:r>
    </w:p>
    <w:p>
      <w:pPr>
        <w:numPr>
          <w:ilvl w:val="0"/>
          <w:numId w:val="0"/>
        </w:numPr>
        <w:pStyle w:val="Heading1"/>
      </w:pPr>
      <w:r>
        <w:t>RESUMEN</w:t>
      </w:r>
    </w:p>
    <w:p>
      <w:pPr>
        <w:numPr>
          <w:ilvl w:val="0"/>
          <w:numId w:val="0"/>
        </w:numPr>
        <w:pStyle w:val="Abstract"/>
      </w:pPr>
      <w:r>
        <w:t xml:space="preserve">Las instituciones financieras sujetas a regulaciones AML/KYC deben vigilar grandes volúmenes de noticias no estructuradas buscando entidades de riesgo. Hacerlo manualmente no escala y delegarlo en APIs en la nube expone información sensible a terceros. Este trabajo diseña, implementa y evalúa un sistema soberano de reconocimiento de entidades nombradas (NER) con modelos de lenguaje grande de código abierto en local mediante Ollama sobre Apple Silicon, con arquitectura pub/sub multihilo, concurrencia adaptativa (AIMD) y capa Factory/Facade. La validación comparó trece modelos sobre 120 artículos, 105 en español, del corpus periodístico, y 30 artículos en inglés del corpus del dominio AML/KYC; contrastó la extracción directa con la generación aumentada por recuperación (RAG) contextual y midió las diferencias con ANOVA y Tukey HSD. El beneficio del RAG decrece con la capacidad del modelo: solo alcanza significancia en el más débil de los trece (+12,3 puntos de F1) y es marginal en los mayores. Redactar el prompt en español con ejemplos </w:t>
      </w:r>
      <w:r>
        <w:rPr>
          <w:i/>
        </w:rPr>
        <w:t>few-shot</w:t>
      </w:r>
      <w:r>
        <w:t xml:space="preserve"> aporta +10,4 puntos en el corpus de quince artículos, sin replicar sobre el corpus mayor. El mejor modelo local alcanza 81,47 % de F1 sobre el corpus periodístico y 90,16 % sobre el corpus del dominio AML/KYC, preservando la confidencialidad.</w:t>
      </w:r>
    </w:p>
    <w:p>
      <w:pPr>
        <w:numPr>
          <w:ilvl w:val="0"/>
          <w:numId w:val="0"/>
        </w:numPr>
        <w:pStyle w:val="Abstract"/>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 xml:space="preserve">Financial institutions subject to AML/KYC regulations must monitor large volumes of unstructured news for risk entities. Doing so manually does not scale, and delegating it to cloud APIs exposes sensitive information to third parties. This work designs, implements and evaluates a sovereign Named Entity Recognition (NER) system using open-source Large Language Models locally through Ollama on Apple Silicon hardware, with a multithreaded pub/sub architecture, adaptive concurrency control (AIMD) and a Factory/Facade layer. Validation compared thirteen models on 120 articles, 105 in Spanish, from the news corpus, and 30 English articles from the AML/KYC domain corpus; contrasted direct extraction with contextual retrieval-augmented generation (RAG) and measured the differences with ANOVA and Tukey HSD. The benefit of RAG decreases with model capacity: it reaches significance only in the weakest of the thirteen (+12.3 F1 points) and is marginal in the larger ones. Writing the prompt in Spanish with </w:t>
      </w:r>
      <w:r>
        <w:rPr>
          <w:i/>
        </w:rPr>
        <w:t>few-shot</w:t>
      </w:r>
      <w:r>
        <w:t xml:space="preserve"> examples yields +10.4 points on the fifteen-article corpus, without replicating on the larger corpus. The best local model reaches 81.47 % F1 on the news corpus and 90.16 % on the AML/KYC domain corpus, preserving confidentiality.</w:t>
      </w:r>
    </w:p>
    <w:p>
      <w:pPr>
        <w:numPr>
          <w:ilvl w:val="0"/>
          <w:numId w:val="0"/>
        </w:numPr>
        <w:pStyle w:val="Abstract"/>
      </w:pPr>
      <w:r>
        <w:rPr>
          <w:b/>
        </w:rPr>
        <w:t>Keywords:</w:t>
      </w:r>
      <w:r>
        <w:t xml:space="preserve"> Named Entity Recognition (NER), Large Language Models (LLM), Regulatory Compliance (AML/KYC), Data Sovereignty, Retrieval-Augmented Generation (RAG).</w:t>
      </w:r>
    </w:p>
    <w:p>
      <w:pPr>
        <w:numPr>
          <w:ilvl w:val="0"/>
          <w:numId w:val="0"/>
        </w:numPr>
        <w:pStyle w:val="Heading1"/>
      </w:pPr>
      <w:r>
        <w:t>ÍNDICE DE CONTENIDOS</w:t>
      </w:r>
    </w:p>
    <w:p>
      <w:pPr>
        <w:numPr>
          <w:ilvl w:val="0"/>
          <w:numId w:val="0"/>
        </w:numPr>
        <w:pStyle w:val="BodyText"/>
      </w:pPr>
      <w:r>
        <w:t>Introducción</w:t>
      </w:r>
    </w:p>
    <w:p>
      <w:pPr>
        <w:numPr>
          <w:ilvl w:val="0"/>
          <w:numId w:val="0"/>
        </w:numPr>
        <w:pStyle w:val="BodyText"/>
      </w:pPr>
      <w:r>
        <w:t>Marco teórico y estado del arte</w:t>
      </w:r>
    </w:p>
    <w:p>
      <w:pPr>
        <w:numPr>
          <w:ilvl w:val="0"/>
          <w:numId w:val="0"/>
        </w:numPr>
        <w:pStyle w:val="BodyText"/>
      </w:pPr>
      <w:r>
        <w:t>Descripción del sistema propuesto</w:t>
      </w:r>
    </w:p>
    <w:p>
      <w:pPr>
        <w:numPr>
          <w:ilvl w:val="0"/>
          <w:numId w:val="0"/>
        </w:numPr>
        <w:pStyle w:val="BodyText"/>
      </w:pPr>
      <w:r>
        <w:t>Diseño experimental</w:t>
      </w:r>
    </w:p>
    <w:p>
      <w:pPr>
        <w:numPr>
          <w:ilvl w:val="0"/>
          <w:numId w:val="0"/>
        </w:numPr>
        <w:pStyle w:val="BodyText"/>
      </w:pPr>
      <w:r>
        <w:t>Resultados experimentales</w:t>
      </w:r>
    </w:p>
    <w:p>
      <w:pPr>
        <w:numPr>
          <w:ilvl w:val="0"/>
          <w:numId w:val="0"/>
        </w:numPr>
        <w:pStyle w:val="BodyText"/>
      </w:pPr>
      <w:r>
        <w:t>Discusión de los resultados</w:t>
      </w:r>
    </w:p>
    <w:p>
      <w:pPr>
        <w:numPr>
          <w:ilvl w:val="0"/>
          <w:numId w:val="0"/>
        </w:numPr>
        <w:pStyle w:val="BodyText"/>
      </w:pPr>
      <w:r>
        <w:t>Conclusiones y trabajo futuro</w:t>
      </w:r>
    </w:p>
    <w:p>
      <w:pPr>
        <w:numPr>
          <w:ilvl w:val="0"/>
          <w:numId w:val="0"/>
        </w:numPr>
        <w:pStyle w:val="BodyText"/>
      </w:pPr>
      <w:r>
        <w:t>Referencias</w:t>
      </w:r>
    </w:p>
    <w:p>
      <w:pPr>
        <w:numPr>
          <w:ilvl w:val="0"/>
          <w:numId w:val="0"/>
        </w:numPr>
        <w:pStyle w:val="BodyText"/>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BodyText"/>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[22]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Normal"/>
      </w:pPr>
      <w:r>
        <w:t>El proceso actual en instituciones como Austranet implica la revisión manual de cientos de artículos periodísticos diarios por analistas especializados, un proceso cuyo costo, estimado a partir del proceso vigente en Austranet, asciende a unos USD 8,75 por artículo analizado (el detalle del cálculo se expone en §5.5). A nivel global, según Verified Market Research el mercado de RegTech se valoró en USD 15,68 mil millones en 2020 y se proyecta que alcance USD 87,17 mil millones hacia 2028, con una CAGR del 23,92 % durante 2021-2028, evidenciando la urgencia de soluciones automatizadas y escalables [21].</w:t>
      </w:r>
    </w:p>
    <w:p>
      <w:pPr>
        <w:numPr>
          <w:ilvl w:val="0"/>
          <w:numId w:val="0"/>
        </w:numPr>
        <w:pStyle w:val="Normal"/>
      </w:pPr>
      <w:r>
        <w:t xml:space="preserve">Dos rasgos del problema explican por qué no basta con una solución puntual. El primero es que la referencia contra la que se coteja </w:t>
      </w:r>
      <w:r>
        <w:rPr>
          <w:b/>
        </w:rPr>
        <w:t>cambia constantemente</w:t>
      </w:r>
      <w:r>
        <w:t>: la lista de Nacionales Especialmente Designados del Departamento del Tesoro de los Estados Unidos [19], que es la fuente empleada en este trabajo, incorpora y retira designaciones cada pocos días, de modo que un sistema que memorice nombres queda desactualizado por construcción y la vigilancia tiene que ser un proceso continuo y no una carga inicial. El segundo es la asimetría del error: una mención pasada por alto puede materializarse en el ingreso de un sujeto sancionado a la cartera, con consecuencias regulatorias y reputacionales que la Ley N.º 19.913 [22] atribuye a la propia institución, mientras que un falso positivo solo cuesta el tiempo del analista que lo descarta. Esa asimetría orienta todo el diseño hacia la exhaustividad, y es la razón por la que las tasas de alucinación se miden aquí con tanto detalle como el acierto.</w:t>
      </w:r>
    </w:p>
    <w:p>
      <w:pPr>
        <w:numPr>
          <w:ilvl w:val="0"/>
          <w:numId w:val="0"/>
        </w:numPr>
        <w:pStyle w:val="Heading2"/>
      </w:pPr>
      <w:r>
        <w:t>1.2 Planteamiento del Problema</w:t>
      </w:r>
    </w:p>
    <w:p>
      <w:pPr>
        <w:numPr>
          <w:ilvl w:val="0"/>
          <w:numId w:val="0"/>
        </w:numPr>
        <w:pStyle w:val="BodyText"/>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Normal"/>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sistemas basados en reglas y expresiones regulares resultan frágiles ante la variación morfológica del español, donde un mismo nombre admite múltiples formas según la posición, la partícula y la acentuación. Las APIs comerciales en la nube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[2] alcanzan el mejor desempeño publicado [7], [15], pero requieren miles de ejemplos etiquetados en el dominio objetivo, inexistentes en español para cumplimiento financiero.</w:t>
      </w:r>
    </w:p>
    <w:p>
      <w:pPr>
        <w:numPr>
          <w:ilvl w:val="0"/>
          <w:numId w:val="0"/>
        </w:numPr>
        <w:pStyle w:val="Normal"/>
      </w:pPr>
      <w:r>
        <w:t>La carencia de datos etiquetados no es una suposición de partida sino una constatación de este trabajo. Al construir el material de evaluación no se encontró ningún corpus de cumplimiento financiero anotado en español, y hubo que componerlo combinando quince artículos de un conjunto europeo sobre corrupción, que están en inglés, con ciento cinco artículos de un corpus periodístico general español. Esa composición no es un atajo: es la mejor aproximación disponible, y sus consecuencias sobre la interpretación de los resultados se discuten en §4.1 y en el capítulo 6.</w:t>
      </w:r>
    </w:p>
    <w:p>
      <w:pPr>
        <w:numPr>
          <w:ilvl w:val="0"/>
          <w:numId w:val="0"/>
        </w:numPr>
        <w:pStyle w:val="Normal"/>
      </w:pPr>
      <w:r>
        <w:t>A la carencia de datos se suma una dificultad de medición que el planteamiento no puede dar por resuelta. Evaluar extracción de entidades exige decidir cuándo dos cadenas designan la misma entidad, y esa decisión no es binaria: entre «Isabel dos Santos» y «Isabel dos Santos, hija del expresidente» hay una diferencia que un cotejo literal penalizaría y un analista no. El trabajo adopta por ello un emparejamiento aproximado cuyo umbral, sus límites y los sesgos que introduce se documentan en §3.3, porque de esa elección dependen todas las cifras que siguen.</w:t>
      </w:r>
    </w:p>
    <w:p>
      <w:pPr>
        <w:numPr>
          <w:ilvl w:val="0"/>
          <w:numId w:val="0"/>
        </w:numPr>
        <w:pStyle w:val="Normal"/>
      </w:pPr>
      <w:r>
        <w:t>La brecha que este trabajo aborda se sitúa precisamente en esa intersección vacía: obtener un desempeño aprovechable sin datos etiquetados del dominio, sin ceder los datos a un tercero y con una medición cuyos límites estén declarados.</w:t>
      </w:r>
    </w:p>
    <w:p>
      <w:pPr>
        <w:numPr>
          <w:ilvl w:val="0"/>
          <w:numId w:val="0"/>
        </w:numPr>
        <w:pStyle w:val="Heading2"/>
      </w:pPr>
      <w:r>
        <w:t>1.3 Hipótesis de Trabajo</w:t>
      </w:r>
    </w:p>
    <w:p>
      <w:pPr>
        <w:numPr>
          <w:ilvl w:val="0"/>
          <w:numId w:val="0"/>
        </w:numPr>
        <w:pStyle w:val="BodyText"/>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Normal"/>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BodyText"/>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Normal"/>
      </w:pPr>
      <w:r>
        <w:rPr>
          <w:b/>
        </w:rPr>
        <w:t>Objetivos Específicos:</w:t>
      </w:r>
    </w:p>
    <w:p>
      <w:pPr>
        <w:numPr>
          <w:ilvl w:val="0"/>
          <w:numId w:val="0"/>
        </w:numPr>
        <w:pStyle w:val="BodyText"/>
      </w:pPr>
      <w:r>
        <w:t>Diseñar e implementar una arquitectura pub/sub multithreading con control adaptativo de concurrencia para la ejecución segura de LLMs de gran escala en hardware Apple Silicon.</w:t>
      </w:r>
    </w:p>
    <w:p>
      <w:pPr>
        <w:numPr>
          <w:ilvl w:val="0"/>
          <w:numId w:val="0"/>
        </w:numPr>
        <w:pStyle w:val="BodyText"/>
      </w:pPr>
      <w:r>
        <w:t xml:space="preserve">Evaluar y comparar el desempeño de modelos de lenguaje de código abierto generativos (familias Gemma, Llama, DeepSeek, Qwen, Mistral, GPT-OSS, Nemotron) en la tarea de NER sobre corpus de sanciones financieras en inglés y de noticias en español: </w:t>
      </w:r>
      <w:r>
        <w:rPr>
          <w:b/>
        </w:rPr>
        <w:t>12 modelos</w:t>
      </w:r>
      <w:r>
        <w:t xml:space="preserve"> en el benchmark exploratorio N=15 (§5.1) y </w:t>
      </w:r>
      <w:r>
        <w:rPr>
          <w:b/>
        </w:rPr>
        <w:t>13 modelos</w:t>
      </w:r>
      <w:r>
        <w:t xml:space="preserve"> en el estudio principal N=120 con KB RAG (§5.3.1).</w:t>
      </w:r>
    </w:p>
    <w:p>
      <w:pPr>
        <w:numPr>
          <w:ilvl w:val="0"/>
          <w:numId w:val="0"/>
        </w:numPr>
        <w:pStyle w:val="BodyText"/>
      </w:pPr>
      <w:r>
        <w:t xml:space="preserve">Ejecutar una comparación sistemática de cuatro configuraciones de prompt (zero-shot/few-shot × inglés/español) (un diseño factorial 2×2, habitualmente llamado </w:t>
      </w:r>
      <w:r>
        <w:rPr>
          <w:i/>
        </w:rPr>
        <w:t>ablation study</w:t>
      </w:r>
      <w:r>
        <w:t xml:space="preserve"> en la bibliografía en inglés) para cuantificar el impacto de la localización lingüística y el aprendizaje en contexto.</w:t>
      </w:r>
    </w:p>
    <w:p>
      <w:pPr>
        <w:numPr>
          <w:ilvl w:val="0"/>
          <w:numId w:val="0"/>
        </w:numPr>
        <w:pStyle w:val="BodyText"/>
      </w:pPr>
      <w:r>
        <w:t>Validar estadísticamente los resultados mediante ANOVA de una vía y pruebas post-hoc de Tukey HSD (α=0.05) sobre un corpus estadísticamente significativo (N≥30).</w:t>
      </w:r>
    </w:p>
    <w:p>
      <w:pPr>
        <w:numPr>
          <w:ilvl w:val="0"/>
          <w:numId w:val="0"/>
        </w:numPr>
        <w:pStyle w:val="BodyText"/>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BodyText"/>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Normal"/>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ANOVA de una vía y pruebas post-hoc de Tukey HSD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BodyText"/>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BodyText"/>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BodyText"/>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[19] y de personas expuestas políticamente [38].</w:t>
      </w:r>
    </w:p>
    <w:p>
      <w:pPr>
        <w:numPr>
          <w:ilvl w:val="0"/>
          <w:numId w:val="0"/>
        </w:numPr>
        <w:pStyle w:val="Normal"/>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Normal"/>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Normal"/>
      </w:pPr>
      <w:r>
        <w:t>Las aproximaciones al problema pueden ordenarse por el tipo de conocimiento que requieren y por el coste de adaptarlas a un dominio nuevo.</w:t>
      </w:r>
    </w:p>
    <w:p>
      <w:pPr>
        <w:numPr>
          <w:ilvl w:val="0"/>
          <w:numId w:val="0"/>
        </w:numPr>
        <w:pStyle w:val="Normal"/>
      </w:pPr>
      <w:r>
        <w:t>Los sistemas basados en reglas y diccionarios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Normal"/>
      </w:pPr>
      <w:r>
        <w:t xml:space="preserve">Los </w:t>
      </w:r>
      <w:r>
        <w:rPr>
          <w:b/>
        </w:rPr>
        <w:t>Campos Aleatorios Condicionales (CRF)</w:t>
      </w:r>
      <w:r>
        <w:t xml:space="preserve"> [10], [17]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Normal"/>
      </w:pPr>
      <w:r>
        <w:t xml:space="preserve">Las </w:t>
      </w:r>
      <w:r>
        <w:rPr>
          <w:b/>
        </w:rPr>
        <w:t>arquitecturas neuronales BiLSTM-CRF</w:t>
      </w:r>
      <w:r>
        <w:t xml:space="preserve"> [24] sustituyen los rasgos manuales por representaciones aprendidas, eliminando gran parte del trabajo de ingeniería a cambio de un requisito de datos aún mayor.</w:t>
      </w:r>
    </w:p>
    <w:p>
      <w:pPr>
        <w:numPr>
          <w:ilvl w:val="0"/>
          <w:numId w:val="0"/>
        </w:numPr>
        <w:pStyle w:val="Normal"/>
      </w:pPr>
      <w:r>
        <w:t xml:space="preserve">Los </w:t>
      </w:r>
      <w:r>
        <w:rPr>
          <w:b/>
        </w:rPr>
        <w:t>codificadores Transformer pre-entrenados</w:t>
      </w:r>
      <w:r>
        <w:t xml:space="preserve"> (BERT [2] y sus variantes multilingües como XLM-R [23]) constituyen el estado del arte académico. Partiendo de un modelo pre-entrenado, un ajuste fino alcanza 88,43 % de F1 en español sobre CoNLL-2002 con un codificador monolingüe [7], y 82,1 % de micro-F1 sobre FiNER-139, un corpus financiero en inglés cuya tarea es etiquetar magnitudes según la taxonomía XBRL y no identificar personas y organizaciones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Normal"/>
      </w:pPr>
      <w:r>
        <w:t xml:space="preserve">Los modelos de lenguaje grande generativos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 La Tabla 1 las compara frente a los criterios de selección.</w:t>
      </w:r>
    </w:p>
    <w:p>
      <w:pPr>
        <w:numPr>
          <w:ilvl w:val="0"/>
          <w:numId w:val="0"/>
        </w:numPr>
        <w:pStyle w:val="TableCaption"/>
      </w:pPr>
      <w:r>
        <w:t>Tabla 1. Familias de técnicas para el reconocimiento de entidades y su comportamiento frente a los criterios de selección</w:t>
      </w:r>
    </w:p>
    <w:tbl>
      <w:tblPr>
        <w:tblStyle w:val="Table"/>
        <w:tblW w:type="pct" w:w="5000.0"/>
        <w:tblLook w:firstRow="1"/>
      </w:tblPr>
      <w:tblGrid>
        <w:gridCol w:w="1940"/>
        <w:gridCol w:w="2011"/>
        <w:gridCol w:w="2443"/>
        <w:gridCol w:w="2444"/>
      </w:tblGrid>
      <w:tr>
        <w:trPr>
          <w:cnfStyle w:firstRow="1"/>
        </w:trPr>
        <w:tc>
          <w:tcPr>
            <w:tcW w:type="dxa" w:w="1940"/>
            <w:tcBorders>
              <w:bottom w:val="single"/>
            </w:tcBorders>
            <w:vAlign w:val="bottom"/>
          </w:tcPr>
          <w:p>
            <w:pPr>
              <w:pStyle w:val="Compact"/>
              <w:jc w:val="left"/>
            </w:pPr>
            <w:r>
              <w:rPr>
                <w:b/>
              </w:rPr>
              <w:t>Familia</w:t>
            </w:r>
          </w:p>
        </w:tc>
        <w:tc>
          <w:tcPr>
            <w:tcW w:type="dxa" w:w="2011"/>
            <w:tcBorders>
              <w:bottom w:val="single"/>
            </w:tcBorders>
            <w:vAlign w:val="bottom"/>
          </w:tcPr>
          <w:p>
            <w:pPr>
              <w:pStyle w:val="Compact"/>
              <w:jc w:val="left"/>
            </w:pPr>
            <w:r>
              <w:rPr>
                <w:b/>
              </w:rPr>
              <w:t>Datos etiquetados requeridos</w:t>
            </w:r>
          </w:p>
        </w:tc>
        <w:tc>
          <w:tcPr>
            <w:tcW w:type="dxa" w:w="2443"/>
            <w:tcBorders>
              <w:bottom w:val="single"/>
            </w:tcBorders>
            <w:vAlign w:val="bottom"/>
          </w:tcPr>
          <w:p>
            <w:pPr>
              <w:pStyle w:val="Compact"/>
              <w:jc w:val="left"/>
            </w:pPr>
            <w:r>
              <w:rPr>
                <w:b/>
              </w:rPr>
              <w:t>Adaptación a dominio nuevo</w:t>
            </w:r>
          </w:p>
        </w:tc>
        <w:tc>
          <w:tcPr>
            <w:tcW w:type="dxa" w:w="2444"/>
            <w:tcBorders>
              <w:bottom w:val="single"/>
            </w:tcBorders>
            <w:vAlign w:val="bottom"/>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 xml:space="preserve">Inmediata mediante </w:t>
            </w:r>
            <w:r>
              <w:rPr>
                <w:b w:val="0"/>
                <w:i/>
              </w:rPr>
              <w:t>prompt</w:t>
            </w:r>
          </w:p>
        </w:tc>
        <w:tc>
          <w:tcPr>
            <w:tcW w:type="dxa" w:w="2444"/>
          </w:tcPr>
          <w:p>
            <w:pPr>
              <w:pStyle w:val="Compact"/>
              <w:jc w:val="center"/>
            </w:pPr>
            <w:r>
              <w:rPr>
                <w:b w:val="0"/>
              </w:rPr>
              <w:t>Alucinación y salida no estructurada</w:t>
            </w:r>
          </w:p>
        </w:tc>
      </w:tr>
    </w:tbl>
    <w:p>
      <w:pPr>
        <w:numPr>
          <w:ilvl w:val="0"/>
          <w:numId w:val="0"/>
        </w:numPr>
        <w:pStyle w:val="Normal"/>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BodyText"/>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Normal"/>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Normal"/>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BodyText"/>
      </w:pPr>
      <w:r>
        <w:t>La Generación Aumentada por Recuperación (RAG) [1] fundamenta la generación en información recuperada en tiempo de consulta, en lugar de confiarla exclusivamente a los pesos del modelo; la práctica de diseño de estos sistemas está recogida con detalle en la literatura técnica [5]. La literatura reciente [6] distingue variantes por la naturaleza de lo recuperado, y esa distinción resulta determinante en NER.</w:t>
      </w:r>
    </w:p>
    <w:p>
      <w:pPr>
        <w:numPr>
          <w:ilvl w:val="0"/>
          <w:numId w:val="0"/>
        </w:numPr>
        <w:pStyle w:val="Normal"/>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extremo que este trabajo comprueba empíricamente en §5.6, y no ayuda ante nombres ausentes del catálogo.</w:t>
      </w:r>
    </w:p>
    <w:p>
      <w:pPr>
        <w:numPr>
          <w:ilvl w:val="0"/>
          <w:numId w:val="0"/>
        </w:numPr>
        <w:pStyle w:val="Normal"/>
      </w:pPr>
      <w:r>
        <w:t xml:space="preserve">Una segunda variante es el RAG contextual o de conocimiento,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Normal"/>
      </w:pPr>
      <w:r>
        <w:t xml:space="preserve">Una tercera configuración, adoptada por trabajos aplicados al ámbito financiero [9], emplea el propio documento como </w:t>
      </w:r>
      <w:r>
        <w:rPr>
          <w:b/>
        </w:rPr>
        <w:t>contexto único</w:t>
      </w:r>
      <w:r>
        <w:t>, restringiendo la extracción al texto presente y mitigando la alucinación extrínseca.</w:t>
      </w:r>
    </w:p>
    <w:p>
      <w:pPr>
        <w:numPr>
          <w:ilvl w:val="0"/>
          <w:numId w:val="0"/>
        </w:numPr>
        <w:pStyle w:val="Normal"/>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Normal"/>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[30],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Normal"/>
      </w:pPr>
      <w:r>
        <w:t xml:space="preserve">Entre los entornos de ejecución disponibles, </w:t>
      </w:r>
      <w:r>
        <w:rPr>
          <w:b/>
        </w:rPr>
        <w:t>llama.cpp</w:t>
      </w:r>
      <w:r>
        <w:t xml:space="preserve"> [30] ofrece el motor de inferencia cuantizada de referencia pero exige gestión manual de modelos; </w:t>
      </w:r>
      <w:r>
        <w:rPr>
          <w:b/>
        </w:rPr>
        <w:t>vLLM</w:t>
      </w:r>
      <w:r>
        <w:t xml:space="preserve"> [28]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[31] aprovecha específicamente la memoria unificada de Apple Silicon; y </w:t>
      </w:r>
      <w:r>
        <w:rPr>
          <w:b/>
        </w:rPr>
        <w:t>Ollama</w:t>
      </w:r>
      <w:r>
        <w:t xml:space="preserve"> [29]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Validación estadística de comparaciones múltiples</w:t>
      </w:r>
    </w:p>
    <w:p>
      <w:pPr>
        <w:numPr>
          <w:ilvl w:val="0"/>
          <w:numId w:val="0"/>
        </w:numPr>
        <w:pStyle w:val="BodyText"/>
      </w:pPr>
      <w:r>
        <w:t xml:space="preserve">Comparar el desempeño de varios modelos exige distinguir las diferencias reales de las que produce el azar, porque cada artículo del corpus tiene su propia dificultad y un modelo puede aventajar a otro por haberle tocado un reparto favorable. El instrumento habitual es el análisis de varianza (ANOVA) de una vía, que contrasta la hipótesis nula de que todos los grupos comparados proceden de la misma población. Su estadístico F compara la variabilidad </w:t>
      </w:r>
      <w:r>
        <w:rPr>
          <w:i/>
        </w:rPr>
        <w:t>entre</w:t>
      </w:r>
      <w:r>
        <w:t xml:space="preserve"> grupos con la variabilidad </w:t>
      </w:r>
      <w:r>
        <w:rPr>
          <w:i/>
        </w:rPr>
        <w:t>dentro</w:t>
      </w:r>
      <w:r>
        <w:t xml:space="preserve"> de cada uno: cuanto mayor es F, más difícil resulta atribuir las diferencias observadas a la variación interna. Un valor p pequeño permite rechazar esa hipótesis nula, pero el ANOVA solo indica que </w:t>
      </w:r>
      <w:r>
        <w:rPr>
          <w:b/>
        </w:rPr>
        <w:t>alguna</w:t>
      </w:r>
      <w:r>
        <w:t xml:space="preserve"> diferencia existe, no cuál.</w:t>
      </w:r>
    </w:p>
    <w:p>
      <w:pPr>
        <w:numPr>
          <w:ilvl w:val="0"/>
          <w:numId w:val="0"/>
        </w:numPr>
        <w:pStyle w:val="Normal"/>
      </w:pPr>
      <w:r>
        <w:t xml:space="preserve">Responder a esa segunda pregunta corresponde a las </w:t>
      </w:r>
      <w:r>
        <w:rPr>
          <w:b/>
        </w:rPr>
        <w:t>pruebas post-hoc</w:t>
      </w:r>
      <w:r>
        <w:t xml:space="preserve">, y aquí aparece un problema de fondo. Comparar todos los pares de un conjunto de veintiséis grupos supone 325 contrastes, y al 5 % de significancia cabría esperar unos dieciséis positivos por puro azar. La prueba de </w:t>
      </w:r>
      <w:r>
        <w:rPr>
          <w:b/>
        </w:rPr>
        <w:t>Tukey HSD</w:t>
      </w:r>
      <w:r>
        <w:t xml:space="preserve"> (</w:t>
      </w:r>
      <w:r>
        <w:rPr>
          <w:i/>
        </w:rPr>
        <w:t>Honestly Significant Difference</w:t>
      </w:r>
      <w:r>
        <w:t xml:space="preserve">) [25] corrige ese efecto controlando la tasa de error </w:t>
      </w:r>
      <w:r>
        <w:rPr>
          <w:b/>
        </w:rPr>
        <w:t>por familia</w:t>
      </w:r>
      <w:r>
        <w:t xml:space="preserve">: garantiza que la probabilidad de cometer algún falso positivo en el conjunto completo de comparaciones siga siendo del 5 %, no del 5 % en cada una. Lo consigue sustituyendo la distribución t por la del </w:t>
      </w:r>
      <w:r>
        <w:rPr>
          <w:b/>
        </w:rPr>
        <w:t>rango estudentizado</w:t>
      </w:r>
      <w:r>
        <w:t>, más ancha y por tanto más exigente. Es una prueba deliberadamente conservadora, y esa es su virtud: una diferencia que la supera resulta difícil de discutir.</w:t>
      </w:r>
    </w:p>
    <w:p>
      <w:pPr>
        <w:numPr>
          <w:ilvl w:val="0"/>
          <w:numId w:val="0"/>
        </w:numPr>
        <w:pStyle w:val="Normal"/>
      </w:pPr>
      <w:r>
        <w:t xml:space="preserve">Dos instrumentos complementan la lectura. Los intervalos de confianza al 95 % expresan el margen dentro del cual cabe esperar el valor real de cada media, de modo que dos intervalos muy solapados advierten de una diferencia poco sólida aunque las medias difieran. Y el </w:t>
      </w:r>
      <w:r>
        <w:rPr>
          <w:b/>
        </w:rPr>
        <w:t>análisis de sensibilidad</w:t>
      </w:r>
      <w:r>
        <w:t xml:space="preserve"> recalcula las métricas excluyendo las observaciones atípicas (en este trabajo, los artículos de longitud inusual), para comprobar que ninguna conclusión depende de unos pocos casos extremos.</w:t>
      </w:r>
    </w:p>
    <w:p>
      <w:pPr>
        <w:numPr>
          <w:ilvl w:val="0"/>
          <w:numId w:val="0"/>
        </w:numPr>
        <w:pStyle w:val="Normal"/>
      </w:pPr>
      <w:r>
        <w:t xml:space="preserve">Conviene retener una asimetría de interpretación: que una diferencia </w:t>
      </w:r>
      <w:r>
        <w:rPr>
          <w:b/>
        </w:rPr>
        <w:t>no</w:t>
      </w:r>
      <w:r>
        <w:t xml:space="preserve"> alcance significancia no demuestra que no exista, solo que los datos disponibles no bastan para descartar el azar.</w:t>
      </w:r>
    </w:p>
    <w:p>
      <w:pPr>
        <w:numPr>
          <w:ilvl w:val="0"/>
          <w:numId w:val="0"/>
        </w:numPr>
        <w:pStyle w:val="Heading2"/>
      </w:pPr>
      <w:r>
        <w:t>2.5 Estado del arte y criterios de selección</w:t>
      </w:r>
    </w:p>
    <w:p>
      <w:pPr>
        <w:numPr>
          <w:ilvl w:val="0"/>
          <w:numId w:val="0"/>
        </w:numPr>
        <w:pStyle w:val="BodyText"/>
      </w:pPr>
      <w:r>
        <w:t>La Tabla 2 posiciona este trabajo respecto de investigaciones recientes en NER para dominios financieros y regulatorios.</w:t>
      </w:r>
    </w:p>
    <w:p>
      <w:pPr>
        <w:numPr>
          <w:ilvl w:val="0"/>
          <w:numId w:val="0"/>
        </w:numPr>
        <w:pStyle w:val="TableCaption"/>
      </w:pPr>
      <w:r>
        <w:t>Tabla 2. Estado del arte en reconocimiento de entidades para dominios financieros y regulatorios</w:t>
      </w:r>
    </w:p>
    <w:tbl>
      <w:tblPr>
        <w:tblStyle w:val="Table"/>
        <w:tblW w:type="pct" w:w="5000.0"/>
        <w:tblLook w:firstRow="1"/>
      </w:tblPr>
      <w:tblGrid>
        <w:gridCol w:w="1295"/>
        <w:gridCol w:w="2376"/>
        <w:gridCol w:w="1523"/>
        <w:gridCol w:w="1447"/>
        <w:gridCol w:w="900"/>
        <w:gridCol w:w="1297"/>
      </w:tblGrid>
      <w:tr>
        <w:trPr>
          <w:cnfStyle w:firstRow="1"/>
        </w:trPr>
        <w:tc>
          <w:tcPr>
            <w:tcW w:type="dxa" w:w="1295"/>
            <w:tcBorders>
              <w:bottom w:val="single"/>
            </w:tcBorders>
            <w:vAlign w:val="bottom"/>
          </w:tcPr>
          <w:p>
            <w:pPr>
              <w:pStyle w:val="Compact"/>
              <w:jc w:val="left"/>
            </w:pPr>
            <w:r>
              <w:rPr>
                <w:b/>
              </w:rPr>
              <w:t>Trabajo</w:t>
            </w:r>
          </w:p>
        </w:tc>
        <w:tc>
          <w:tcPr>
            <w:tcW w:type="dxa" w:w="2376"/>
            <w:tcBorders>
              <w:bottom w:val="single"/>
            </w:tcBorders>
            <w:vAlign w:val="bottom"/>
          </w:tcPr>
          <w:p>
            <w:pPr>
              <w:pStyle w:val="Compact"/>
              <w:jc w:val="left"/>
            </w:pPr>
            <w:r>
              <w:rPr>
                <w:b/>
              </w:rPr>
              <w:t>Dataset</w:t>
            </w:r>
          </w:p>
        </w:tc>
        <w:tc>
          <w:tcPr>
            <w:tcW w:type="dxa" w:w="1523"/>
            <w:tcBorders>
              <w:bottom w:val="single"/>
            </w:tcBorders>
            <w:vAlign w:val="bottom"/>
          </w:tcPr>
          <w:p>
            <w:pPr>
              <w:pStyle w:val="Compact"/>
              <w:jc w:val="left"/>
            </w:pPr>
            <w:r>
              <w:rPr>
                <w:b/>
              </w:rPr>
              <w:t>Modelo</w:t>
            </w:r>
          </w:p>
        </w:tc>
        <w:tc>
          <w:tcPr>
            <w:tcW w:type="dxa" w:w="1447"/>
            <w:tcBorders>
              <w:bottom w:val="single"/>
            </w:tcBorders>
            <w:vAlign w:val="bottom"/>
          </w:tcPr>
          <w:p>
            <w:pPr>
              <w:pStyle w:val="Compact"/>
              <w:jc w:val="center"/>
            </w:pPr>
            <w:r>
              <w:rPr>
                <w:b/>
              </w:rPr>
              <w:t>Desempeño publicado</w:t>
            </w:r>
          </w:p>
        </w:tc>
        <w:tc>
          <w:tcPr>
            <w:tcW w:type="dxa" w:w="900"/>
            <w:tcBorders>
              <w:bottom w:val="single"/>
            </w:tcBorders>
            <w:vAlign w:val="bottom"/>
          </w:tcPr>
          <w:p>
            <w:pPr>
              <w:pStyle w:val="Compact"/>
              <w:jc w:val="center"/>
            </w:pPr>
            <w:r>
              <w:rPr>
                <w:b/>
              </w:rPr>
              <w:t>Privacidad</w:t>
            </w:r>
          </w:p>
        </w:tc>
        <w:tc>
          <w:tcPr>
            <w:tcW w:type="dxa" w:w="1297"/>
            <w:tcBorders>
              <w:bottom w:val="single"/>
            </w:tcBorders>
            <w:vAlign w:val="bottom"/>
          </w:tcPr>
          <w:p>
            <w:pPr>
              <w:pStyle w:val="Compact"/>
              <w:jc w:val="left"/>
            </w:pPr>
            <w:r>
              <w:rPr>
                <w:b/>
              </w:rPr>
              <w:t>Idioma</w:t>
            </w:r>
          </w:p>
        </w:tc>
      </w:tr>
      <w:tr>
        <w:tc>
          <w:tcPr>
            <w:tcW w:type="dxa" w:w="1295"/>
          </w:tcPr>
          <w:p>
            <w:pPr>
              <w:pStyle w:val="Compact"/>
              <w:jc w:val="left"/>
            </w:pPr>
            <w:r>
              <w:rPr>
                <w:b w:val="0"/>
              </w:rPr>
              <w:t>BloombergGPT [3]</w:t>
            </w:r>
          </w:p>
        </w:tc>
        <w:tc>
          <w:tcPr>
            <w:tcW w:type="dxa" w:w="2376"/>
          </w:tcPr>
          <w:p>
            <w:pPr>
              <w:pStyle w:val="Compact"/>
              <w:jc w:val="left"/>
            </w:pPr>
            <w:r>
              <w:rPr>
                <w:b w:val="0"/>
              </w:rPr>
              <w:t>Corpus financiero propio</w:t>
            </w:r>
          </w:p>
        </w:tc>
        <w:tc>
          <w:tcPr>
            <w:tcW w:type="dxa" w:w="1523"/>
          </w:tcPr>
          <w:p>
            <w:pPr>
              <w:pStyle w:val="Compact"/>
              <w:jc w:val="left"/>
            </w:pPr>
            <w:r>
              <w:rPr>
                <w:b w:val="0"/>
              </w:rPr>
              <w:t>BLOOM 50B + dominio</w:t>
            </w:r>
          </w:p>
        </w:tc>
        <w:tc>
          <w:tcPr>
            <w:tcW w:type="dxa" w:w="1447"/>
          </w:tcPr>
          <w:p>
            <w:pPr>
              <w:pStyle w:val="Compact"/>
              <w:jc w:val="center"/>
            </w:pPr>
            <w:r>
              <w:rPr>
                <w:b w:val="0"/>
              </w:rPr>
              <w:t>53,6-75,5 % F1</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val="0"/>
              </w:rPr>
              <w:t>FiNER-139 [15]</w:t>
            </w:r>
          </w:p>
        </w:tc>
        <w:tc>
          <w:tcPr>
            <w:tcW w:type="dxa" w:w="2376"/>
          </w:tcPr>
          <w:p>
            <w:pPr>
              <w:pStyle w:val="Compact"/>
              <w:jc w:val="left"/>
            </w:pPr>
            <w:r>
              <w:rPr>
                <w:b w:val="0"/>
              </w:rPr>
              <w:t>SEC 10-K/10-Q (etiquetado XBRL)</w:t>
            </w:r>
          </w:p>
        </w:tc>
        <w:tc>
          <w:tcPr>
            <w:tcW w:type="dxa" w:w="1523"/>
          </w:tcPr>
          <w:p>
            <w:pPr>
              <w:pStyle w:val="Compact"/>
              <w:jc w:val="left"/>
            </w:pPr>
            <w:r>
              <w:rPr>
                <w:b w:val="0"/>
              </w:rPr>
              <w:t>SEC-BERT-SHAPE</w:t>
            </w:r>
          </w:p>
        </w:tc>
        <w:tc>
          <w:tcPr>
            <w:tcW w:type="dxa" w:w="1447"/>
          </w:tcPr>
          <w:p>
            <w:pPr>
              <w:pStyle w:val="Compact"/>
              <w:jc w:val="center"/>
            </w:pPr>
            <w:r>
              <w:rPr>
                <w:b w:val="0"/>
              </w:rPr>
              <w:t>82,1 % micro-F1</w:t>
            </w:r>
          </w:p>
        </w:tc>
        <w:tc>
          <w:tcPr>
            <w:tcW w:type="dxa" w:w="900"/>
          </w:tcPr>
          <w:p>
            <w:pPr>
              <w:pStyle w:val="Compact"/>
              <w:jc w:val="center"/>
            </w:pPr>
            <w:r>
              <w:rPr>
                <w:b w:val="0"/>
              </w:rPr>
              <w:t>Local</w:t>
            </w:r>
          </w:p>
        </w:tc>
        <w:tc>
          <w:tcPr>
            <w:tcW w:type="dxa" w:w="1297"/>
          </w:tcPr>
          <w:p>
            <w:pPr>
              <w:pStyle w:val="Compact"/>
              <w:jc w:val="left"/>
            </w:pPr>
            <w:r>
              <w:rPr>
                <w:b w:val="0"/>
              </w:rPr>
              <w:t>Inglés</w:t>
            </w:r>
          </w:p>
        </w:tc>
      </w:tr>
      <w:tr>
        <w:tc>
          <w:tcPr>
            <w:tcW w:type="dxa" w:w="1295"/>
          </w:tcPr>
          <w:p>
            <w:pPr>
              <w:pStyle w:val="Compact"/>
              <w:jc w:val="left"/>
            </w:pPr>
            <w:r>
              <w:rPr>
                <w:b w:val="0"/>
              </w:rPr>
              <w:t>Cañete et al. [7]</w:t>
            </w:r>
          </w:p>
        </w:tc>
        <w:tc>
          <w:tcPr>
            <w:tcW w:type="dxa" w:w="2376"/>
          </w:tcPr>
          <w:p>
            <w:pPr>
              <w:pStyle w:val="Compact"/>
              <w:jc w:val="left"/>
            </w:pPr>
            <w:r>
              <w:rPr>
                <w:b w:val="0"/>
              </w:rPr>
              <w:t>CoNLL-2002 (ES)</w:t>
            </w:r>
          </w:p>
        </w:tc>
        <w:tc>
          <w:tcPr>
            <w:tcW w:type="dxa" w:w="1523"/>
          </w:tcPr>
          <w:p>
            <w:pPr>
              <w:pStyle w:val="Compact"/>
              <w:jc w:val="left"/>
            </w:pPr>
            <w:r>
              <w:rPr>
                <w:b w:val="0"/>
              </w:rPr>
              <w:t>BETO (BERT español)</w:t>
            </w:r>
          </w:p>
        </w:tc>
        <w:tc>
          <w:tcPr>
            <w:tcW w:type="dxa" w:w="1447"/>
          </w:tcPr>
          <w:p>
            <w:pPr>
              <w:pStyle w:val="Compact"/>
              <w:jc w:val="center"/>
            </w:pPr>
            <w:r>
              <w:rPr>
                <w:b w:val="0"/>
              </w:rPr>
              <w:t>88,43 % F1</w:t>
            </w:r>
          </w:p>
        </w:tc>
        <w:tc>
          <w:tcPr>
            <w:tcW w:type="dxa" w:w="900"/>
          </w:tcPr>
          <w:p>
            <w:pPr>
              <w:pStyle w:val="Compact"/>
              <w:jc w:val="center"/>
            </w:pPr>
            <w:r>
              <w:rPr>
                <w:b w:val="0"/>
              </w:rPr>
              <w:t>Local</w:t>
            </w:r>
          </w:p>
        </w:tc>
        <w:tc>
          <w:tcPr>
            <w:tcW w:type="dxa" w:w="1297"/>
          </w:tcPr>
          <w:p>
            <w:pPr>
              <w:pStyle w:val="Compact"/>
              <w:jc w:val="left"/>
            </w:pPr>
            <w:r>
              <w:rPr>
                <w:b w:val="0"/>
              </w:rPr>
              <w:t>Español</w:t>
            </w:r>
          </w:p>
        </w:tc>
      </w:tr>
      <w:tr>
        <w:tc>
          <w:tcPr>
            <w:tcW w:type="dxa" w:w="1295"/>
          </w:tcPr>
          <w:p>
            <w:pPr>
              <w:pStyle w:val="Compact"/>
              <w:jc w:val="left"/>
            </w:pPr>
            <w:r>
              <w:rPr>
                <w:b w:val="0"/>
              </w:rPr>
              <w:t>FinanceBench [9]</w:t>
            </w:r>
          </w:p>
        </w:tc>
        <w:tc>
          <w:tcPr>
            <w:tcW w:type="dxa" w:w="2376"/>
          </w:tcPr>
          <w:p>
            <w:pPr>
              <w:pStyle w:val="Compact"/>
              <w:jc w:val="left"/>
            </w:pPr>
            <w:r>
              <w:rPr>
                <w:b w:val="0"/>
              </w:rPr>
              <w:t>361 informes SEC</w:t>
            </w:r>
          </w:p>
        </w:tc>
        <w:tc>
          <w:tcPr>
            <w:tcW w:type="dxa" w:w="1523"/>
          </w:tcPr>
          <w:p>
            <w:pPr>
              <w:pStyle w:val="Compact"/>
              <w:jc w:val="left"/>
            </w:pPr>
            <w:r>
              <w:rPr>
                <w:b w:val="0"/>
              </w:rPr>
              <w:t>GPT-4-Turbo + RAG</w:t>
            </w:r>
          </w:p>
        </w:tc>
        <w:tc>
          <w:tcPr>
            <w:tcW w:type="dxa" w:w="1447"/>
          </w:tcPr>
          <w:p>
            <w:pPr>
              <w:pStyle w:val="Compact"/>
              <w:jc w:val="center"/>
            </w:pPr>
            <w:r>
              <w:rPr>
                <w:b w:val="0"/>
              </w:rPr>
              <w:t>50 % exactitud</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rPr>
              <w:t>Este trabajo</w:t>
            </w:r>
          </w:p>
        </w:tc>
        <w:tc>
          <w:tcPr>
            <w:tcW w:type="dxa" w:w="2376"/>
          </w:tcPr>
          <w:p>
            <w:pPr>
              <w:pStyle w:val="Compact"/>
              <w:jc w:val="left"/>
            </w:pPr>
            <w:r>
              <w:rPr>
                <w:b/>
              </w:rPr>
              <w:t>CoNLL-2002 y Kleptotrace (N=120)</w:t>
            </w:r>
          </w:p>
        </w:tc>
        <w:tc>
          <w:tcPr>
            <w:tcW w:type="dxa" w:w="1523"/>
          </w:tcPr>
          <w:p>
            <w:pPr>
              <w:pStyle w:val="Compact"/>
              <w:jc w:val="left"/>
            </w:pPr>
            <w:r>
              <w:rPr>
                <w:b/>
              </w:rPr>
              <w:t>gemma4:31b-mlx local</w:t>
            </w:r>
          </w:p>
        </w:tc>
        <w:tc>
          <w:tcPr>
            <w:tcW w:type="dxa" w:w="1447"/>
          </w:tcPr>
          <w:p>
            <w:pPr>
              <w:pStyle w:val="Compact"/>
              <w:jc w:val="center"/>
            </w:pPr>
            <w:r>
              <w:rPr>
                <w:b/>
              </w:rPr>
              <w:t>81,47 % F1</w:t>
            </w:r>
          </w:p>
        </w:tc>
        <w:tc>
          <w:tcPr>
            <w:tcW w:type="dxa" w:w="900"/>
          </w:tcPr>
          <w:p>
            <w:pPr>
              <w:pStyle w:val="Compact"/>
              <w:jc w:val="center"/>
            </w:pPr>
            <w:r>
              <w:rPr>
                <w:b/>
              </w:rPr>
              <w:t>100 % Local</w:t>
            </w:r>
          </w:p>
        </w:tc>
        <w:tc>
          <w:tcPr>
            <w:tcW w:type="dxa" w:w="1297"/>
          </w:tcPr>
          <w:p>
            <w:pPr>
              <w:pStyle w:val="Compact"/>
              <w:jc w:val="left"/>
            </w:pPr>
            <w:r>
              <w:rPr>
                <w:b/>
              </w:rPr>
              <w:t>Español (105/120)</w:t>
            </w:r>
          </w:p>
        </w:tc>
      </w:tr>
    </w:tbl>
    <w:p>
      <w:pPr>
        <w:numPr>
          <w:ilvl w:val="0"/>
          <w:numId w:val="0"/>
        </w:numPr>
        <w:pStyle w:val="Normal"/>
      </w:pPr>
      <w:r>
        <w:t>Las cifras de la columna de desempeño publicado no son directamente comparables entre sí, porque cada trabajo mide una tarea distinta: FiNER-139 etiqueta magnitudes numéricas según la taxonomía XBRL y FinanceBench evalúa exactitud de respuesta sobre preguntas abiertas, no identificación de personas y organizaciones. Aun así, 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Normal"/>
      </w:pPr>
      <w:r>
        <w:t xml:space="preserve">La revisión anterior deja fijados los criterios con los que el capítulo 3 justifica cada decisión de diseño: (C1) prescindir de datos etiquetados, por no existir corpus del dominio en español; (C2) preservar la soberanía del dato, lo que excluye toda API externa; (C3) operar sobre hardware de consumo, lo que obliga a cuantización y a gestión explícita de memoria; </w:t>
      </w:r>
      <w:r>
        <w:rPr>
          <w:b/>
        </w:rPr>
        <w:t>(C4) producir salida verificable</w:t>
      </w:r>
      <w:r>
        <w:t xml:space="preserve">, dado que el modelo elegido genera texto libre; y (C5) permitir comparación empírica entre variantes,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BodyText"/>
      </w:pPr>
      <w:r>
        <w:t>Los cinco criterios con que cerró el capítulo anterior determinan, cada uno, una decisión concreta. Conviene explicitar el razonamiento antes de describir la implementación.</w:t>
      </w:r>
    </w:p>
    <w:p>
      <w:pPr>
        <w:numPr>
          <w:ilvl w:val="0"/>
          <w:numId w:val="0"/>
        </w:numPr>
        <w:pStyle w:val="Normal"/>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Normal"/>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Normal"/>
      </w:pPr>
      <w:r>
        <w:t xml:space="preserve">El tercer criterio, operar sobre hardware de consumo, obliga a cuantizar los pesos (a cuatro bits en la mayoría de los casos)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BodyText"/>
      </w:pPr>
      <w:r>
        <w:t>El sistema se organiza en cinco capas funcionales con responsabilidades separadas, así que cada una pueda evolucionar sin arrastrar a las demás. La Tabla 3 las detalla con sus módulos y su cometido.</w:t>
      </w:r>
    </w:p>
    <w:p>
      <w:pPr>
        <w:numPr>
          <w:ilvl w:val="0"/>
          <w:numId w:val="0"/>
        </w:numPr>
        <w:pStyle w:val="TableCaption"/>
      </w:pPr>
      <w:r>
        <w:t>Tabla 3. Arquitectura del sistema por capas, con sus módulos y su detalle técnico</w:t>
      </w:r>
    </w:p>
    <w:tbl>
      <w:tblPr>
        <w:tblStyle w:val="Table"/>
        <w:tblW w:type="pct" w:w="5000.0"/>
        <w:tblLook w:firstRow="1"/>
      </w:tblPr>
      <w:tblGrid>
        <w:gridCol w:w="1988"/>
        <w:gridCol w:w="3093"/>
        <w:gridCol w:w="3757"/>
      </w:tblGrid>
      <w:tr>
        <w:trPr>
          <w:cnfStyle w:firstRow="1"/>
        </w:trPr>
        <w:tc>
          <w:tcPr>
            <w:tcW w:type="dxa" w:w="1988"/>
            <w:tcBorders>
              <w:bottom w:val="single"/>
            </w:tcBorders>
            <w:vAlign w:val="bottom"/>
          </w:tcPr>
          <w:p>
            <w:pPr>
              <w:pStyle w:val="Compact"/>
              <w:jc w:val="left"/>
            </w:pPr>
            <w:r>
              <w:rPr>
                <w:b/>
              </w:rPr>
              <w:t>Capa</w:t>
            </w:r>
          </w:p>
        </w:tc>
        <w:tc>
          <w:tcPr>
            <w:tcW w:type="dxa" w:w="3093"/>
            <w:tcBorders>
              <w:bottom w:val="single"/>
            </w:tcBorders>
            <w:vAlign w:val="bottom"/>
          </w:tcPr>
          <w:p>
            <w:pPr>
              <w:pStyle w:val="Compact"/>
              <w:jc w:val="left"/>
            </w:pPr>
            <w:r>
              <w:rPr>
                <w:b/>
              </w:rPr>
              <w:t>Módulo(s)</w:t>
            </w:r>
          </w:p>
        </w:tc>
        <w:tc>
          <w:tcPr>
            <w:tcW w:type="dxa" w:w="3757"/>
            <w:tcBorders>
              <w:bottom w:val="single"/>
            </w:tcBorders>
            <w:vAlign w:val="bottom"/>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contra el esquema FollowTheMoney [38]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Normal"/>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Normal"/>
      </w:pPr>
      <w:r>
        <w:t xml:space="preserve">La capa de proveedores es la que materializa el criterio C2 sin encerrar el trabajo en un único motor. Aplica los patrones </w:t>
      </w:r>
      <w:r>
        <w:rPr>
          <w:i/>
        </w:rPr>
        <w:t>Factory</w:t>
      </w:r>
      <w:r>
        <w:t xml:space="preserve"> y </w:t>
      </w:r>
      <w:r>
        <w:rPr>
          <w:i/>
        </w:rPr>
        <w:t>Facade</w:t>
      </w:r>
      <w:r>
        <w:t xml:space="preserve"> tras una interfaz común:</w:t>
      </w:r>
    </w:p>
    <w:p>
      <w:pPr>
        <w:numPr>
          <w:ilvl w:val="0"/>
          <w:numId w:val="0"/>
        </w:numPr>
        <w:pStyle w:val="Source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Normal"/>
      </w:pPr>
      <w:r>
        <w:t xml:space="preserve">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Normal"/>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Normal"/>
      </w:pPr>
      <w:r>
        <w:t xml:space="preserve">El número de consumidores no es fijo: lo regula un controlador </w:t>
      </w:r>
      <w:r>
        <w:rPr>
          <w:b/>
        </w:rPr>
        <w:t>AIMD</w:t>
      </w:r>
      <w:r>
        <w:t xml:space="preserve"> (</w:t>
      </w:r>
      <w:r>
        <w:rPr>
          <w:i/>
        </w:rPr>
        <w:t>Additive Increase, Multiplicative Decrease</w:t>
      </w:r>
      <w:r>
        <w:t>), política tomada del control de congestión en redes [26]. Mientras el sistema permanece estable (sin errores de limitación de tasa ni excepciones) durante una ventana de 600 segundos, el controlador añade un consumidor cada 120 segundos hasta un techo del 75 % del máximo configurado; ante el primer error de saturación reduce los consumidores a la mitad. Un cortacircuitos complementa la política: cinco fallos consecutivos abren el circuito, que fija la concurrencia en un único consumidor y sondea la recuperación tras un enfriamiento de 300 segundos; un primer lote exitoso lo vuelve a cerrar. La asimetría entre el aumento prudente y el recorte agresivo es deliberada, pues el coste de saturar un servicio de inferencia (reintentos, respuestas truncadas, penalización por cuota) excede con mucho al de infrautilizarlo. El valor que el controlador recalcula se aplica al arrancar cada modelo o condición, mientras que el paralelismo interno de cada lote lo adopta de inmediato. Sobre el equipo de 48 GB (catorce núcleos, techo del controlador en nueve) el sistema escaló de forma estable hasta nueve consumidores concurrentes para el conjunto de modelos locales evaluados, de 1,5B a 31B; con lotes de tres registros, esos nueve consumidores equivalen a veintisiete extracciones simultáneas.</w:t>
      </w:r>
    </w:p>
    <w:p>
      <w:pPr>
        <w:numPr>
          <w:ilvl w:val="0"/>
          <w:numId w:val="0"/>
        </w:numPr>
        <w:pStyle w:val="Normal"/>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pero no reduce el footprint de uno solo, y esa distinción resultó decisiva. macOS expone en </w:t>
      </w:r>
      <w:r>
        <w:t>recommendedMaxWorkingSetSize</w:t>
      </w:r>
      <w:r>
        <w:t xml:space="preserve"> [36] el techo de memoria que la GPU puede ocupar sin degradar el rendimiento; medido sobre los equipos de prueba equivale al 75 % de la memoria unificada, unos 12 GB en una máquina de 16 GB. Los modelos GGUF de 7B a 12B ocupan entre 7 y 9 GB (y los compactos de 1,5B a 3B, entre 1,7 y 4 GB), así que caben con holgura; la compilación MLX de 12B, en cambio, alcanza 15–16 GB y desborda ese techo. La compilación MLX de 31B llega a un footprint operativo de ~24,6 GB medidos sobre N=15 y hasta ~27 GB sobre N=120, mientras que la compilación GGUF se estabiliza en ~18,8 GB de pesos; ninguna de las dos puede cargarse en 16 GB ni siquiera de forma serial. La cuantización, además, no es homogénea: Q4_K_M en la mayoría de los pesos GGUF, Q4_0 en </w:t>
      </w:r>
      <w:r>
        <w:t>mistral-nemo:latest</w:t>
      </w:r>
      <w:r>
        <w:t xml:space="preserve">, MXFP4 en </w:t>
      </w:r>
      <w:r>
        <w:t>gpt-oss:20b</w:t>
      </w:r>
      <w:r>
        <w:t xml:space="preserve"> y precisión mixta de cuatro bits en las compilaciones MLX, mientras que </w:t>
      </w:r>
      <w:r>
        <w:t>gemma4:31b-cloud</w:t>
      </w:r>
      <w:r>
        <w:t xml:space="preserve"> corre en BF16 y por eso no compite en igualdad de condiciones de memoria. La ejecución se organizó en consecuencia en dos escalones de hardware, repartidos por footprint medido y no por número de parámetros: 16 GB para los modelos que se mantuvieron por debajo de ~12 GB (los GGUF de 1,5B a 12B) y un equipo de 48 GB, con techo asignable de ~36 GB, para el resto, esto es, los de 31B, las compilaciones MLX y </w:t>
      </w:r>
      <w:r>
        <w:t>gpt-oss:20b</w:t>
      </w:r>
      <w:r>
        <w:t>.</w:t>
      </w:r>
    </w:p>
    <w:p>
      <w:pPr>
        <w:numPr>
          <w:ilvl w:val="0"/>
          <w:numId w:val="0"/>
        </w:numPr>
        <w:pStyle w:val="Heading2"/>
      </w:pPr>
      <w:r>
        <w:t>3.3 Módulo de evaluación</w:t>
      </w:r>
    </w:p>
    <w:p>
      <w:pPr>
        <w:numPr>
          <w:ilvl w:val="0"/>
          <w:numId w:val="0"/>
        </w:numPr>
        <w:pStyle w:val="BodyText"/>
      </w:pPr>
      <w:r>
        <w:t xml:space="preserve">La comparación entre lo extraído y la anotación de referencia no puede ser literal, porque una diferencia de puntuación o un artículo antepuesto invalidarían una extracción correcta. El evaluador emplea por ello emparejamiento difuso a nivel de caracteres, implementado con la función </w:t>
      </w:r>
      <w:r>
        <w:t>ratio</w:t>
      </w:r>
      <w:r>
        <w:t xml:space="preserve"> de la biblioteca </w:t>
      </w:r>
      <w:r>
        <w:rPr>
          <w:i/>
        </w:rPr>
        <w:t>rapidfuzz</w:t>
      </w:r>
      <w:r>
        <w:t xml:space="preserve"> [33], que normaliza la </w:t>
      </w:r>
      <w:r>
        <w:rPr>
          <w:b/>
        </w:rPr>
        <w:t>distancia de Indel</w:t>
      </w:r>
      <w:r>
        <w:t xml:space="preserve"> —el número mínimo de inserciones y supresiones necesarias para transformar una cadena en la otra, variante de la distancia de Levenshtein que excluye las sustituciones— a una escala de 0 a 100 mediante la expresión </w:t>
      </w:r>
      <w:r>
        <w:t>100 × (1 − d / (|a| + |b|))</w:t>
      </w:r>
      <w:r>
        <w:t xml:space="preserve">. Ambas cadenas se pasan a minúsculas antes de compararlas, así que la coincidencia es insensible a mayúsculas. Se acepta como acierto toda similitud igual o superior a un umbral configurable, fijado en </w:t>
      </w:r>
      <w:r>
        <w:rPr>
          <w:b/>
        </w:rPr>
        <w:t>85</w:t>
      </w:r>
      <w:r>
        <w:t>.</w:t>
      </w:r>
    </w:p>
    <w:p>
      <w:pPr>
        <w:numPr>
          <w:ilvl w:val="0"/>
          <w:numId w:val="0"/>
        </w:numPr>
        <w:pStyle w:val="Normal"/>
      </w:pPr>
      <w:r>
        <w:t xml:space="preserve">La elección del umbral es un compromiso: por debajo se admiten emparejamientos entre nombres distintos que comparten apellido; por encima se rechazan variantes legítimas. Conviene explicitar dos límites de esta métrica, porque condicionan la lectura de los resultados. Al operar sobre caracteres y no sobre palabras, </w:t>
      </w:r>
      <w:r>
        <w:rPr>
          <w:b/>
        </w:rPr>
        <w:t>es sensible al orden</w:t>
      </w:r>
      <w:r>
        <w:t xml:space="preserve">: «Juan Pérez» y «Pérez Juan» obtienen 50 sobre 100 y no casan, mientras que una métrica basada en tokens les daría 100. Y al normalizar por la longitud conjunta, </w:t>
      </w:r>
      <w:r>
        <w:rPr>
          <w:b/>
        </w:rPr>
        <w:t>penaliza las omisiones proporcionalmente</w:t>
      </w:r>
      <w:r>
        <w:t>: «Banco Santander» frente a «Santander» obtiene 75 y queda por debajo del umbral, de modo que una extracción parcialmente correcta cuenta como error. Ambos efectos empujan las cifras a la baja. En sentido contrario opera el conteo de aciertos, que se realiza por entidad extraída: varias menciones que casan con una misma entidad de referencia suman cada una un acierto, lo que puede elevar la exhaustividad en un pequeño número de registros (entre el 2 % y el 6 % de ellos según la corrida). El efecto neto observado es conservador.</w:t>
      </w:r>
    </w:p>
    <w:p>
      <w:pPr>
        <w:numPr>
          <w:ilvl w:val="0"/>
          <w:numId w:val="0"/>
        </w:numPr>
        <w:pStyle w:val="Normal"/>
      </w:pPr>
      <w:r>
        <w:t xml:space="preserve">Sobre esa base se calculan precisión, exhaustividad y F1 por artículo, que después se promedian, y una </w:t>
      </w:r>
      <w:r>
        <w:rPr>
          <w:b/>
        </w:rPr>
        <w:t>tasa de alucinación</w:t>
      </w:r>
      <w:r>
        <w:t xml:space="preserve"> que mide algo distinto de las anteriores: no compara con la anotación de referencia sino con el </w:t>
      </w:r>
      <w:r>
        <w:rPr>
          <w:b/>
        </w:rPr>
        <w:t>texto de origen</w:t>
      </w:r>
      <w:r>
        <w:t xml:space="preserve">. Una entidad se considera alucinada cuando no aparece literalmente en el artículo y, además, su mejor similitud contra las ventanas deslizantes del texto (del mismo número de palabras que la entidad) queda por debajo de </w:t>
      </w:r>
      <w:r>
        <w:rPr>
          <w:b/>
        </w:rPr>
        <w:t>70</w:t>
      </w:r>
      <w:r>
        <w:t>, umbral deliberadamente más laxo que el 85 del emparejamiento. La distinción importa: una entidad correctamente extraída del artículo pero ausente de la anotación de referencia cuenta como falso positivo, no como alucinación, porque el modelo no la inventó.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Normal"/>
      </w:pPr>
      <w:r>
        <w:t xml:space="preserve">Un tercer límite, de naturaleza distinta a los anteriores porque no procede del cotejo sino del diseño, afecta a la comparabilidad de las cifras absolutas. Los prompts del sistema solicitan tres categorías de entidad, personas, organizaciones y localizaciones, mientras que los registros con los que se tomaron las medidas de este informe anotaban únicamente las dos primeras: el campo de localizaciones estaba vacío en los ciento veinte. Conviene precisar dónde se pierde, porque no es donde parece: CoNLL-2002, que aporta 105 de los 120 artículos, </w:t>
      </w:r>
      <w:r>
        <w:rPr>
          <w:b/>
        </w:rPr>
        <w:t>sí anota localizaciones</w:t>
      </w:r>
      <w:r>
        <w:t xml:space="preserve"> —etiqueta cuatro tipos, personas, organizaciones, lugares y misceláneos—, y es el conversor del proyecto el que las descarta, al filtrar las etiquetas por </w:t>
      </w:r>
      <w:r>
        <w:t>["PER", "ORG"]</w:t>
      </w:r>
      <w:r>
        <w:t xml:space="preserve"> durante el análisis y escribir después la lista de localizaciones como constante vacía. El defecto es de la cadena de preparación de datos, no de la anotación de origen. Como el evaluador puntúa las tres categorías, toda localización que el modelo devuelve se contabiliza como falso positivo, sin que exista ninguna forma de acertar en ella. El efecto no era menor: sobre el consolidado publicado, el </w:t>
      </w:r>
      <w:r>
        <w:rPr>
          <w:b/>
        </w:rPr>
        <w:t>66,0 %</w:t>
      </w:r>
      <w:r>
        <w:t xml:space="preserve"> de los falsos positivos del estudio, 12 852 de 19 464, procedían de esa categoría, según recoge la Figura 1. La cifra cubre los veintiséis grupos del consolidado publicado y está desglosada por grupo en </w:t>
      </w:r>
      <w:r>
        <w:t>results/COMPOSICION_FP_20260908/</w:t>
      </w:r>
      <w:r>
        <w:t>; no describe la Tabla 7 vigente, que viene del consolidado adoptado en §5.3.1, donde el defecto ya está corregido. Conviene subrayar que se trata de una penalización exclusivamente de precisión, porque al no haber localizaciones anotadas tampoco puede haber omisiones: la exhaustividad no varía en ninguna configuración. Por esa razón este informe acompaña cada resultado de una segunda medición, restringida a las categorías que el corpus efectivamente anota, que se obtiene reagregando los desgloses por tipo ya almacenados y no requiere repetir la inferencia. Las cifras originales se conservan íntegras junto a ella, de modo que el lector pueda juzgar el alcance de la corrección; la Tabla del Anexo I recoge ambas para las cuarenta y dos configuraciones medidas sobre el corpus N=120. El defecto está corregido en el corpus desde el 8 de septiembre de 2026: recuperadas de CoNLL-2002 las localizaciones que su anotación ya traía y anotados a mano los quince artículos restantes, el fichero pasa a tener 545 localizaciones en 119 de los 120 registros, y el único que queda sin ninguna no menciona ningún lugar. Las cifras de este apartado y de la Figura 1 son del consolidado publicado, anterior a esa corrección, y se conservan tal como se midieron entonces: sustituirlas exigía volver a inferir, y eso es exactamente lo que hizo la re-corrida completa del 8 de septiembre, adoptada en §5.3.1 como fuente de la Tabla 7 vigente.</w:t>
      </w:r>
    </w:p>
    <w:p>
      <w:pPr>
        <w:numPr>
          <w:ilvl w:val="0"/>
          <w:numId w:val="0"/>
        </w:numPr>
        <w:pStyle w:val="Caption"/>
        <w:jc w:val="center"/>
        <w:spacing w:lineRule="auto" w:line="240" w:before="120" w:after="60"/>
        <w:keepNext w:val="1"/>
      </w:pPr>
      <w:r>
        <w:drawing>
          <wp:inline>
            <wp:extent cx="5612130" cy="1159663"/>
            <wp:docPr id="1" name="Picture 1"/>
            <wp:cNvGraphicFramePr>
              <a:graphicFrameLocks noChangeAspect="1"/>
            </wp:cNvGraphicFramePr>
            <a:graphic>
              <a:graphicData uri="http://schemas.openxmlformats.org/drawingml/2006/picture">
                <pic:pic>
                  <pic:nvPicPr>
                    <pic:cNvPr id="0" name="falsos-positivos.png"/>
                    <pic:cNvPicPr/>
                  </pic:nvPicPr>
                  <pic:blipFill>
                    <a:blip r:embed="rId9"/>
                    <a:stretch>
                      <a:fillRect/>
                    </a:stretch>
                  </pic:blipFill>
                  <pic:spPr>
                    <a:xfrm>
                      <a:off x="0" y="0"/>
                      <a:ext cx="5612130" cy="1159663"/>
                    </a:xfrm>
                    <a:prstGeom prst="rect"/>
                  </pic:spPr>
                </pic:pic>
              </a:graphicData>
            </a:graphic>
          </wp:inline>
        </w:drawing>
      </w:r>
    </w:p>
    <w:p>
      <w:pPr>
        <w:numPr>
          <w:ilvl w:val="0"/>
          <w:numId w:val="0"/>
        </w:numPr>
        <w:pStyle w:val="Caption"/>
      </w:pPr>
      <w:r>
        <w:t xml:space="preserve">Figura 1. Composición de los falsos positivos sobre el consolidado publicado (N=120, veintiséis grupos), previo a la corrección del corpus. Dos de cada tres procedían de una categoría que ese corpus no anotaba y en la que, por tanto, ningún modelo podía acertar; corregido antes de la re-corrida que hoy sostiene la Tabla 7 (§5.3.1). Elaboración propia a partir de </w:t>
      </w:r>
      <w:r>
        <w:t>results/COMPOSICION_FP_20260908/</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BodyText"/>
      </w:pPr>
      <w:r>
        <w:t>Se utilizaron tres corpus complementarios:</w:t>
      </w:r>
    </w:p>
    <w:p>
      <w:pPr>
        <w:numPr>
          <w:ilvl w:val="0"/>
          <w:numId w:val="0"/>
        </w:numPr>
        <w:pStyle w:val="Normal"/>
      </w:pPr>
      <w:r>
        <w:t xml:space="preserve">Corpus 1 — Kleptotrace/CoNLL-2002 (N=15, Gold Standard) [18], [12]: 15 artículos periodísticos reales del conjunto </w:t>
      </w:r>
      <w:r>
        <w:rPr>
          <w:i/>
        </w:rPr>
        <w:t>Kleptotrace-micro-dataset</w:t>
      </w:r>
      <w:r>
        <w:t xml:space="preserve"> [18] sobre corrupción financiera, lavado de activos y sanciones internacionales, </w:t>
      </w:r>
      <w:r>
        <w:rPr>
          <w:b/>
        </w:rPr>
        <w:t>redactados en inglés</w:t>
      </w:r>
      <w:r>
        <w:t>. Anotados manualmente con entidades Personas (PER) y Organizaciones (ORG) como referencia; el corpus no anota localizaciones, lo que tiene consecuencias sobre la medición que se discuten en §3.3. Longitud promedio: ~4.833 caracteres por artículo (mediana 5.280; rango 725–8.813).</w:t>
      </w:r>
    </w:p>
    <w:p>
      <w:pPr>
        <w:numPr>
          <w:ilvl w:val="0"/>
          <w:numId w:val="0"/>
        </w:numPr>
        <w:pStyle w:val="Normal"/>
      </w:pPr>
      <w:r>
        <w:t xml:space="preserve">Corpus 2 — Kleptotrace/CoNLL-2002 Augmented (N=30, Corpus de Validación Estadística): 30 artículos breves </w:t>
      </w:r>
      <w:r>
        <w:rPr>
          <w:b/>
        </w:rPr>
        <w:t>en inglés</w:t>
      </w:r>
      <w:r>
        <w:t>,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Normal"/>
      </w:pPr>
      <w:r>
        <w:t>Corpus 3 — Real Balanceado (N=120, Estudio Principal) [12], [18]: 120 artículos reales, 105 en español y 15 en inglés, que amplían el corpus 1 con material adicional del corpus público CoNLL-2002 en español. Es el corpus del estudio principal, sin texto generado por LLM; su construcción se detalla en §4.1.2.</w:t>
      </w:r>
    </w:p>
    <w:p>
      <w:pPr>
        <w:numPr>
          <w:ilvl w:val="0"/>
          <w:numId w:val="0"/>
        </w:numPr>
        <w:pStyle w:val="Heading3"/>
      </w:pPr>
      <w:r>
        <w:t>4.1.1 Generación y validez del corpus sintético N=30</w:t>
      </w:r>
    </w:p>
    <w:p>
      <w:pPr>
        <w:numPr>
          <w:ilvl w:val="0"/>
          <w:numId w:val="0"/>
        </w:numPr>
        <w:pStyle w:val="BodyText"/>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Normal"/>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Normal"/>
      </w:pPr>
      <w:r>
        <w:t>El uso de textos sintéticos para contrastar hipótesis es defendible aquí por cuatro razones. La primera es de potencia estadística: el teorema del límite central asegura que la media muestral se aproxima a una distribución normal a medida que crece el número de observaciones independientes, y la práctica habitual sitúa en torno a treinta el tamaño a partir del cual esa aproximación se considera aceptable,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[19]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3"/>
      </w:pPr>
      <w:r>
        <w:t>4.1.2 Extensión a Corpus Real N=120 (Dataset Conmutable)</w:t>
      </w:r>
    </w:p>
    <w:p>
      <w:pPr>
        <w:numPr>
          <w:ilvl w:val="0"/>
          <w:numId w:val="0"/>
        </w:numPr>
        <w:pStyle w:val="BodyText"/>
      </w:pPr>
      <w:r>
        <w:t xml:space="preserve">Tras la validación sobre el corpus sintético N=30 (§4.1.1–4.1.2), y como parte del cierre del proyecto (1 de septiembre de 2026, commit </w:t>
      </w:r>
      <w:r>
        <w:t>5ff38f5</w:t>
      </w:r>
      <w:r>
        <w:t xml:space="preserve">, </w:t>
      </w:r>
      <w:r>
        <w:rPr>
          <w:i/>
        </w:rPr>
        <w:t>"integrate balanced real dataset N=120"</w:t>
      </w:r>
      <w:r>
        <w:t>), se incorporó una tercera alternativa de corpus para reforzar la validez externa: en lugar de seguir aumentando el corpus por generación sintética, se amplió la base real combinando los 15 artículos Gold Standard de Kleptotrace/CoNLL-2002 [18] con 105 artículos reales del corpus público CoNLL-2002 en español [12] (</w:t>
      </w:r>
      <w:r>
        <w:t>data/conll2002_es.json</w:t>
      </w:r>
      <w:r>
        <w:t xml:space="preserve">, 833 artículos disponibles), generando el archivo </w:t>
      </w:r>
      <w:r>
        <w:t>data/benchmark_balanced_120.json</w:t>
      </w:r>
      <w:r>
        <w:t xml:space="preserve"> (N=120, script </w:t>
      </w:r>
      <w:r>
        <w:t>create_balanced_120.py</w:t>
      </w:r>
      <w:r>
        <w:t>). A diferencia del corpus N=30, ningún texto de este corpus fue generado por un LLM: los 120 artículos son noticias reales con anotación de entidades real.</w:t>
      </w:r>
    </w:p>
    <w:p>
      <w:pPr>
        <w:numPr>
          <w:ilvl w:val="0"/>
          <w:numId w:val="0"/>
        </w:numPr>
        <w:pStyle w:val="Normal"/>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Normal"/>
      </w:pPr>
      <w:r>
        <w:t xml:space="preserve">La anotación de referencia de este corpus distingue tres categorías de entidad: Personas y Organizaciones, ya descritas para los corpus 1 y 2, y </w:t>
      </w:r>
      <w:r>
        <w:rPr>
          <w:b/>
        </w:rPr>
        <w:t>Localizaciones</w:t>
      </w:r>
      <w:r>
        <w:t xml:space="preserve">, que identifica lugares geográficos mencionados en el artículo, países, ciudades o sedes de organismos reguladores, relevantes para establecer la jurisdicción de un caso de cumplimiento normativo. La categoría importa porque el </w:t>
      </w:r>
      <w:r>
        <w:rPr>
          <w:i/>
        </w:rPr>
        <w:t>prompt</w:t>
      </w:r>
      <w:r>
        <w:t xml:space="preserve"> del sistema la solicita en los tres corpus (Anexo B) pero la anotación de referencia no siempre la recoge: los corpus 1 y 2 no la anotan en absoluto, y en este corpus 3 permaneció vacía hasta el 8 de septiembre de 2026 por un defecto de la cadena de preparación de datos, no de la anotación de origen de CoNLL-2002. El efecto sobre la medición y su corrección se detallan en §3.3.</w:t>
      </w:r>
    </w:p>
    <w:p>
      <w:pPr>
        <w:numPr>
          <w:ilvl w:val="0"/>
          <w:numId w:val="0"/>
        </w:numPr>
        <w:pStyle w:val="Heading2"/>
      </w:pPr>
      <w:r>
        <w:t>4.2 Modelos evaluados</w:t>
      </w:r>
    </w:p>
    <w:p>
      <w:pPr>
        <w:numPr>
          <w:ilvl w:val="0"/>
          <w:numId w:val="0"/>
        </w:numPr>
        <w:pStyle w:val="BodyText"/>
      </w:pPr>
      <w:r>
        <w:t xml:space="preserve">El trabajo comprende dos conjuntos de evaluación que no hay que confundir. El benchmark exploratorio de la Tabla 4 (§5.1) cubre doce modelos en trece configuraciones sobre N=15 en modo </w:t>
      </w:r>
      <w:r>
        <w:t>entities</w:t>
      </w:r>
      <w:r>
        <w:t xml:space="preserve"> (</w:t>
      </w:r>
      <w:r>
        <w:t>gemma4:latest</w:t>
      </w:r>
      <w:r>
        <w:t xml:space="preserve"> aparece dos veces, en sus variantes ZS-ES y FS-ES), mientras que el estudio principal (§5.3.1)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Normal"/>
      </w:pPr>
      <w:r>
        <w:t xml:space="preserve">Los modelos de la Tabla 4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BodyText"/>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habitualmente llamado </w:t>
      </w:r>
      <w:r>
        <w:rPr>
          <w:i/>
        </w:rPr>
        <w:t>ablation study</w:t>
      </w:r>
      <w:r>
        <w:t xml:space="preserve"> en la bibliografía en inglés. Las cuatro celdas son zero-shot en inglés, que actúa como referencia, zero-shot en español, few-shot en inglés y few-shot en español, empleando en los dos últimos dos ejemplos del dominio de cumplimiento.</w:t>
      </w:r>
    </w:p>
    <w:p>
      <w:pPr>
        <w:numPr>
          <w:ilvl w:val="0"/>
          <w:numId w:val="0"/>
        </w:numPr>
        <w:pStyle w:val="Normal"/>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Normal"/>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Normal"/>
      </w:pPr>
      <w:r>
        <w:t>Los dos ejemplos empleados en la configuración few-shot en español cubren un caso con persona y organización y otro sin persona nombrada; se reproducen íntegros en el Anexo B.</w:t>
      </w:r>
    </w:p>
    <w:p>
      <w:pPr>
        <w:numPr>
          <w:ilvl w:val="0"/>
          <w:numId w:val="0"/>
        </w:numPr>
        <w:pStyle w:val="Normal"/>
      </w:pPr>
      <w:r>
        <w:t xml:space="preserve">Los resultados del análisis de variantes de prompts revelan una interacción entre los dos factores: por separado, la localización al español aporta +4.38 pp de F1 y los ejemplos </w:t>
      </w:r>
      <w:r>
        <w:rPr>
          <w:i/>
        </w:rPr>
        <w:t>few-shot</w:t>
      </w:r>
      <w:r>
        <w:t xml:space="preserve"> en inglés no aportan nada (−0.72 pp), pero su combinación alcanza +10.40 pp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BodyText"/>
      </w:pPr>
      <w:r>
        <w:t>Las cifras que recorren el capítulo siguiente descansan sobre un puñado de métricas cuyo significado conviene fijar, porque cada una responde a una pregunta distinta y ninguna basta por sí sola.</w:t>
      </w:r>
    </w:p>
    <w:p>
      <w:pPr>
        <w:numPr>
          <w:ilvl w:val="0"/>
          <w:numId w:val="0"/>
        </w:numPr>
        <w:pStyle w:val="Normal"/>
      </w:pPr>
      <w:r>
        <w:t xml:space="preserve">Las tres primeras se construyen sobre el mismo recuento. Una entidad extraída que coincide con la anotación de referencia es un </w:t>
      </w:r>
      <w:r>
        <w:rPr>
          <w:b/>
        </w:rPr>
        <w:t>verdadero positivo</w:t>
      </w:r>
      <w:r>
        <w:t xml:space="preserve">; una que el modelo propone sin respaldo en la referencia es un </w:t>
      </w:r>
      <w:r>
        <w:rPr>
          <w:b/>
        </w:rPr>
        <w:t>falso positivo</w:t>
      </w:r>
      <w:r>
        <w:t xml:space="preserve">; y una que la referencia contiene pero el modelo no propuso es un </w:t>
      </w:r>
      <w:r>
        <w:rPr>
          <w:b/>
        </w:rPr>
        <w:t>falso negativo</w:t>
      </w:r>
      <w:r>
        <w:t xml:space="preserve">. Con ellos, la </w:t>
      </w:r>
      <w:r>
        <w:rPr>
          <w:b/>
        </w:rPr>
        <w:t>precisión</w:t>
      </w:r>
      <w:r>
        <w:t xml:space="preserve"> (verdaderos positivos sobre el total de propuestas) responde a «de lo que el modelo afirmó, cuánto era cierto», y la </w:t>
      </w:r>
      <w:r>
        <w:rPr>
          <w:b/>
        </w:rPr>
        <w:t>exhaustividad</w:t>
      </w:r>
      <w:r>
        <w:t xml:space="preserve"> o </w:t>
      </w:r>
      <w:r>
        <w:rPr>
          <w:i/>
        </w:rPr>
        <w:t>recall</w:t>
      </w:r>
      <w:r>
        <w:t xml:space="preserve"> (verdaderos positivos sobre el total de la referencia) a «de lo que había que encontrar, cuánto encontró». Ambas se oponen: un modelo que solo propone lo que tiene clarísimo alcanza alta precisión y baja exhaustividad, y uno que propone cuanto se le ocurre, lo contrario.</w:t>
      </w:r>
    </w:p>
    <w:p>
      <w:pPr>
        <w:numPr>
          <w:ilvl w:val="0"/>
          <w:numId w:val="0"/>
        </w:numPr>
        <w:pStyle w:val="Normal"/>
      </w:pPr>
      <w:r>
        <w:t xml:space="preserve">El </w:t>
      </w:r>
      <w:r>
        <w:rPr>
          <w:b/>
        </w:rPr>
        <w:t>F1</w:t>
      </w:r>
      <w:r>
        <w:t xml:space="preserve"> las resume en una sola cifra mediante su media </w:t>
      </w:r>
      <w:r>
        <w:rPr>
          <w:b/>
        </w:rPr>
        <w:t>armónica</w:t>
      </w:r>
      <w:r>
        <w:t>, no aritmética, y esa elección no es un tecnicismo: la media armónica se desploma cuando una de las dos componentes es baja, mientras que la aritmética la disimularía. Un modelo con precisión del 100 % y exhaustividad del 2 % obtendría 51 puntos de media aritmética pero apenas 3,9 de F1. De ahí se sigue una propiedad que sirve como control de coherencia y que este trabajo utiliza para validar sus propios datos: el F1 nunca puede superar la media aritmética de precisión y exhaustividad, así que cualquier fila que la exceda delata un error de cálculo.</w:t>
      </w:r>
    </w:p>
    <w:p>
      <w:pPr>
        <w:numPr>
          <w:ilvl w:val="0"/>
          <w:numId w:val="0"/>
        </w:numPr>
        <w:pStyle w:val="Normal"/>
      </w:pPr>
      <w:r>
        <w:t xml:space="preserve">Interesa además distinguir el error de la invención. La </w:t>
      </w:r>
      <w:r>
        <w:rPr>
          <w:b/>
        </w:rPr>
        <w:t>tasa de alucinación</w:t>
      </w:r>
      <w:r>
        <w:t xml:space="preserve"> no compara con la referencia sino con el artículo: mide qué proporción de lo extraído no aparece en el texto de origen. Un modelo puede tener precisión baja por proponer entidades reales del artículo que la anotación no recoge (un error de cobertura de la referencia) sin haber inventado nada; y puede, al contrario, fabricar nombres plausibles procedentes de su memoria de entrenamiento. Las dos situaciones exigen respuestas distintas, y en un dominio de cumplimiento normativo la segunda es la grave.</w:t>
      </w:r>
    </w:p>
    <w:p>
      <w:pPr>
        <w:numPr>
          <w:ilvl w:val="0"/>
          <w:numId w:val="0"/>
        </w:numPr>
        <w:pStyle w:val="Normal"/>
      </w:pPr>
      <w:r>
        <w:t xml:space="preserve">El coste se mide con dos indicadores complementarios. La </w:t>
      </w:r>
      <w:r>
        <w:rPr>
          <w:b/>
        </w:rPr>
        <w:t>latencia</w:t>
      </w:r>
      <w:r>
        <w:t xml:space="preserve"> registra el reloj de pared de cada artículo, desde que entra en la cola de trabajo hasta que su respuesta está lista. Conviene precisar qué incluye eso, porque no es tiempo de inferencia: al ejecutarse varios artículos en paralelo, la medida acumula la espera del registro mientras otros ocupan la GPU. Se comprueba en los propios datos, y de forma concluyente: multiplicando la latencia por el rendimiento en tokens por segundo se obtendrían los tokens generados, y en veinte de los veintiséis grupos ese producto supera el tope de salida configurado, en un caso por veintiún veces. La latencia </w:t>
      </w:r>
      <w:r>
        <w:rPr>
          <w:b/>
        </w:rPr>
        <w:t>no caracteriza al modelo</w:t>
      </w:r>
      <w:r>
        <w:t xml:space="preserve">, por tanto, sino al régimen de ejecución, y no es comparable entre filas ni siquiera dentro de una misma corrida, porque el controlador de concurrencia varía los consumidores mientras el barrido avanza. El </w:t>
      </w:r>
      <w:r>
        <w:rPr>
          <w:b/>
        </w:rPr>
        <w:t>índice Tok/s/B</w:t>
      </w:r>
      <w:r>
        <w:t xml:space="preserve"> sí lo permite: divide los tokens generados por segundo entre los miles de millones de parámetros del modelo, y expresa por tanto cuánto rendimiento se obtiene por unidad de capacidad instalada. Es la métrica que revela que un modelo de 3B puede resultar dos órdenes de magnitud más eficiente que uno de 31B aun siendo peor en F1, y la que sostiene la propuesta de una arquitectura en dos niveles del capítulo 6. Se completa con la </w:t>
      </w:r>
      <w:r>
        <w:rPr>
          <w:b/>
        </w:rPr>
        <w:t>memoria de vídeo</w:t>
      </w:r>
      <w:r>
        <w:t xml:space="preserve"> ocupada, que determina qué modelos caben en cada máquina y que fue el factor limitante del estudio.</w:t>
      </w:r>
    </w:p>
    <w:p>
      <w:pPr>
        <w:numPr>
          <w:ilvl w:val="0"/>
          <w:numId w:val="0"/>
        </w:numPr>
        <w:pStyle w:val="Normal"/>
      </w:pPr>
      <w:r>
        <w:t xml:space="preserve">El cotejo entre la entidad extraída y la de referencia es difuso a nivel de caracteres (distancia de Indel normalizada, descrita en §3.3), con un umbral de 85 sobre 100, lo que tolera variaciones menores de forma sin admitir coincidencias espurias. El recuento de aciertos se realiza por entidad extraída y el de omisiones por entidad de referencia, y las cifras se agregan </w:t>
      </w:r>
      <w:r>
        <w:rPr>
          <w:b/>
        </w:rPr>
        <w:t>dentro de cada artículo</w:t>
      </w:r>
      <w:r>
        <w:t xml:space="preserve"> y después se promedian entre artículos, de modo que cada artículo pesa lo mismo con independencia de cuántas entidades contenga. Esa es la </w:t>
      </w:r>
      <w:r>
        <w:rPr>
          <w:b/>
        </w:rPr>
        <w:t>única</w:t>
      </w:r>
      <w:r>
        <w:t xml:space="preserve"> convención de agregación que emplea este informe, tanto en las tablas de resultados como en los anexos y en las cifras del resumen: una agregación alternativa, que sumara aciertos y errores de todo el corpus antes de calcular la métrica, daría valores distintos —para el mejor modelo local sobre el corpus real, 62,67 % frente al 59,25 % que aquí se publica— y mezclarlas haría incomparables las cifras del texto con las de sus propias tablas. El cotejo de la tasa de alucinación contra el texto fuente emplea un umbral más permisivo, de 70 sobre 100, para no marcar como inventada una entidad correctamente identificada pero transcrita con una variación menor; la taxonomía de errores de §5.4 usa un corte de 50.</w:t>
      </w:r>
    </w:p>
    <w:p>
      <w:pPr>
        <w:numPr>
          <w:ilvl w:val="0"/>
          <w:numId w:val="0"/>
        </w:numPr>
        <w:pStyle w:val="Normal"/>
      </w:pPr>
      <w:r>
        <w:t xml:space="preserve">Convención ante la extracción vacía.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Normal"/>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[29], scikit-learn [34], statsmodels [35],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BodyText"/>
      </w:pPr>
      <w:r>
        <w:t>La Tabla 4 presenta los resultados consolidados del benchmark completo agrupados por familia y tamaño de modelo:</w:t>
      </w:r>
    </w:p>
    <w:p>
      <w:pPr>
        <w:numPr>
          <w:ilvl w:val="0"/>
          <w:numId w:val="0"/>
        </w:numPr>
        <w:pStyle w:val="TableCaption"/>
      </w:pPr>
      <w:r>
        <w:t>Tabla 4. Benchmark exploratorio: doce modelos en trece configuraciones sobre el corpus de quince artículos (N=15)</w:t>
      </w:r>
    </w:p>
    <w:tbl>
      <w:tblPr>
        <w:tblStyle w:val="Table"/>
        <w:tblW w:type="pct" w:w="5000.0"/>
        <w:tblLook w:firstRow="1"/>
      </w:tblPr>
      <w:tblGrid>
        <w:gridCol w:w="1021"/>
        <w:gridCol w:w="900"/>
        <w:gridCol w:w="948"/>
        <w:gridCol w:w="900"/>
        <w:gridCol w:w="900"/>
        <w:gridCol w:w="900"/>
        <w:gridCol w:w="1232"/>
        <w:gridCol w:w="1137"/>
        <w:gridCol w:w="900"/>
      </w:tblGrid>
      <w:tr>
        <w:trPr>
          <w:cnfStyle w:firstRow="1"/>
        </w:trPr>
        <w:tc>
          <w:tcPr>
            <w:tcW w:type="dxa" w:w="1021"/>
            <w:tcBorders>
              <w:bottom w:val="single"/>
            </w:tcBorders>
            <w:vAlign w:val="bottom"/>
          </w:tcPr>
          <w:p>
            <w:pPr>
              <w:pStyle w:val="Compact"/>
              <w:jc w:val="left"/>
            </w:pPr>
            <w:r>
              <w:rPr>
                <w:b/>
              </w:rPr>
              <w:t>Modelo</w:t>
            </w:r>
          </w:p>
        </w:tc>
        <w:tc>
          <w:tcPr>
            <w:tcW w:type="dxa" w:w="900"/>
            <w:tcBorders>
              <w:bottom w:val="single"/>
            </w:tcBorders>
            <w:vAlign w:val="bottom"/>
          </w:tcPr>
          <w:p>
            <w:pPr>
              <w:pStyle w:val="Compact"/>
              <w:jc w:val="left"/>
            </w:pPr>
            <w:r>
              <w:rPr>
                <w:b/>
              </w:rPr>
              <w:t>Tipo</w:t>
            </w:r>
          </w:p>
        </w:tc>
        <w:tc>
          <w:tcPr>
            <w:tcW w:type="dxa" w:w="948"/>
            <w:tcBorders>
              <w:bottom w:val="single"/>
            </w:tcBorders>
            <w:vAlign w:val="bottom"/>
          </w:tcPr>
          <w:p>
            <w:pPr>
              <w:pStyle w:val="Compact"/>
              <w:jc w:val="left"/>
            </w:pPr>
            <w:r>
              <w:rPr>
                <w:b/>
              </w:rPr>
              <w:t>Parámetros</w:t>
            </w:r>
          </w:p>
        </w:tc>
        <w:tc>
          <w:tcPr>
            <w:tcW w:type="dxa" w:w="900"/>
            <w:tcBorders>
              <w:bottom w:val="single"/>
            </w:tcBorders>
            <w:vAlign w:val="bottom"/>
          </w:tcPr>
          <w:p>
            <w:pPr>
              <w:pStyle w:val="Compact"/>
              <w:jc w:val="center"/>
            </w:pPr>
            <w:r>
              <w:rPr>
                <w:b/>
              </w:rPr>
              <w:t>F1</w:t>
            </w:r>
          </w:p>
        </w:tc>
        <w:tc>
          <w:tcPr>
            <w:tcW w:type="dxa" w:w="900"/>
            <w:tcBorders>
              <w:bottom w:val="single"/>
            </w:tcBorders>
            <w:vAlign w:val="bottom"/>
          </w:tcPr>
          <w:p>
            <w:pPr>
              <w:pStyle w:val="Compact"/>
              <w:jc w:val="center"/>
            </w:pPr>
            <w:r>
              <w:rPr>
                <w:b/>
              </w:rPr>
              <w:t>Precisión</w:t>
            </w:r>
          </w:p>
        </w:tc>
        <w:tc>
          <w:tcPr>
            <w:tcW w:type="dxa" w:w="900"/>
            <w:tcBorders>
              <w:bottom w:val="single"/>
            </w:tcBorders>
            <w:vAlign w:val="bottom"/>
          </w:tcPr>
          <w:p>
            <w:pPr>
              <w:pStyle w:val="Compact"/>
              <w:jc w:val="left"/>
            </w:pPr>
            <w:r>
              <w:rPr>
                <w:b/>
              </w:rPr>
              <w:t>Recall</w:t>
            </w:r>
          </w:p>
        </w:tc>
        <w:tc>
          <w:tcPr>
            <w:tcW w:type="dxa" w:w="1232"/>
            <w:tcBorders>
              <w:bottom w:val="single"/>
            </w:tcBorders>
            <w:vAlign w:val="bottom"/>
          </w:tcPr>
          <w:p>
            <w:pPr>
              <w:pStyle w:val="Compact"/>
              <w:jc w:val="left"/>
            </w:pPr>
            <w:r>
              <w:rPr>
                <w:b/>
              </w:rPr>
              <w:t>Hallucination</w:t>
            </w:r>
          </w:p>
        </w:tc>
        <w:tc>
          <w:tcPr>
            <w:tcW w:type="dxa" w:w="1137"/>
            <w:tcBorders>
              <w:bottom w:val="single"/>
            </w:tcBorders>
            <w:vAlign w:val="bottom"/>
          </w:tcPr>
          <w:p>
            <w:pPr>
              <w:pStyle w:val="Compact"/>
              <w:jc w:val="left"/>
            </w:pPr>
            <w:r>
              <w:rPr>
                <w:b/>
              </w:rPr>
              <w:t>Latencia (s)</w:t>
            </w:r>
          </w:p>
        </w:tc>
        <w:tc>
          <w:tcPr>
            <w:tcW w:type="dxa" w:w="900"/>
            <w:tcBorders>
              <w:bottom w:val="single"/>
            </w:tcBorders>
            <w:vAlign w:val="bottom"/>
          </w:tcPr>
          <w:p>
            <w:pPr>
              <w:pStyle w:val="Compact"/>
              <w:jc w:val="left"/>
            </w:pPr>
            <w:r>
              <w:rPr>
                <w:b/>
              </w:rPr>
              <w:t>Tok/s/B</w:t>
            </w:r>
          </w:p>
        </w:tc>
      </w:tr>
      <w:tr>
        <w:tc>
          <w:tcPr>
            <w:tcW w:type="dxa" w:w="1021"/>
          </w:tcPr>
          <w:p>
            <w:pPr>
              <w:pStyle w:val="Compact"/>
              <w:jc w:val="left"/>
            </w:pPr>
            <w:r>
              <w:rPr>
                <w:b w:val="0"/>
              </w:rPr>
              <w:t>gemma4:latest (FS-ES)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rPr>
              <w:t>74.44%</w:t>
            </w:r>
          </w:p>
        </w:tc>
        <w:tc>
          <w:tcPr>
            <w:tcW w:type="dxa" w:w="900"/>
          </w:tcPr>
          <w:p>
            <w:pPr>
              <w:pStyle w:val="Compact"/>
              <w:jc w:val="center"/>
            </w:pPr>
            <w:r>
              <w:rPr>
                <w:b w:val="0"/>
              </w:rPr>
              <w:t>66.78%</w:t>
            </w:r>
          </w:p>
        </w:tc>
        <w:tc>
          <w:tcPr>
            <w:tcW w:type="dxa" w:w="900"/>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900"/>
          </w:tcPr>
          <w:p>
            <w:pPr>
              <w:pStyle w:val="Compact"/>
              <w:jc w:val="left"/>
            </w:pPr>
            <w:r>
              <w:rPr>
                <w:b w:val="0"/>
              </w:rPr>
              <w:t>5.80</w:t>
            </w:r>
          </w:p>
        </w:tc>
      </w:tr>
      <w:tr>
        <w:tc>
          <w:tcPr>
            <w:tcW w:type="dxa" w:w="1021"/>
          </w:tcPr>
          <w:p>
            <w:pPr>
              <w:pStyle w:val="Compact"/>
              <w:jc w:val="left"/>
            </w:pPr>
            <w:r>
              <w:rPr>
                <w:b/>
              </w:rPr>
              <w:t>gemma4:31b</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69.12%</w:t>
            </w:r>
          </w:p>
        </w:tc>
        <w:tc>
          <w:tcPr>
            <w:tcW w:type="dxa" w:w="900"/>
          </w:tcPr>
          <w:p>
            <w:pPr>
              <w:pStyle w:val="Compact"/>
              <w:jc w:val="center"/>
            </w:pPr>
            <w:r>
              <w:rPr>
                <w:b w:val="0"/>
              </w:rPr>
              <w:t>58.83%</w:t>
            </w:r>
          </w:p>
        </w:tc>
        <w:tc>
          <w:tcPr>
            <w:tcW w:type="dxa" w:w="900"/>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900"/>
          </w:tcPr>
          <w:p>
            <w:pPr>
              <w:pStyle w:val="Compact"/>
              <w:jc w:val="left"/>
            </w:pPr>
            <w:r>
              <w:rPr>
                <w:b w:val="0"/>
              </w:rPr>
              <w:t>0.33</w:t>
            </w:r>
          </w:p>
        </w:tc>
      </w:tr>
      <w:tr>
        <w:tc>
          <w:tcPr>
            <w:tcW w:type="dxa" w:w="1021"/>
          </w:tcPr>
          <w:p>
            <w:pPr>
              <w:pStyle w:val="Compact"/>
              <w:jc w:val="left"/>
            </w:pPr>
            <w:r>
              <w:rPr>
                <w:b w:val="0"/>
              </w:rPr>
              <w:t>gemma4:31b-mlx</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68.52%</w:t>
            </w:r>
          </w:p>
        </w:tc>
        <w:tc>
          <w:tcPr>
            <w:tcW w:type="dxa" w:w="900"/>
          </w:tcPr>
          <w:p>
            <w:pPr>
              <w:pStyle w:val="Compact"/>
              <w:jc w:val="center"/>
            </w:pPr>
            <w:r>
              <w:rPr>
                <w:b w:val="0"/>
              </w:rPr>
              <w:t>58.31%</w:t>
            </w:r>
          </w:p>
        </w:tc>
        <w:tc>
          <w:tcPr>
            <w:tcW w:type="dxa" w:w="900"/>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900"/>
          </w:tcPr>
          <w:p>
            <w:pPr>
              <w:pStyle w:val="Compact"/>
              <w:jc w:val="left"/>
            </w:pPr>
            <w:r>
              <w:rPr>
                <w:b w:val="0"/>
              </w:rPr>
              <w:t>0.74</w:t>
            </w:r>
          </w:p>
        </w:tc>
      </w:tr>
      <w:tr>
        <w:tc>
          <w:tcPr>
            <w:tcW w:type="dxa" w:w="1021"/>
          </w:tcPr>
          <w:p>
            <w:pPr>
              <w:pStyle w:val="Compact"/>
              <w:jc w:val="left"/>
            </w:pPr>
            <w:r>
              <w:rPr>
                <w:b w:val="0"/>
              </w:rPr>
              <w:t>gemma4:latest (ZS-ES)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val="0"/>
              </w:rPr>
              <w:t>68.43%</w:t>
            </w:r>
          </w:p>
        </w:tc>
        <w:tc>
          <w:tcPr>
            <w:tcW w:type="dxa" w:w="900"/>
          </w:tcPr>
          <w:p>
            <w:pPr>
              <w:pStyle w:val="Compact"/>
              <w:jc w:val="center"/>
            </w:pPr>
            <w:r>
              <w:rPr>
                <w:b w:val="0"/>
              </w:rPr>
              <w:t>60.68%</w:t>
            </w:r>
          </w:p>
        </w:tc>
        <w:tc>
          <w:tcPr>
            <w:tcW w:type="dxa" w:w="900"/>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900"/>
          </w:tcPr>
          <w:p>
            <w:pPr>
              <w:pStyle w:val="Compact"/>
              <w:jc w:val="left"/>
            </w:pPr>
            <w:r>
              <w:rPr>
                <w:b w:val="0"/>
              </w:rPr>
              <w:t>5.80</w:t>
            </w:r>
          </w:p>
        </w:tc>
      </w:tr>
      <w:tr>
        <w:tc>
          <w:tcPr>
            <w:tcW w:type="dxa" w:w="1021"/>
          </w:tcPr>
          <w:p>
            <w:pPr>
              <w:pStyle w:val="Compact"/>
              <w:jc w:val="left"/>
            </w:pPr>
            <w:r>
              <w:rPr>
                <w:b w:val="0"/>
              </w:rPr>
              <w:t>gemma4:31b-cloud</w:t>
            </w:r>
          </w:p>
        </w:tc>
        <w:tc>
          <w:tcPr>
            <w:tcW w:type="dxa" w:w="900"/>
          </w:tcPr>
          <w:p>
            <w:pPr>
              <w:pStyle w:val="Compact"/>
              <w:jc w:val="left"/>
            </w:pPr>
            <w:r>
              <w:rPr>
                <w:b w:val="0"/>
              </w:rPr>
              <w:t>Cloud</w:t>
            </w:r>
          </w:p>
        </w:tc>
        <w:tc>
          <w:tcPr>
            <w:tcW w:type="dxa" w:w="948"/>
          </w:tcPr>
          <w:p>
            <w:pPr>
              <w:pStyle w:val="Compact"/>
              <w:jc w:val="left"/>
            </w:pPr>
            <w:r>
              <w:rPr>
                <w:b w:val="0"/>
              </w:rPr>
              <w:t>31B</w:t>
            </w:r>
          </w:p>
        </w:tc>
        <w:tc>
          <w:tcPr>
            <w:tcW w:type="dxa" w:w="900"/>
          </w:tcPr>
          <w:p>
            <w:pPr>
              <w:pStyle w:val="Compact"/>
              <w:jc w:val="center"/>
            </w:pPr>
            <w:r>
              <w:rPr>
                <w:b w:val="0"/>
              </w:rPr>
              <w:t>66.99%</w:t>
            </w:r>
          </w:p>
        </w:tc>
        <w:tc>
          <w:tcPr>
            <w:tcW w:type="dxa" w:w="900"/>
          </w:tcPr>
          <w:p>
            <w:pPr>
              <w:pStyle w:val="Compact"/>
              <w:jc w:val="center"/>
            </w:pPr>
            <w:r>
              <w:rPr>
                <w:b w:val="0"/>
              </w:rPr>
              <w:t>55.46%</w:t>
            </w:r>
          </w:p>
        </w:tc>
        <w:tc>
          <w:tcPr>
            <w:tcW w:type="dxa" w:w="900"/>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900"/>
          </w:tcPr>
          <w:p>
            <w:pPr>
              <w:pStyle w:val="Compact"/>
              <w:jc w:val="left"/>
            </w:pPr>
            <w:r>
              <w:rPr>
                <w:b w:val="0"/>
              </w:rPr>
              <w:t>—</w:t>
            </w:r>
          </w:p>
        </w:tc>
      </w:tr>
      <w:tr>
        <w:tc>
          <w:tcPr>
            <w:tcW w:type="dxa" w:w="1021"/>
          </w:tcPr>
          <w:p>
            <w:pPr>
              <w:pStyle w:val="Compact"/>
              <w:jc w:val="left"/>
            </w:pPr>
            <w:r>
              <w:rPr>
                <w:b w:val="0"/>
              </w:rPr>
              <w:t>llama3.2:latest</w:t>
            </w:r>
          </w:p>
        </w:tc>
        <w:tc>
          <w:tcPr>
            <w:tcW w:type="dxa" w:w="900"/>
          </w:tcPr>
          <w:p>
            <w:pPr>
              <w:pStyle w:val="Compact"/>
              <w:jc w:val="left"/>
            </w:pPr>
            <w:r>
              <w:rPr>
                <w:b w:val="0"/>
              </w:rPr>
              <w:t>Local</w:t>
            </w:r>
          </w:p>
        </w:tc>
        <w:tc>
          <w:tcPr>
            <w:tcW w:type="dxa" w:w="948"/>
          </w:tcPr>
          <w:p>
            <w:pPr>
              <w:pStyle w:val="Compact"/>
              <w:jc w:val="left"/>
            </w:pPr>
            <w:r>
              <w:rPr>
                <w:b w:val="0"/>
              </w:rPr>
              <w:t>3B</w:t>
            </w:r>
          </w:p>
        </w:tc>
        <w:tc>
          <w:tcPr>
            <w:tcW w:type="dxa" w:w="900"/>
          </w:tcPr>
          <w:p>
            <w:pPr>
              <w:pStyle w:val="Compact"/>
              <w:jc w:val="center"/>
            </w:pPr>
            <w:r>
              <w:rPr>
                <w:b w:val="0"/>
              </w:rPr>
              <w:t>63.19%</w:t>
            </w:r>
          </w:p>
        </w:tc>
        <w:tc>
          <w:tcPr>
            <w:tcW w:type="dxa" w:w="900"/>
          </w:tcPr>
          <w:p>
            <w:pPr>
              <w:pStyle w:val="Compact"/>
              <w:jc w:val="center"/>
            </w:pPr>
            <w:r>
              <w:rPr>
                <w:b w:val="0"/>
              </w:rPr>
              <w:t>62.82%</w:t>
            </w:r>
          </w:p>
        </w:tc>
        <w:tc>
          <w:tcPr>
            <w:tcW w:type="dxa" w:w="900"/>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900"/>
          </w:tcPr>
          <w:p>
            <w:pPr>
              <w:pStyle w:val="Compact"/>
              <w:jc w:val="left"/>
            </w:pPr>
            <w:r>
              <w:rPr>
                <w:b w:val="0"/>
              </w:rPr>
              <w:t>26.44</w:t>
            </w:r>
          </w:p>
        </w:tc>
      </w:tr>
      <w:tr>
        <w:tc>
          <w:tcPr>
            <w:tcW w:type="dxa" w:w="1021"/>
          </w:tcPr>
          <w:p>
            <w:pPr>
              <w:pStyle w:val="Compact"/>
              <w:jc w:val="left"/>
            </w:pPr>
            <w:r>
              <w:rPr>
                <w:b w:val="0"/>
              </w:rPr>
              <w:t>gemma:latest</w:t>
            </w:r>
          </w:p>
        </w:tc>
        <w:tc>
          <w:tcPr>
            <w:tcW w:type="dxa" w:w="900"/>
          </w:tcPr>
          <w:p>
            <w:pPr>
              <w:pStyle w:val="Compact"/>
              <w:jc w:val="left"/>
            </w:pPr>
            <w:r>
              <w:rPr>
                <w:b w:val="0"/>
              </w:rPr>
              <w:t>Local</w:t>
            </w:r>
          </w:p>
        </w:tc>
        <w:tc>
          <w:tcPr>
            <w:tcW w:type="dxa" w:w="948"/>
          </w:tcPr>
          <w:p>
            <w:pPr>
              <w:pStyle w:val="Compact"/>
              <w:jc w:val="left"/>
            </w:pPr>
            <w:r>
              <w:rPr>
                <w:b w:val="0"/>
              </w:rPr>
              <w:t>7B</w:t>
            </w:r>
          </w:p>
        </w:tc>
        <w:tc>
          <w:tcPr>
            <w:tcW w:type="dxa" w:w="900"/>
          </w:tcPr>
          <w:p>
            <w:pPr>
              <w:pStyle w:val="Compact"/>
              <w:jc w:val="center"/>
            </w:pPr>
            <w:r>
              <w:rPr>
                <w:b w:val="0"/>
              </w:rPr>
              <w:t>62.66%</w:t>
            </w:r>
          </w:p>
        </w:tc>
        <w:tc>
          <w:tcPr>
            <w:tcW w:type="dxa" w:w="900"/>
          </w:tcPr>
          <w:p>
            <w:pPr>
              <w:pStyle w:val="Compact"/>
              <w:jc w:val="center"/>
            </w:pPr>
            <w:r>
              <w:rPr>
                <w:b w:val="0"/>
              </w:rPr>
              <w:t>58.47%</w:t>
            </w:r>
          </w:p>
        </w:tc>
        <w:tc>
          <w:tcPr>
            <w:tcW w:type="dxa" w:w="900"/>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900"/>
          </w:tcPr>
          <w:p>
            <w:pPr>
              <w:pStyle w:val="Compact"/>
              <w:jc w:val="left"/>
            </w:pPr>
            <w:r>
              <w:rPr>
                <w:b w:val="0"/>
              </w:rPr>
              <w:t>5.17</w:t>
            </w:r>
          </w:p>
        </w:tc>
      </w:tr>
      <w:tr>
        <w:tc>
          <w:tcPr>
            <w:tcW w:type="dxa" w:w="1021"/>
          </w:tcPr>
          <w:p>
            <w:pPr>
              <w:pStyle w:val="Compact"/>
              <w:jc w:val="left"/>
            </w:pPr>
            <w:r>
              <w:rPr>
                <w:b w:val="0"/>
              </w:rPr>
              <w:t>qwen2.5:14b</w:t>
            </w:r>
          </w:p>
        </w:tc>
        <w:tc>
          <w:tcPr>
            <w:tcW w:type="dxa" w:w="900"/>
          </w:tcPr>
          <w:p>
            <w:pPr>
              <w:pStyle w:val="Compact"/>
              <w:jc w:val="left"/>
            </w:pPr>
            <w:r>
              <w:rPr>
                <w:b w:val="0"/>
              </w:rPr>
              <w:t>Local</w:t>
            </w:r>
          </w:p>
        </w:tc>
        <w:tc>
          <w:tcPr>
            <w:tcW w:type="dxa" w:w="948"/>
          </w:tcPr>
          <w:p>
            <w:pPr>
              <w:pStyle w:val="Compact"/>
              <w:jc w:val="left"/>
            </w:pPr>
            <w:r>
              <w:rPr>
                <w:b w:val="0"/>
              </w:rPr>
              <w:t>14B</w:t>
            </w:r>
          </w:p>
        </w:tc>
        <w:tc>
          <w:tcPr>
            <w:tcW w:type="dxa" w:w="900"/>
          </w:tcPr>
          <w:p>
            <w:pPr>
              <w:pStyle w:val="Compact"/>
              <w:jc w:val="center"/>
            </w:pPr>
            <w:r>
              <w:rPr>
                <w:b w:val="0"/>
              </w:rPr>
              <w:t>61.06%</w:t>
            </w:r>
          </w:p>
        </w:tc>
        <w:tc>
          <w:tcPr>
            <w:tcW w:type="dxa" w:w="900"/>
          </w:tcPr>
          <w:p>
            <w:pPr>
              <w:pStyle w:val="Compact"/>
              <w:jc w:val="center"/>
            </w:pPr>
            <w:r>
              <w:rPr>
                <w:b w:val="0"/>
              </w:rPr>
              <w:t>57.60%</w:t>
            </w:r>
          </w:p>
        </w:tc>
        <w:tc>
          <w:tcPr>
            <w:tcW w:type="dxa" w:w="900"/>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900"/>
          </w:tcPr>
          <w:p>
            <w:pPr>
              <w:pStyle w:val="Compact"/>
              <w:jc w:val="left"/>
            </w:pPr>
            <w:r>
              <w:rPr>
                <w:b w:val="0"/>
              </w:rPr>
              <w:t>1.57</w:t>
            </w:r>
          </w:p>
        </w:tc>
      </w:tr>
      <w:tr>
        <w:tc>
          <w:tcPr>
            <w:tcW w:type="dxa" w:w="1021"/>
          </w:tcPr>
          <w:p>
            <w:pPr>
              <w:pStyle w:val="Compact"/>
              <w:jc w:val="left"/>
            </w:pPr>
            <w:r>
              <w:rPr>
                <w:b w:val="0"/>
              </w:rPr>
              <w:t>llama3.1:8b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60.72%</w:t>
            </w:r>
          </w:p>
        </w:tc>
        <w:tc>
          <w:tcPr>
            <w:tcW w:type="dxa" w:w="900"/>
          </w:tcPr>
          <w:p>
            <w:pPr>
              <w:pStyle w:val="Compact"/>
              <w:jc w:val="center"/>
            </w:pPr>
            <w:r>
              <w:rPr>
                <w:b w:val="0"/>
              </w:rPr>
              <w:t>53.70%</w:t>
            </w:r>
          </w:p>
        </w:tc>
        <w:tc>
          <w:tcPr>
            <w:tcW w:type="dxa" w:w="900"/>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900"/>
          </w:tcPr>
          <w:p>
            <w:pPr>
              <w:pStyle w:val="Compact"/>
              <w:jc w:val="left"/>
            </w:pPr>
            <w:r>
              <w:rPr>
                <w:b w:val="0"/>
              </w:rPr>
              <w:t>5.03</w:t>
            </w:r>
          </w:p>
        </w:tc>
      </w:tr>
      <w:tr>
        <w:tc>
          <w:tcPr>
            <w:tcW w:type="dxa" w:w="1021"/>
          </w:tcPr>
          <w:p>
            <w:pPr>
              <w:pStyle w:val="Compact"/>
              <w:jc w:val="left"/>
            </w:pPr>
            <w:r>
              <w:rPr>
                <w:b w:val="0"/>
              </w:rPr>
              <w:t>qwen3:8b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53.65%</w:t>
            </w:r>
          </w:p>
        </w:tc>
        <w:tc>
          <w:tcPr>
            <w:tcW w:type="dxa" w:w="900"/>
          </w:tcPr>
          <w:p>
            <w:pPr>
              <w:pStyle w:val="Compact"/>
              <w:jc w:val="center"/>
            </w:pPr>
            <w:r>
              <w:rPr>
                <w:b w:val="0"/>
              </w:rPr>
              <w:t>46.75%</w:t>
            </w:r>
          </w:p>
        </w:tc>
        <w:tc>
          <w:tcPr>
            <w:tcW w:type="dxa" w:w="900"/>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900"/>
          </w:tcPr>
          <w:p>
            <w:pPr>
              <w:pStyle w:val="Compact"/>
              <w:jc w:val="left"/>
            </w:pPr>
            <w:r>
              <w:rPr>
                <w:b w:val="0"/>
              </w:rPr>
              <w:t>4.56</w:t>
            </w:r>
          </w:p>
        </w:tc>
      </w:tr>
      <w:tr>
        <w:tc>
          <w:tcPr>
            <w:tcW w:type="dxa" w:w="1021"/>
          </w:tcPr>
          <w:p>
            <w:pPr>
              <w:pStyle w:val="Compact"/>
              <w:jc w:val="left"/>
            </w:pPr>
            <w:r>
              <w:rPr>
                <w:b w:val="0"/>
              </w:rPr>
              <w:t>mistral-nemo:latest</w:t>
            </w:r>
          </w:p>
        </w:tc>
        <w:tc>
          <w:tcPr>
            <w:tcW w:type="dxa" w:w="900"/>
          </w:tcPr>
          <w:p>
            <w:pPr>
              <w:pStyle w:val="Compact"/>
              <w:jc w:val="left"/>
            </w:pPr>
            <w:r>
              <w:rPr>
                <w:b w:val="0"/>
              </w:rPr>
              <w:t>Local</w:t>
            </w:r>
          </w:p>
        </w:tc>
        <w:tc>
          <w:tcPr>
            <w:tcW w:type="dxa" w:w="948"/>
          </w:tcPr>
          <w:p>
            <w:pPr>
              <w:pStyle w:val="Compact"/>
              <w:jc w:val="left"/>
            </w:pPr>
            <w:r>
              <w:rPr>
                <w:b w:val="0"/>
              </w:rPr>
              <w:t>12B</w:t>
            </w:r>
          </w:p>
        </w:tc>
        <w:tc>
          <w:tcPr>
            <w:tcW w:type="dxa" w:w="900"/>
          </w:tcPr>
          <w:p>
            <w:pPr>
              <w:pStyle w:val="Compact"/>
              <w:jc w:val="center"/>
            </w:pPr>
            <w:r>
              <w:rPr>
                <w:b w:val="0"/>
              </w:rPr>
              <w:t>53.07%</w:t>
            </w:r>
          </w:p>
        </w:tc>
        <w:tc>
          <w:tcPr>
            <w:tcW w:type="dxa" w:w="900"/>
          </w:tcPr>
          <w:p>
            <w:pPr>
              <w:pStyle w:val="Compact"/>
              <w:jc w:val="center"/>
            </w:pPr>
            <w:r>
              <w:rPr>
                <w:b w:val="0"/>
              </w:rPr>
              <w:t>58.13%</w:t>
            </w:r>
          </w:p>
        </w:tc>
        <w:tc>
          <w:tcPr>
            <w:tcW w:type="dxa" w:w="900"/>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900"/>
          </w:tcPr>
          <w:p>
            <w:pPr>
              <w:pStyle w:val="Compact"/>
              <w:jc w:val="left"/>
            </w:pPr>
            <w:r>
              <w:rPr>
                <w:b w:val="0"/>
              </w:rPr>
              <w:t>2.36</w:t>
            </w:r>
          </w:p>
        </w:tc>
      </w:tr>
      <w:tr>
        <w:tc>
          <w:tcPr>
            <w:tcW w:type="dxa" w:w="1021"/>
          </w:tcPr>
          <w:p>
            <w:pPr>
              <w:pStyle w:val="Compact"/>
              <w:jc w:val="left"/>
            </w:pPr>
            <w:r>
              <w:rPr>
                <w:b w:val="0"/>
              </w:rPr>
              <w:t>nemotron-mini:4b</w:t>
            </w:r>
          </w:p>
        </w:tc>
        <w:tc>
          <w:tcPr>
            <w:tcW w:type="dxa" w:w="900"/>
          </w:tcPr>
          <w:p>
            <w:pPr>
              <w:pStyle w:val="Compact"/>
              <w:jc w:val="left"/>
            </w:pPr>
            <w:r>
              <w:rPr>
                <w:b w:val="0"/>
              </w:rPr>
              <w:t>Local</w:t>
            </w:r>
          </w:p>
        </w:tc>
        <w:tc>
          <w:tcPr>
            <w:tcW w:type="dxa" w:w="948"/>
          </w:tcPr>
          <w:p>
            <w:pPr>
              <w:pStyle w:val="Compact"/>
              <w:jc w:val="left"/>
            </w:pPr>
            <w:r>
              <w:rPr>
                <w:b w:val="0"/>
              </w:rPr>
              <w:t>4B</w:t>
            </w:r>
          </w:p>
        </w:tc>
        <w:tc>
          <w:tcPr>
            <w:tcW w:type="dxa" w:w="900"/>
          </w:tcPr>
          <w:p>
            <w:pPr>
              <w:pStyle w:val="Compact"/>
              <w:jc w:val="center"/>
            </w:pPr>
            <w:r>
              <w:rPr>
                <w:b w:val="0"/>
              </w:rPr>
              <w:t>35.33%</w:t>
            </w:r>
          </w:p>
        </w:tc>
        <w:tc>
          <w:tcPr>
            <w:tcW w:type="dxa" w:w="900"/>
          </w:tcPr>
          <w:p>
            <w:pPr>
              <w:pStyle w:val="Compact"/>
              <w:jc w:val="center"/>
            </w:pPr>
            <w:r>
              <w:rPr>
                <w:b w:val="0"/>
              </w:rPr>
              <w:t>44.37%</w:t>
            </w:r>
          </w:p>
        </w:tc>
        <w:tc>
          <w:tcPr>
            <w:tcW w:type="dxa" w:w="900"/>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900"/>
          </w:tcPr>
          <w:p>
            <w:pPr>
              <w:pStyle w:val="Compact"/>
              <w:jc w:val="left"/>
            </w:pPr>
            <w:r>
              <w:rPr>
                <w:b w:val="0"/>
              </w:rPr>
              <w:t>17.08</w:t>
            </w:r>
          </w:p>
        </w:tc>
      </w:tr>
      <w:tr>
        <w:tc>
          <w:tcPr>
            <w:tcW w:type="dxa" w:w="1021"/>
          </w:tcPr>
          <w:p>
            <w:pPr>
              <w:pStyle w:val="Compact"/>
              <w:jc w:val="left"/>
            </w:pPr>
            <w:r>
              <w:rPr>
                <w:b w:val="0"/>
              </w:rPr>
              <w:t>deepseek-r1:1.5b</w:t>
            </w:r>
          </w:p>
        </w:tc>
        <w:tc>
          <w:tcPr>
            <w:tcW w:type="dxa" w:w="900"/>
          </w:tcPr>
          <w:p>
            <w:pPr>
              <w:pStyle w:val="Compact"/>
              <w:jc w:val="left"/>
            </w:pPr>
            <w:r>
              <w:rPr>
                <w:b w:val="0"/>
              </w:rPr>
              <w:t>Local</w:t>
            </w:r>
          </w:p>
        </w:tc>
        <w:tc>
          <w:tcPr>
            <w:tcW w:type="dxa" w:w="948"/>
          </w:tcPr>
          <w:p>
            <w:pPr>
              <w:pStyle w:val="Compact"/>
              <w:jc w:val="left"/>
            </w:pPr>
            <w:r>
              <w:rPr>
                <w:b w:val="0"/>
              </w:rPr>
              <w:t>1.5B</w:t>
            </w:r>
          </w:p>
        </w:tc>
        <w:tc>
          <w:tcPr>
            <w:tcW w:type="dxa" w:w="900"/>
          </w:tcPr>
          <w:p>
            <w:pPr>
              <w:pStyle w:val="Compact"/>
              <w:jc w:val="center"/>
            </w:pPr>
            <w:r>
              <w:rPr>
                <w:b w:val="0"/>
              </w:rPr>
              <w:t>27.65%</w:t>
            </w:r>
          </w:p>
        </w:tc>
        <w:tc>
          <w:tcPr>
            <w:tcW w:type="dxa" w:w="900"/>
          </w:tcPr>
          <w:p>
            <w:pPr>
              <w:pStyle w:val="Compact"/>
              <w:jc w:val="center"/>
            </w:pPr>
            <w:r>
              <w:rPr>
                <w:b w:val="0"/>
              </w:rPr>
              <w:t>39.49%</w:t>
            </w:r>
          </w:p>
        </w:tc>
        <w:tc>
          <w:tcPr>
            <w:tcW w:type="dxa" w:w="900"/>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900"/>
          </w:tcPr>
          <w:p>
            <w:pPr>
              <w:pStyle w:val="Compact"/>
              <w:jc w:val="left"/>
            </w:pPr>
            <w:r>
              <w:rPr>
                <w:b w:val="0"/>
              </w:rPr>
              <w:t>86.20</w:t>
            </w:r>
          </w:p>
        </w:tc>
      </w:tr>
    </w:tbl>
    <w:p>
      <w:pPr>
        <w:numPr>
          <w:ilvl w:val="0"/>
          <w:numId w:val="0"/>
        </w:numPr>
        <w:pStyle w:val="BodyText"/>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w:t>
      </w:r>
      <w:r>
        <w:t>ablacion_n15_REMOTO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xml:space="preserve">. La razón es más de fondo que la procedencia: el valor registrado es el reloj de pared de cada artículo bajo concurrencia, de modo que </w:t>
      </w:r>
      <w:r>
        <w:rPr>
          <w:b/>
        </w:rPr>
        <w:t>incluye la espera en cola</w:t>
      </w:r>
      <w:r>
        <w:t xml:space="preserve"> y depende del número de consumidores que el controlador tuviera activos, por lo que </w:t>
      </w:r>
      <w:r>
        <w:rPr>
          <w:b/>
        </w:rPr>
        <w:t>no es una propiedad del modelo</w:t>
      </w:r>
      <w:r>
        <w:t xml:space="preserve">. El rendimiento en tokens por segundo, en cambio, sí es estable entre corridas del mismo modelo, y por eso el índice Tok/s/B que deriva de él es la magnitud que aquí se compara. La columna «Parámetros» recoge la denominación nominal de la etiqueta del modelo, que no siempre coincide con el recuento del manifiesto —1,8B en </w:t>
      </w:r>
      <w:r>
        <w:t>deepseek-r1:1.5b</w:t>
      </w:r>
      <w:r>
        <w:t xml:space="preserve">, 4,2B en </w:t>
      </w:r>
      <w:r>
        <w:t>nemotron-mini:4b</w:t>
      </w:r>
      <w:r>
        <w:t xml:space="preserve">, 8,2B en </w:t>
      </w:r>
      <w:r>
        <w:t>qwen3:8b</w:t>
      </w:r>
      <w:r>
        <w:t xml:space="preserve">, 12,2B en </w:t>
      </w:r>
      <w:r>
        <w:t>mistral-nemo</w:t>
      </w:r>
      <w:r>
        <w:t xml:space="preserve">, 31,3B en </w:t>
      </w:r>
      <w:r>
        <w:t>gemma4:31b</w:t>
      </w:r>
      <w:r>
        <w:t xml:space="preserve">—, y el índice Tok/s/B se calcula sobre la nominal. </w:t>
      </w:r>
      <w:r>
        <w:t>gemma4:31b-cloud</w:t>
      </w:r>
      <w:r>
        <w:t xml:space="preserve"> corre además en BF16 sobre ~32,7B parámetros sin cuantizar, así que su footprint no es comparable con el de las compilaciones locales.</w:t>
      </w:r>
    </w:p>
    <w:p>
      <w:pPr>
        <w:numPr>
          <w:ilvl w:val="0"/>
          <w:numId w:val="0"/>
        </w:numPr>
        <w:pStyle w:val="BodyText"/>
      </w:pPr>
      <w:r>
        <w:rPr>
          <w:b/>
        </w:rPr>
        <w:t>Hallazgo 1:</w:t>
      </w:r>
      <w:r>
        <w:t xml:space="preserve"> la familia </w:t>
      </w:r>
      <w:r>
        <w:t>gemma4</w:t>
      </w:r>
      <w:r>
        <w:t xml:space="preserve"> copa las cinco primeras posiciones. </w:t>
      </w:r>
      <w:r>
        <w:t>gemma4:latest</w:t>
      </w:r>
      <w:r>
        <w:t xml:space="preserve"> con prompt </w:t>
      </w:r>
      <w:r>
        <w:rPr>
          <w:i/>
        </w:rPr>
        <w:t>few-shot</w:t>
      </w:r>
      <w:r>
        <w:t xml:space="preserve"> en español (74.44%) supera a los dos modelos de 31B, a un tercio de su tamaño. </w:t>
      </w:r>
      <w:r>
        <w:rPr>
          <w:b/>
        </w:rPr>
        <w:t>Hallazgo 2:</w:t>
      </w:r>
      <w:r>
        <w:t xml:space="preserve"> la exhaustividad más alta entre los modelos locales la obtiene </w:t>
      </w:r>
      <w:r>
        <w:t>gemma4:latest</w:t>
      </w:r>
      <w:r>
        <w:t xml:space="preserve"> con </w:t>
      </w:r>
      <w:r>
        <w:rPr>
          <w:i/>
        </w:rPr>
        <w:t>prompt</w:t>
      </w:r>
      <w:r>
        <w:t xml:space="preserve"> few-shot en español (86.87%), por delante de </w:t>
      </w:r>
      <w:r>
        <w:t>gemma4:31b</w:t>
      </w:r>
      <w:r>
        <w:t xml:space="preserve"> (86.80%) y de su compilación MLX (86.76%), pese a ser un modelo de un tercio del tamaño; la variante alojada alcanza un valor equivalente (86.88%). Es decir, las cuatro configuraciones se agrupan en menos de un décimo de punto, y lo que separa a </w:t>
      </w:r>
      <w:r>
        <w:t>gemma4:31b</w:t>
      </w:r>
      <w:r>
        <w:t xml:space="preserve"> no es la exhaustividad sino su tasa de alucinación, de 0.16%. </w:t>
      </w:r>
      <w:r>
        <w:rPr>
          <w:b/>
        </w:rPr>
        <w:t>Hallazgo 3:</w:t>
      </w:r>
      <w:r>
        <w:t xml:space="preserve"> </w:t>
      </w:r>
      <w:r>
        <w:t>deepseek-r1:1.5b</w:t>
      </w:r>
      <w:r>
        <w:t xml:space="preserve"> debe descartarse para producción: F1 de 27.65% y Recall de solo 25.77%. </w:t>
      </w:r>
      <w:r>
        <w:rPr>
          <w:b/>
        </w:rPr>
        <w:t>Hallazgo 4:</w:t>
      </w:r>
      <w:r>
        <w:t xml:space="preserve"> el índice de eficiencia de hardware (Tok/s/B) favorece a los modelos compactos —</w:t>
      </w:r>
      <w:r>
        <w:t>deepseek-r1:1.5b</w:t>
      </w:r>
      <w:r>
        <w:t xml:space="preserve"> (86.20) y </w:t>
      </w:r>
      <w:r>
        <w:t>llama3.2</w:t>
      </w:r>
      <w:r>
        <w:t xml:space="preserve"> (26.44)— para </w:t>
      </w:r>
      <w:r>
        <w:rPr>
          <w:i/>
        </w:rPr>
        <w:t>screening</w:t>
      </w:r>
      <w:r>
        <w:t xml:space="preserve"> masivo, mientras que </w:t>
      </w:r>
      <w:r>
        <w:t>gemma4:31b</w:t>
      </w:r>
      <w:r>
        <w:t xml:space="preserve"> (0.33) se justifica para análisis de alto riesgo.</w:t>
      </w:r>
    </w:p>
    <w:p>
      <w:pPr>
        <w:numPr>
          <w:ilvl w:val="0"/>
          <w:numId w:val="0"/>
        </w:numPr>
        <w:pStyle w:val="Heading2"/>
      </w:pPr>
      <w:r>
        <w:t>5.2 Análisis de Variantes de Prompts (gemma4:latest, N=15)</w:t>
      </w:r>
    </w:p>
    <w:p>
      <w:pPr>
        <w:numPr>
          <w:ilvl w:val="0"/>
          <w:numId w:val="0"/>
        </w:numPr>
        <w:pStyle w:val="BodyText"/>
      </w:pPr>
      <w:r>
        <w:t>La Tabla 5 recoge las cuatro configuraciones del diseño factorial con sus métricas.</w:t>
      </w:r>
    </w:p>
    <w:p>
      <w:pPr>
        <w:numPr>
          <w:ilvl w:val="0"/>
          <w:numId w:val="0"/>
        </w:numPr>
        <w:pStyle w:val="TableCaption"/>
      </w:pPr>
      <w:r>
        <w:t xml:space="preserve">Tabla 5. Variantes de prompt sobre </w:t>
      </w:r>
      <w:r>
        <w:t>gemma4:latest</w:t>
      </w:r>
      <w:r>
        <w:t>: diseño factorial de idioma de la instrucción y de los ejemplos (N=15)</w:t>
      </w:r>
    </w:p>
    <w:tbl>
      <w:tblPr>
        <w:tblStyle w:val="Table"/>
        <w:tblW w:type="pct" w:w="5000.0"/>
        <w:tblLook w:firstRow="1"/>
      </w:tblPr>
      <w:tblGrid>
        <w:gridCol w:w="2254"/>
        <w:gridCol w:w="900"/>
        <w:gridCol w:w="900"/>
        <w:gridCol w:w="900"/>
        <w:gridCol w:w="1293"/>
        <w:gridCol w:w="1194"/>
        <w:gridCol w:w="1397"/>
      </w:tblGrid>
      <w:tr>
        <w:trPr>
          <w:cnfStyle w:firstRow="1"/>
        </w:trPr>
        <w:tc>
          <w:tcPr>
            <w:tcW w:type="dxa" w:w="2254"/>
            <w:tcBorders>
              <w:bottom w:val="single"/>
            </w:tcBorders>
            <w:vAlign w:val="bottom"/>
          </w:tcPr>
          <w:p>
            <w:pPr>
              <w:pStyle w:val="Compact"/>
              <w:jc w:val="left"/>
            </w:pPr>
            <w:r>
              <w:rPr>
                <w:b/>
              </w:rPr>
              <w:t>Configuración</w:t>
            </w:r>
          </w:p>
        </w:tc>
        <w:tc>
          <w:tcPr>
            <w:tcW w:type="dxa" w:w="900"/>
            <w:tcBorders>
              <w:bottom w:val="single"/>
            </w:tcBorders>
            <w:vAlign w:val="bottom"/>
          </w:tcPr>
          <w:p>
            <w:pPr>
              <w:pStyle w:val="Compact"/>
              <w:jc w:val="left"/>
            </w:pPr>
            <w:r>
              <w:rPr>
                <w:b/>
              </w:rPr>
              <w:t>F1</w:t>
            </w:r>
          </w:p>
        </w:tc>
        <w:tc>
          <w:tcPr>
            <w:tcW w:type="dxa" w:w="900"/>
            <w:tcBorders>
              <w:bottom w:val="single"/>
            </w:tcBorders>
            <w:vAlign w:val="bottom"/>
          </w:tcPr>
          <w:p>
            <w:pPr>
              <w:pStyle w:val="Compact"/>
              <w:jc w:val="left"/>
            </w:pPr>
            <w:r>
              <w:rPr>
                <w:b/>
              </w:rPr>
              <w:t>Precisión</w:t>
            </w:r>
          </w:p>
        </w:tc>
        <w:tc>
          <w:tcPr>
            <w:tcW w:type="dxa" w:w="900"/>
            <w:tcBorders>
              <w:bottom w:val="single"/>
            </w:tcBorders>
            <w:vAlign w:val="bottom"/>
          </w:tcPr>
          <w:p>
            <w:pPr>
              <w:pStyle w:val="Compact"/>
              <w:jc w:val="center"/>
            </w:pPr>
            <w:r>
              <w:rPr>
                <w:b/>
              </w:rPr>
              <w:t>Recall</w:t>
            </w:r>
          </w:p>
        </w:tc>
        <w:tc>
          <w:tcPr>
            <w:tcW w:type="dxa" w:w="1293"/>
            <w:tcBorders>
              <w:bottom w:val="single"/>
            </w:tcBorders>
            <w:vAlign w:val="bottom"/>
          </w:tcPr>
          <w:p>
            <w:pPr>
              <w:pStyle w:val="Compact"/>
              <w:jc w:val="center"/>
            </w:pPr>
            <w:r>
              <w:rPr>
                <w:b/>
              </w:rPr>
              <w:t>Hallucination</w:t>
            </w:r>
          </w:p>
        </w:tc>
        <w:tc>
          <w:tcPr>
            <w:tcW w:type="dxa" w:w="1194"/>
            <w:tcBorders>
              <w:bottom w:val="single"/>
            </w:tcBorders>
            <w:vAlign w:val="bottom"/>
          </w:tcPr>
          <w:p>
            <w:pPr>
              <w:pStyle w:val="Compact"/>
              <w:jc w:val="left"/>
            </w:pPr>
            <w:r>
              <w:rPr>
                <w:b/>
              </w:rPr>
              <w:t>Latencia (s)</w:t>
            </w:r>
          </w:p>
        </w:tc>
        <w:tc>
          <w:tcPr>
            <w:tcW w:type="dxa" w:w="1397"/>
            <w:tcBorders>
              <w:bottom w:val="single"/>
            </w:tcBorders>
            <w:vAlign w:val="bottom"/>
          </w:tcPr>
          <w:p>
            <w:pPr>
              <w:pStyle w:val="Compact"/>
              <w:jc w:val="left"/>
            </w:pPr>
            <w:r>
              <w:rPr>
                <w:b/>
              </w:rPr>
              <w:t>Δ vs. Baseline</w:t>
            </w:r>
          </w:p>
        </w:tc>
      </w:tr>
      <w:tr>
        <w:tc>
          <w:tcPr>
            <w:tcW w:type="dxa" w:w="2254"/>
          </w:tcPr>
          <w:p>
            <w:pPr>
              <w:pStyle w:val="Compact"/>
              <w:jc w:val="left"/>
            </w:pPr>
            <w:r>
              <w:rPr>
                <w:b w:val="0"/>
              </w:rPr>
              <w:t>Zero-shot Inglés (Baseline)</w:t>
            </w:r>
          </w:p>
        </w:tc>
        <w:tc>
          <w:tcPr>
            <w:tcW w:type="dxa" w:w="900"/>
          </w:tcPr>
          <w:p>
            <w:pPr>
              <w:pStyle w:val="Compact"/>
              <w:jc w:val="left"/>
            </w:pPr>
            <w:r>
              <w:rPr>
                <w:b w:val="0"/>
              </w:rPr>
              <w:t>64.05%</w:t>
            </w:r>
          </w:p>
        </w:tc>
        <w:tc>
          <w:tcPr>
            <w:tcW w:type="dxa" w:w="900"/>
          </w:tcPr>
          <w:p>
            <w:pPr>
              <w:pStyle w:val="Compact"/>
              <w:jc w:val="left"/>
            </w:pPr>
            <w:r>
              <w:rPr>
                <w:b w:val="0"/>
              </w:rPr>
              <w:t>57.69%</w:t>
            </w:r>
          </w:p>
        </w:tc>
        <w:tc>
          <w:tcPr>
            <w:tcW w:type="dxa" w:w="900"/>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254"/>
          </w:tcPr>
          <w:p>
            <w:pPr>
              <w:pStyle w:val="Compact"/>
              <w:jc w:val="left"/>
            </w:pPr>
            <w:r>
              <w:rPr>
                <w:b w:val="0"/>
              </w:rPr>
              <w:t>Zero-shot Español</w:t>
            </w:r>
          </w:p>
        </w:tc>
        <w:tc>
          <w:tcPr>
            <w:tcW w:type="dxa" w:w="900"/>
          </w:tcPr>
          <w:p>
            <w:pPr>
              <w:pStyle w:val="Compact"/>
              <w:jc w:val="left"/>
            </w:pPr>
            <w:r>
              <w:rPr>
                <w:b w:val="0"/>
              </w:rPr>
              <w:t>68.43%</w:t>
            </w:r>
          </w:p>
        </w:tc>
        <w:tc>
          <w:tcPr>
            <w:tcW w:type="dxa" w:w="900"/>
          </w:tcPr>
          <w:p>
            <w:pPr>
              <w:pStyle w:val="Compact"/>
              <w:jc w:val="left"/>
            </w:pPr>
            <w:r>
              <w:rPr>
                <w:b w:val="0"/>
              </w:rPr>
              <w:t>60.68%</w:t>
            </w:r>
          </w:p>
        </w:tc>
        <w:tc>
          <w:tcPr>
            <w:tcW w:type="dxa" w:w="900"/>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254"/>
          </w:tcPr>
          <w:p>
            <w:pPr>
              <w:pStyle w:val="Compact"/>
              <w:jc w:val="left"/>
            </w:pPr>
            <w:r>
              <w:rPr>
                <w:b w:val="0"/>
              </w:rPr>
              <w:t>Few-shot Inglés</w:t>
            </w:r>
          </w:p>
        </w:tc>
        <w:tc>
          <w:tcPr>
            <w:tcW w:type="dxa" w:w="900"/>
          </w:tcPr>
          <w:p>
            <w:pPr>
              <w:pStyle w:val="Compact"/>
              <w:jc w:val="left"/>
            </w:pPr>
            <w:r>
              <w:rPr>
                <w:b w:val="0"/>
              </w:rPr>
              <w:t>63.32%</w:t>
            </w:r>
          </w:p>
        </w:tc>
        <w:tc>
          <w:tcPr>
            <w:tcW w:type="dxa" w:w="900"/>
          </w:tcPr>
          <w:p>
            <w:pPr>
              <w:pStyle w:val="Compact"/>
              <w:jc w:val="left"/>
            </w:pPr>
            <w:r>
              <w:rPr>
                <w:b w:val="0"/>
              </w:rPr>
              <w:t>55.81%</w:t>
            </w:r>
          </w:p>
        </w:tc>
        <w:tc>
          <w:tcPr>
            <w:tcW w:type="dxa" w:w="900"/>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−0.72 pp</w:t>
            </w:r>
          </w:p>
        </w:tc>
      </w:tr>
      <w:tr>
        <w:tc>
          <w:tcPr>
            <w:tcW w:type="dxa" w:w="2254"/>
          </w:tcPr>
          <w:p>
            <w:pPr>
              <w:pStyle w:val="Compact"/>
              <w:jc w:val="left"/>
            </w:pPr>
            <w:r>
              <w:rPr>
                <w:b w:val="0"/>
              </w:rPr>
              <w:t>Few-shot Español</w:t>
            </w:r>
          </w:p>
        </w:tc>
        <w:tc>
          <w:tcPr>
            <w:tcW w:type="dxa" w:w="900"/>
          </w:tcPr>
          <w:p>
            <w:pPr>
              <w:pStyle w:val="Compact"/>
              <w:jc w:val="left"/>
            </w:pPr>
            <w:r>
              <w:rPr>
                <w:b/>
              </w:rPr>
              <w:t>74.44%</w:t>
            </w:r>
          </w:p>
        </w:tc>
        <w:tc>
          <w:tcPr>
            <w:tcW w:type="dxa" w:w="900"/>
          </w:tcPr>
          <w:p>
            <w:pPr>
              <w:pStyle w:val="Compact"/>
              <w:jc w:val="left"/>
            </w:pPr>
            <w:r>
              <w:rPr>
                <w:b/>
              </w:rPr>
              <w:t>66.78%</w:t>
            </w:r>
          </w:p>
        </w:tc>
        <w:tc>
          <w:tcPr>
            <w:tcW w:type="dxa" w:w="900"/>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+10.40 pp</w:t>
            </w:r>
          </w:p>
        </w:tc>
      </w:tr>
    </w:tbl>
    <w:p>
      <w:pPr>
        <w:numPr>
          <w:ilvl w:val="0"/>
          <w:numId w:val="0"/>
        </w:numPr>
        <w:pStyle w:val="BodyText"/>
      </w:pPr>
      <w:r>
        <w:t xml:space="preserve">Medido sobre </w:t>
      </w:r>
      <w:r>
        <w:t>results/ablacion_n15_REMOTO/benchmark_results.csv</w:t>
      </w:r>
      <w:r>
        <w:t xml:space="preserve"> (N=15, modo </w:t>
      </w:r>
      <w:r>
        <w:t>entities</w:t>
      </w:r>
      <w:r>
        <w:t>), con el corrector de puntuación aplicado. El ANOVA de una vía sobre las cuatro configuraciones no alcanza significancia (F = 1,1379; p = 0,3417) ni la alcanza ninguna comparación de Tukey, consecuencia de N=15: los deltas deben leerse como una tendencia consistente y no como una diferencia demostrada.</w:t>
      </w:r>
    </w:p>
    <w:p>
      <w:pPr>
        <w:numPr>
          <w:ilvl w:val="0"/>
          <w:numId w:val="0"/>
        </w:numPr>
        <w:pStyle w:val="BodyText"/>
      </w:pPr>
      <w:r>
        <w:rPr>
          <w:b/>
        </w:rPr>
        <w:t>Hallazgo 5:</w:t>
      </w:r>
      <w:r>
        <w:t xml:space="preserve"> ninguno de los dos factores basta por separado —la localización al español aporta +4.38 pp y los ejemplos </w:t>
      </w:r>
      <w:r>
        <w:rPr>
          <w:i/>
        </w:rPr>
        <w:t>few-shot</w:t>
      </w:r>
      <w:r>
        <w:t xml:space="preserve"> en inglés restan 0.72 pp—, pero </w:t>
      </w:r>
      <w:r>
        <w:rPr>
          <w:b/>
        </w:rPr>
        <w:t>su combinación alcanza +10.40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BodyText"/>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 La Tabla 6 recoge sus métricas con los intervalos de confianza.</w:t>
      </w:r>
    </w:p>
    <w:p>
      <w:pPr>
        <w:numPr>
          <w:ilvl w:val="0"/>
          <w:numId w:val="0"/>
        </w:numPr>
        <w:pStyle w:val="TableCaption"/>
      </w:pPr>
      <w:r>
        <w:t>Tabla 6. Validación estadística sobre el corpus del dominio (N=30), con intervalos de confianza del 95 %</w:t>
      </w:r>
    </w:p>
    <w:tbl>
      <w:tblPr>
        <w:tblStyle w:val="Table"/>
        <w:tblW w:type="pct" w:w="5000.0"/>
        <w:tblLook w:firstRow="1"/>
      </w:tblPr>
      <w:tblGrid>
        <w:gridCol w:w="2028"/>
        <w:gridCol w:w="1014"/>
        <w:gridCol w:w="1303"/>
        <w:gridCol w:w="1014"/>
        <w:gridCol w:w="2579"/>
        <w:gridCol w:w="900"/>
      </w:tblGrid>
      <w:tr>
        <w:trPr>
          <w:cnfStyle w:firstRow="1"/>
        </w:trPr>
        <w:tc>
          <w:tcPr>
            <w:tcW w:type="dxa" w:w="2028"/>
            <w:tcBorders>
              <w:bottom w:val="single"/>
            </w:tcBorders>
            <w:vAlign w:val="bottom"/>
          </w:tcPr>
          <w:p>
            <w:pPr>
              <w:pStyle w:val="Compact"/>
              <w:jc w:val="left"/>
            </w:pPr>
            <w:r>
              <w:rPr>
                <w:b/>
              </w:rPr>
              <w:t>Modelo</w:t>
            </w:r>
          </w:p>
        </w:tc>
        <w:tc>
          <w:tcPr>
            <w:tcW w:type="dxa" w:w="1014"/>
            <w:tcBorders>
              <w:bottom w:val="single"/>
            </w:tcBorders>
            <w:vAlign w:val="bottom"/>
          </w:tcPr>
          <w:p>
            <w:pPr>
              <w:pStyle w:val="Compact"/>
              <w:jc w:val="left"/>
            </w:pPr>
            <w:r>
              <w:rPr>
                <w:b/>
              </w:rPr>
              <w:t>F1</w:t>
            </w:r>
          </w:p>
        </w:tc>
        <w:tc>
          <w:tcPr>
            <w:tcW w:type="dxa" w:w="1303"/>
            <w:tcBorders>
              <w:bottom w:val="single"/>
            </w:tcBorders>
            <w:vAlign w:val="bottom"/>
          </w:tcPr>
          <w:p>
            <w:pPr>
              <w:pStyle w:val="Compact"/>
              <w:jc w:val="left"/>
            </w:pPr>
            <w:r>
              <w:rPr>
                <w:b/>
              </w:rPr>
              <w:t>Precisión</w:t>
            </w:r>
          </w:p>
        </w:tc>
        <w:tc>
          <w:tcPr>
            <w:tcW w:type="dxa" w:w="1014"/>
            <w:tcBorders>
              <w:bottom w:val="single"/>
            </w:tcBorders>
            <w:vAlign w:val="bottom"/>
          </w:tcPr>
          <w:p>
            <w:pPr>
              <w:pStyle w:val="Compact"/>
              <w:jc w:val="center"/>
            </w:pPr>
            <w:r>
              <w:rPr>
                <w:b/>
              </w:rPr>
              <w:t>Recall</w:t>
            </w:r>
          </w:p>
        </w:tc>
        <w:tc>
          <w:tcPr>
            <w:tcW w:type="dxa" w:w="2579"/>
            <w:tcBorders>
              <w:bottom w:val="single"/>
            </w:tcBorders>
            <w:vAlign w:val="bottom"/>
          </w:tcPr>
          <w:p>
            <w:pPr>
              <w:pStyle w:val="Compact"/>
              <w:jc w:val="center"/>
            </w:pPr>
            <w:r>
              <w:rPr>
                <w:b/>
              </w:rPr>
              <w:t>IC 95 % del F1</w:t>
            </w:r>
          </w:p>
        </w:tc>
        <w:tc>
          <w:tcPr>
            <w:tcW w:type="dxa" w:w="900"/>
            <w:tcBorders>
              <w:bottom w:val="single"/>
            </w:tcBorders>
            <w:vAlign w:val="bottom"/>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579"/>
          </w:tcPr>
          <w:p>
            <w:pPr>
              <w:pStyle w:val="Compact"/>
              <w:jc w:val="center"/>
            </w:pPr>
            <w:r>
              <w:rPr>
                <w:b w:val="0"/>
              </w:rPr>
              <w:t>[74.22 %, 86.92 %]</w:t>
            </w:r>
          </w:p>
        </w:tc>
        <w:tc>
          <w:tcPr>
            <w:tcW w:type="dxa" w:w="900"/>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579"/>
          </w:tcPr>
          <w:p>
            <w:pPr>
              <w:pStyle w:val="Compact"/>
              <w:jc w:val="center"/>
            </w:pPr>
            <w:r>
              <w:rPr>
                <w:b w:val="0"/>
              </w:rPr>
              <w:t>[72.59 %, 84.52 %]</w:t>
            </w:r>
          </w:p>
        </w:tc>
        <w:tc>
          <w:tcPr>
            <w:tcW w:type="dxa" w:w="900"/>
          </w:tcPr>
          <w:p>
            <w:pPr>
              <w:pStyle w:val="Compact"/>
              <w:jc w:val="left"/>
            </w:pPr>
            <w:r>
              <w:rPr>
                <w:b w:val="0"/>
              </w:rPr>
              <w:t>0</w:t>
            </w:r>
          </w:p>
        </w:tc>
      </w:tr>
    </w:tbl>
    <w:p>
      <w:pPr>
        <w:numPr>
          <w:ilvl w:val="0"/>
          <w:numId w:val="0"/>
        </w:numPr>
        <w:pStyle w:val="Normal"/>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F = 0,2235 con p = 0,6382, de modo que no se rechaza la hipótesis nula. Conviene precisar qué autoriza a concluir eso y qué no. El contraste </w:t>
      </w:r>
      <w:r>
        <w:rPr>
          <w:b/>
        </w:rPr>
        <w:t>no acredita que ambas compilaciones sean equivalentes</w:t>
      </w:r>
      <w:r>
        <w:t xml:space="preserve">: con treinta artículos por grupo su potencia frente al tamaño de efecto observado —una </w:t>
      </w:r>
      <w:r>
        <w:rPr>
          <w:i/>
        </w:rPr>
        <w:t>d</w:t>
      </w:r>
      <w:r>
        <w:t xml:space="preserve"> de Cohen de 0,12— es del </w:t>
      </w:r>
      <w:r>
        <w:rPr>
          <w:b/>
        </w:rPr>
        <w:t>8 %</w:t>
      </w:r>
      <w:r>
        <w:t xml:space="preserve">, y solo alcanza el 87 % ante efectos grandes. Es decir, el diseño no habría detectado esa diferencia aunque fuera real. Lo correcto es afirmar que </w:t>
      </w:r>
      <w:r>
        <w:rPr>
          <w:b/>
        </w:rPr>
        <w:t>los datos no permiten distinguir ambas compilaciones</w:t>
      </w:r>
      <w:r>
        <w:t>, no que sean iguales. Los intervalos de confianza al 95 % se solapan ampliamente, lo que es coherente con esa lectura.</w:t>
      </w:r>
    </w:p>
    <w:p>
      <w:pPr>
        <w:numPr>
          <w:ilvl w:val="0"/>
          <w:numId w:val="0"/>
        </w:numPr>
        <w:pStyle w:val="Normal"/>
      </w:pPr>
      <w:r>
        <w:t xml:space="preserve">El </w:t>
      </w:r>
      <w:r>
        <w:rPr>
          <w:b/>
        </w:rPr>
        <w:t>análisis de sensibilidad</w:t>
      </w:r>
      <w:r>
        <w:t xml:space="preserve"> completa la validación. El criterio de longitud atípica que se aplicó fijaba el umbral en la media más quinientos caracteres, lo que sobre este corpus da 702 y </w:t>
      </w:r>
      <w:r>
        <w:rPr>
          <w:b/>
        </w:rPr>
        <w:t>no podía marcar nada</w:t>
      </w:r>
      <w:r>
        <w:t>, porque el artículo más largo tiene 293: la prueba era vacía por construcción y así hay que declararla. Sustituido por la cerca superior de Tukey, que se adapta a la distribución de longitudes, tampoco se identifica ningún registro fuera de rango, y el F1 filtrado coincide exactamente con el original en ambos modelos. El resultado no depende, por tanto, de unos pocos textos extremos.</w:t>
      </w:r>
    </w:p>
    <w:p>
      <w:pPr>
        <w:numPr>
          <w:ilvl w:val="0"/>
          <w:numId w:val="0"/>
        </w:numPr>
        <w:pStyle w:val="Normal"/>
      </w:pPr>
      <w:r>
        <w:t xml:space="preserve">Vale la pena señalar una particularidad de procedencia. Una primera ejecución de este experimento, realizada en julio de 2026, reportó para </w:t>
      </w:r>
      <w:r>
        <w:t>gemma4:31b</w:t>
      </w:r>
      <w:r>
        <w:t xml:space="preserve"> un F1 de 79,03 %. Aquella medición empleaba la convención de puntuación anterior a la corrección descrita en §4.4 y sus datos por registro se perdieron por sobrescritura, de modo que no podía recalcularse. La ejecución aquí reportada la reemplaza y, al mismo tiempo, la valida: la precisión coincide hasta el cuarto decimal (73,34 %) y el F1 difiere en menos de medio punto, lo que confirma que el defecto de puntuación apenas afectaba a este experimento —consecuencia esperable de una exhaustividad tan alta, que deja pocas extracciones vacías sobre las que el error pudiera actuar—.</w:t>
      </w:r>
    </w:p>
    <w:p>
      <w:pPr>
        <w:numPr>
          <w:ilvl w:val="0"/>
          <w:numId w:val="0"/>
        </w:numPr>
        <w:pStyle w:val="Heading3"/>
      </w:pPr>
      <w:r>
        <w:t>5.3.1 Validación Estadística sobre Corpus Real N=120 (estudio completo)</w:t>
      </w:r>
    </w:p>
    <w:p>
      <w:pPr>
        <w:numPr>
          <w:ilvl w:val="0"/>
          <w:numId w:val="0"/>
        </w:numPr>
        <w:pStyle w:val="BodyText"/>
      </w:pPr>
      <w:r>
        <w:t xml:space="preserve">Sobre el corpus real N=120 descrito en §4.1.2 se ejecutó el mismo protocolo (ANOVA de una vía + Tukey HSD) para el estudio completo de 13 modelos, cada uno en modo </w:t>
      </w:r>
      <w:r>
        <w:rPr>
          <w:i/>
        </w:rPr>
        <w:t>baseline</w:t>
      </w:r>
      <w:r>
        <w:t xml:space="preserve"> y </w:t>
      </w:r>
      <w:r>
        <w:rPr>
          <w:i/>
        </w:rPr>
        <w:t>KB RAG</w:t>
      </w:r>
      <w:r>
        <w:t xml:space="preserve">, con N=113 observaciones por grupo (26 grupos, 2 938 observaciones; se excluyen siete artículos con la codificación de nombres contaminada, ver más abajo). Resultados consolidados en </w:t>
      </w:r>
      <w:r>
        <w:t>results/ANALISIS_CONJUNTO_20260909_FIX/</w:t>
      </w:r>
      <w:r>
        <w:t xml:space="preserve">, que sustituye a </w:t>
      </w:r>
      <w:r>
        <w:t>results/ANALISIS_CONJUNTO_20260907/</w:t>
      </w:r>
      <w:r>
        <w:t xml:space="preserve"> tras la re-corrida completa del 8 de septiembre de 2026 (Anexo I, «Corridas múltiples del mismo modelo»). Sus resultados se recogen en la Tabla 7.</w:t>
      </w:r>
    </w:p>
    <w:p>
      <w:pPr>
        <w:numPr>
          <w:ilvl w:val="0"/>
          <w:numId w:val="0"/>
        </w:numPr>
        <w:pStyle w:val="TableCaption"/>
      </w:pPr>
      <w:r>
        <w:t>Tabla 7. Efecto de la base de conocimientos contextual sobre el corpus real (N=120, trece modelos)</w:t>
      </w:r>
    </w:p>
    <w:tbl>
      <w:tblPr>
        <w:tblStyle w:val="Table"/>
        <w:tblW w:type="pct" w:w="5000.0"/>
        <w:tblLook w:firstRow="1"/>
      </w:tblPr>
      <w:tblGrid>
        <w:gridCol w:w="2665"/>
        <w:gridCol w:w="1543"/>
        <w:gridCol w:w="1262"/>
        <w:gridCol w:w="1262"/>
        <w:gridCol w:w="2106"/>
      </w:tblGrid>
      <w:tr>
        <w:trPr>
          <w:cnfStyle w:firstRow="1"/>
        </w:trPr>
        <w:tc>
          <w:tcPr>
            <w:tcW w:type="dxa" w:w="2665"/>
            <w:tcBorders>
              <w:bottom w:val="single"/>
            </w:tcBorders>
            <w:vAlign w:val="bottom"/>
          </w:tcPr>
          <w:p>
            <w:pPr>
              <w:pStyle w:val="Compact"/>
              <w:jc w:val="left"/>
            </w:pPr>
            <w:r>
              <w:rPr>
                <w:b/>
              </w:rPr>
              <w:t>Modelo</w:t>
            </w:r>
          </w:p>
        </w:tc>
        <w:tc>
          <w:tcPr>
            <w:tcW w:type="dxa" w:w="1543"/>
            <w:tcBorders>
              <w:bottom w:val="single"/>
            </w:tcBorders>
            <w:vAlign w:val="bottom"/>
          </w:tcPr>
          <w:p>
            <w:pPr>
              <w:pStyle w:val="Compact"/>
              <w:jc w:val="left"/>
            </w:pPr>
            <w:r>
              <w:rPr>
                <w:b/>
              </w:rPr>
              <w:t>F1 baseline</w:t>
            </w:r>
          </w:p>
        </w:tc>
        <w:tc>
          <w:tcPr>
            <w:tcW w:type="dxa" w:w="1262"/>
            <w:tcBorders>
              <w:bottom w:val="single"/>
            </w:tcBorders>
            <w:vAlign w:val="bottom"/>
          </w:tcPr>
          <w:p>
            <w:pPr>
              <w:pStyle w:val="Compact"/>
              <w:jc w:val="left"/>
            </w:pPr>
            <w:r>
              <w:rPr>
                <w:b/>
              </w:rPr>
              <w:t>F1 KB RAG</w:t>
            </w:r>
          </w:p>
        </w:tc>
        <w:tc>
          <w:tcPr>
            <w:tcW w:type="dxa" w:w="1262"/>
            <w:tcBorders>
              <w:bottom w:val="single"/>
            </w:tcBorders>
            <w:vAlign w:val="bottom"/>
          </w:tcPr>
          <w:p>
            <w:pPr>
              <w:pStyle w:val="Compact"/>
              <w:jc w:val="center"/>
            </w:pPr>
            <w:r>
              <w:rPr>
                <w:b/>
              </w:rPr>
              <w:t>Δ RAG</w:t>
            </w:r>
          </w:p>
        </w:tc>
        <w:tc>
          <w:tcPr>
            <w:tcW w:type="dxa" w:w="2106"/>
            <w:tcBorders>
              <w:bottom w:val="single"/>
            </w:tcBorders>
            <w:vAlign w:val="bottom"/>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82.13%</w:t>
            </w:r>
          </w:p>
        </w:tc>
        <w:tc>
          <w:tcPr>
            <w:tcW w:type="dxa" w:w="1262"/>
          </w:tcPr>
          <w:p>
            <w:pPr>
              <w:pStyle w:val="Compact"/>
              <w:jc w:val="left"/>
            </w:pPr>
            <w:r>
              <w:rPr>
                <w:b w:val="0"/>
              </w:rPr>
              <w:t>82.94%</w:t>
            </w:r>
          </w:p>
        </w:tc>
        <w:tc>
          <w:tcPr>
            <w:tcW w:type="dxa" w:w="1262"/>
          </w:tcPr>
          <w:p>
            <w:pPr>
              <w:pStyle w:val="Compact"/>
              <w:jc w:val="center"/>
            </w:pPr>
            <w:r>
              <w:rPr>
                <w:b w:val="0"/>
              </w:rPr>
              <w:t>+0.81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81.47%</w:t>
            </w:r>
          </w:p>
        </w:tc>
        <w:tc>
          <w:tcPr>
            <w:tcW w:type="dxa" w:w="1262"/>
          </w:tcPr>
          <w:p>
            <w:pPr>
              <w:pStyle w:val="Compact"/>
              <w:jc w:val="left"/>
            </w:pPr>
            <w:r>
              <w:rPr>
                <w:b w:val="0"/>
              </w:rPr>
              <w:t>82.44%</w:t>
            </w:r>
          </w:p>
        </w:tc>
        <w:tc>
          <w:tcPr>
            <w:tcW w:type="dxa" w:w="1262"/>
          </w:tcPr>
          <w:p>
            <w:pPr>
              <w:pStyle w:val="Compact"/>
              <w:jc w:val="center"/>
            </w:pPr>
            <w:r>
              <w:rPr>
                <w:b w:val="0"/>
              </w:rPr>
              <w:t>+0.97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77.67%</w:t>
            </w:r>
          </w:p>
        </w:tc>
        <w:tc>
          <w:tcPr>
            <w:tcW w:type="dxa" w:w="1262"/>
          </w:tcPr>
          <w:p>
            <w:pPr>
              <w:pStyle w:val="Compact"/>
              <w:jc w:val="left"/>
            </w:pPr>
            <w:r>
              <w:rPr>
                <w:b w:val="0"/>
              </w:rPr>
              <w:t>79.96%</w:t>
            </w:r>
          </w:p>
        </w:tc>
        <w:tc>
          <w:tcPr>
            <w:tcW w:type="dxa" w:w="1262"/>
          </w:tcPr>
          <w:p>
            <w:pPr>
              <w:pStyle w:val="Compact"/>
              <w:jc w:val="center"/>
            </w:pPr>
            <w:r>
              <w:rPr>
                <w:b w:val="0"/>
              </w:rPr>
              <w:t>+2.29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75.41%</w:t>
            </w:r>
          </w:p>
        </w:tc>
        <w:tc>
          <w:tcPr>
            <w:tcW w:type="dxa" w:w="1262"/>
          </w:tcPr>
          <w:p>
            <w:pPr>
              <w:pStyle w:val="Compact"/>
              <w:jc w:val="left"/>
            </w:pPr>
            <w:r>
              <w:rPr>
                <w:b w:val="0"/>
              </w:rPr>
              <w:t>77.08%</w:t>
            </w:r>
          </w:p>
        </w:tc>
        <w:tc>
          <w:tcPr>
            <w:tcW w:type="dxa" w:w="1262"/>
          </w:tcPr>
          <w:p>
            <w:pPr>
              <w:pStyle w:val="Compact"/>
              <w:jc w:val="center"/>
            </w:pPr>
            <w:r>
              <w:rPr>
                <w:b w:val="0"/>
              </w:rPr>
              <w:t>+1.67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75.33%</w:t>
            </w:r>
          </w:p>
        </w:tc>
        <w:tc>
          <w:tcPr>
            <w:tcW w:type="dxa" w:w="1262"/>
          </w:tcPr>
          <w:p>
            <w:pPr>
              <w:pStyle w:val="Compact"/>
              <w:jc w:val="left"/>
            </w:pPr>
            <w:r>
              <w:rPr>
                <w:b w:val="0"/>
              </w:rPr>
              <w:t>77.86%</w:t>
            </w:r>
          </w:p>
        </w:tc>
        <w:tc>
          <w:tcPr>
            <w:tcW w:type="dxa" w:w="1262"/>
          </w:tcPr>
          <w:p>
            <w:pPr>
              <w:pStyle w:val="Compact"/>
              <w:jc w:val="center"/>
            </w:pPr>
            <w:r>
              <w:rPr>
                <w:b w:val="0"/>
              </w:rPr>
              <w:t>+2.53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69.61%</w:t>
            </w:r>
          </w:p>
        </w:tc>
        <w:tc>
          <w:tcPr>
            <w:tcW w:type="dxa" w:w="1262"/>
          </w:tcPr>
          <w:p>
            <w:pPr>
              <w:pStyle w:val="Compact"/>
              <w:jc w:val="left"/>
            </w:pPr>
            <w:r>
              <w:rPr>
                <w:b w:val="0"/>
              </w:rPr>
              <w:t>70.31%</w:t>
            </w:r>
          </w:p>
        </w:tc>
        <w:tc>
          <w:tcPr>
            <w:tcW w:type="dxa" w:w="1262"/>
          </w:tcPr>
          <w:p>
            <w:pPr>
              <w:pStyle w:val="Compact"/>
              <w:jc w:val="center"/>
            </w:pPr>
            <w:r>
              <w:rPr>
                <w:b w:val="0"/>
              </w:rPr>
              <w:t>+0.69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69.17%</w:t>
            </w:r>
          </w:p>
        </w:tc>
        <w:tc>
          <w:tcPr>
            <w:tcW w:type="dxa" w:w="1262"/>
          </w:tcPr>
          <w:p>
            <w:pPr>
              <w:pStyle w:val="Compact"/>
              <w:jc w:val="left"/>
            </w:pPr>
            <w:r>
              <w:rPr>
                <w:b w:val="0"/>
              </w:rPr>
              <w:t>71.48%</w:t>
            </w:r>
          </w:p>
        </w:tc>
        <w:tc>
          <w:tcPr>
            <w:tcW w:type="dxa" w:w="1262"/>
          </w:tcPr>
          <w:p>
            <w:pPr>
              <w:pStyle w:val="Compact"/>
              <w:jc w:val="center"/>
            </w:pPr>
            <w:r>
              <w:rPr>
                <w:b w:val="0"/>
              </w:rPr>
              <w:t>+2.31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69.03%</w:t>
            </w:r>
          </w:p>
        </w:tc>
        <w:tc>
          <w:tcPr>
            <w:tcW w:type="dxa" w:w="1262"/>
          </w:tcPr>
          <w:p>
            <w:pPr>
              <w:pStyle w:val="Compact"/>
              <w:jc w:val="left"/>
            </w:pPr>
            <w:r>
              <w:rPr>
                <w:b w:val="0"/>
              </w:rPr>
              <w:t>68.98%</w:t>
            </w:r>
          </w:p>
        </w:tc>
        <w:tc>
          <w:tcPr>
            <w:tcW w:type="dxa" w:w="1262"/>
          </w:tcPr>
          <w:p>
            <w:pPr>
              <w:pStyle w:val="Compact"/>
              <w:jc w:val="center"/>
            </w:pPr>
            <w:r>
              <w:rPr>
                <w:b w:val="0"/>
              </w:rPr>
              <w:t>−0.05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63.25%</w:t>
            </w:r>
          </w:p>
        </w:tc>
        <w:tc>
          <w:tcPr>
            <w:tcW w:type="dxa" w:w="1262"/>
          </w:tcPr>
          <w:p>
            <w:pPr>
              <w:pStyle w:val="Compact"/>
              <w:jc w:val="left"/>
            </w:pPr>
            <w:r>
              <w:rPr>
                <w:b w:val="0"/>
              </w:rPr>
              <w:t>69.98%</w:t>
            </w:r>
          </w:p>
        </w:tc>
        <w:tc>
          <w:tcPr>
            <w:tcW w:type="dxa" w:w="1262"/>
          </w:tcPr>
          <w:p>
            <w:pPr>
              <w:pStyle w:val="Compact"/>
              <w:jc w:val="center"/>
            </w:pPr>
            <w:r>
              <w:rPr>
                <w:b w:val="0"/>
              </w:rPr>
              <w:t>+6.73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60.63%</w:t>
            </w:r>
          </w:p>
        </w:tc>
        <w:tc>
          <w:tcPr>
            <w:tcW w:type="dxa" w:w="1262"/>
          </w:tcPr>
          <w:p>
            <w:pPr>
              <w:pStyle w:val="Compact"/>
              <w:jc w:val="left"/>
            </w:pPr>
            <w:r>
              <w:rPr>
                <w:b w:val="0"/>
              </w:rPr>
              <w:t>56.35%</w:t>
            </w:r>
          </w:p>
        </w:tc>
        <w:tc>
          <w:tcPr>
            <w:tcW w:type="dxa" w:w="1262"/>
          </w:tcPr>
          <w:p>
            <w:pPr>
              <w:pStyle w:val="Compact"/>
              <w:jc w:val="center"/>
            </w:pPr>
            <w:r>
              <w:rPr>
                <w:b w:val="0"/>
              </w:rPr>
              <w:t>−4.29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59.55%</w:t>
            </w:r>
          </w:p>
        </w:tc>
        <w:tc>
          <w:tcPr>
            <w:tcW w:type="dxa" w:w="1262"/>
          </w:tcPr>
          <w:p>
            <w:pPr>
              <w:pStyle w:val="Compact"/>
              <w:jc w:val="left"/>
            </w:pPr>
            <w:r>
              <w:rPr>
                <w:b w:val="0"/>
              </w:rPr>
              <w:t>59.58%</w:t>
            </w:r>
          </w:p>
        </w:tc>
        <w:tc>
          <w:tcPr>
            <w:tcW w:type="dxa" w:w="1262"/>
          </w:tcPr>
          <w:p>
            <w:pPr>
              <w:pStyle w:val="Compact"/>
              <w:jc w:val="center"/>
            </w:pPr>
            <w:r>
              <w:rPr>
                <w:b w:val="0"/>
              </w:rPr>
              <w:t>+0.03 pp</w:t>
            </w:r>
          </w:p>
        </w:tc>
        <w:tc>
          <w:tcPr>
            <w:tcW w:type="dxa" w:w="2106"/>
          </w:tcPr>
          <w:p>
            <w:pPr>
              <w:pStyle w:val="Compact"/>
              <w:jc w:val="center"/>
            </w:pPr>
            <w:r>
              <w:rPr>
                <w:b w:val="0"/>
              </w:rPr>
              <w:t>no</w:t>
            </w:r>
          </w:p>
        </w:tc>
      </w:tr>
      <w:tr>
        <w:tc>
          <w:tcPr>
            <w:tcW w:type="dxa" w:w="2665"/>
          </w:tcPr>
          <w:p>
            <w:pPr>
              <w:pStyle w:val="Compact"/>
              <w:jc w:val="left"/>
            </w:pPr>
            <w:r>
              <w:rPr>
                <w:b w:val="0"/>
              </w:rPr>
              <w:t>deepseek-r1:1.5b</w:t>
            </w:r>
          </w:p>
        </w:tc>
        <w:tc>
          <w:tcPr>
            <w:tcW w:type="dxa" w:w="1543"/>
          </w:tcPr>
          <w:p>
            <w:pPr>
              <w:pStyle w:val="Compact"/>
              <w:jc w:val="left"/>
            </w:pPr>
            <w:r>
              <w:rPr>
                <w:b w:val="0"/>
              </w:rPr>
              <w:t>28.73%</w:t>
            </w:r>
          </w:p>
        </w:tc>
        <w:tc>
          <w:tcPr>
            <w:tcW w:type="dxa" w:w="1262"/>
          </w:tcPr>
          <w:p>
            <w:pPr>
              <w:pStyle w:val="Compact"/>
              <w:jc w:val="left"/>
            </w:pPr>
            <w:r>
              <w:rPr>
                <w:b w:val="0"/>
              </w:rPr>
              <w:t>30.80%</w:t>
            </w:r>
          </w:p>
        </w:tc>
        <w:tc>
          <w:tcPr>
            <w:tcW w:type="dxa" w:w="1262"/>
          </w:tcPr>
          <w:p>
            <w:pPr>
              <w:pStyle w:val="Compact"/>
              <w:jc w:val="center"/>
            </w:pPr>
            <w:r>
              <w:rPr>
                <w:b w:val="0"/>
              </w:rPr>
              <w:t>+2.07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28.29%</w:t>
            </w:r>
          </w:p>
        </w:tc>
        <w:tc>
          <w:tcPr>
            <w:tcW w:type="dxa" w:w="1262"/>
          </w:tcPr>
          <w:p>
            <w:pPr>
              <w:pStyle w:val="Compact"/>
              <w:jc w:val="left"/>
            </w:pPr>
            <w:r>
              <w:rPr>
                <w:b w:val="0"/>
              </w:rPr>
              <w:t>40.55%</w:t>
            </w:r>
          </w:p>
        </w:tc>
        <w:tc>
          <w:tcPr>
            <w:tcW w:type="dxa" w:w="1262"/>
          </w:tcPr>
          <w:p>
            <w:pPr>
              <w:pStyle w:val="Compact"/>
              <w:jc w:val="center"/>
            </w:pPr>
            <w:r>
              <w:rPr>
                <w:b/>
              </w:rPr>
              <w:t>+12.26 pp</w:t>
            </w:r>
          </w:p>
        </w:tc>
        <w:tc>
          <w:tcPr>
            <w:tcW w:type="dxa" w:w="2106"/>
          </w:tcPr>
          <w:p>
            <w:pPr>
              <w:pStyle w:val="Compact"/>
              <w:jc w:val="center"/>
            </w:pPr>
            <w:r>
              <w:rPr>
                <w:b w:val="0"/>
              </w:rPr>
              <w:t>sí (p&lt;0.001)</w:t>
            </w:r>
          </w:p>
        </w:tc>
      </w:tr>
    </w:tbl>
    <w:p>
      <w:pPr>
        <w:numPr>
          <w:ilvl w:val="0"/>
          <w:numId w:val="0"/>
        </w:numPr>
        <w:pStyle w:val="BodyText"/>
      </w:pPr>
      <w:r>
        <w:rPr>
          <w:b/>
        </w:rPr>
        <w:t>Limitación histórica del corpus N=120, corregida en la re-corrida adoptada — codificación defectuosa de los nombres.</w:t>
      </w:r>
      <w:r>
        <w:t xml:space="preserve"> El corpus </w:t>
      </w:r>
      <w:r>
        <w:t>data/benchmark_balanced_120.json</w:t>
      </w:r>
      <w:r>
        <w:t xml:space="preserve"> que sostenía el consolidado publicado almacenaba los nombres con </w:t>
      </w:r>
      <w:r>
        <w:rPr>
          <w:i/>
        </w:rPr>
        <w:t>mojibake</w:t>
      </w:r>
      <w:r>
        <w:t xml:space="preserve"> (bytes UTF-8 reinterpretados como Latin-1): guardaba </w:t>
      </w:r>
      <w:r>
        <w:t>JosÃ© Bono</w:t>
      </w:r>
      <w:r>
        <w:t xml:space="preserve"> donde el nombre real es </w:t>
      </w:r>
      <w:r>
        <w:rPr>
          <w:b/>
        </w:rPr>
        <w:t>José Bono</w:t>
      </w:r>
      <w:r>
        <w:t xml:space="preserve">. Afectaba a </w:t>
      </w:r>
      <w:r>
        <w:rPr>
          <w:b/>
        </w:rPr>
        <w:t>283 de 1 406 entidades de referencia (20,1 %)</w:t>
      </w:r>
      <w:r>
        <w:t xml:space="preserve"> y, de forma relevante, </w:t>
      </w:r>
      <w:r>
        <w:rPr>
          <w:b/>
        </w:rPr>
        <w:t>también al texto de entrada</w:t>
      </w:r>
      <w:r>
        <w:t xml:space="preserve"> (87 % de los artículos), donde las mismas 283 entidades aparecían </w:t>
      </w:r>
      <w:r>
        <w:rPr>
          <w:b/>
        </w:rPr>
        <w:t>con la misma corrupción</w:t>
      </w:r>
      <w:r>
        <w:t xml:space="preserve">. El corpus era por tanto </w:t>
      </w:r>
      <w:r>
        <w:rPr>
          <w:b/>
        </w:rPr>
        <w:t>internamente coherente</w:t>
      </w:r>
      <w:r>
        <w:t xml:space="preserve">: un modelo que transcribía literalmente coincidía con la referencia, mientras que uno que normalizaba la ortografía al español correcto </w:t>
      </w:r>
      <w:r>
        <w:rPr>
          <w:b/>
        </w:rPr>
        <w:t>dejaba de coincidir</w:t>
      </w:r>
      <w:r>
        <w:t xml:space="preserve">. El efecto </w:t>
      </w:r>
      <w:r>
        <w:rPr>
          <w:b/>
        </w:rPr>
        <w:t>no era un sesgo uniforme</w:t>
      </w:r>
      <w:r>
        <w:t xml:space="preserve"> sino una interacción que dependía del comportamiento de cada modelo: la diferencia de F1 entre los artículos afectados y los no afectados oscilaba entre </w:t>
      </w:r>
      <w:r>
        <w:rPr>
          <w:b/>
        </w:rPr>
        <w:t>−0.070 y +0.025</w:t>
      </w:r>
      <w:r>
        <w:t xml:space="preserve"> según el modelo. Los corpus N=15 y N=30 nunca tuvieron este defecto (0 entidades afectadas), por lo que §5.1, §5.2 y §5.3 nunca se vieron comprometidos. </w:t>
      </w:r>
      <w:r>
        <w:rPr>
          <w:b/>
        </w:rPr>
        <w:t>La corrección se aplicó antes de la re-corrida completa</w:t>
      </w:r>
      <w:r>
        <w:t xml:space="preserve"> (normalizando la codificación en ambos lados de la comparación, verificado con </w:t>
      </w:r>
      <w:r>
        <w:t>tools/analisis_mojibake.py</w:t>
      </w:r>
      <w:r>
        <w:t xml:space="preserve">: 0 de 120 artículos afectados hoy), de modo que los resultados de esta sección ya no dependen de esta interacción. El detalle del defecto original y su efecto medido se conservan íntegros en el </w:t>
      </w:r>
      <w:r>
        <w:rPr>
          <w:b/>
        </w:rPr>
        <w:t>Anexo H</w:t>
      </w:r>
      <w:r>
        <w:t>, como registro de qué se encontró y cómo se corrigió.</w:t>
      </w:r>
    </w:p>
    <w:p>
      <w:pPr>
        <w:numPr>
          <w:ilvl w:val="0"/>
          <w:numId w:val="0"/>
        </w:numPr>
        <w:pStyle w:val="BodyText"/>
      </w:pPr>
      <w:r>
        <w:rPr>
          <w:b/>
        </w:rPr>
        <w:t>Salvedad de procedencia.</w:t>
      </w:r>
      <w:r>
        <w:t xml:space="preserve">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Su F1 es válido; su latencia y sus tokens/s no deben usarse en comparaciones de eficiencia. La re-corrida corrigió además el fallo de contexto de </w:t>
      </w:r>
      <w:r>
        <w:t>nemotron-mini:4b</w:t>
      </w:r>
      <w:r>
        <w:t xml:space="preserve"> que en el corpus publicado dejaba siete filas sin telemetría: en el consolidado adoptado las 113 filas de cada grupo tienen latencia y tokens/s reales.</w:t>
      </w:r>
    </w:p>
    <w:p>
      <w:pPr>
        <w:numPr>
          <w:ilvl w:val="0"/>
          <w:numId w:val="0"/>
        </w:numPr>
        <w:pStyle w:val="Normal"/>
      </w:pPr>
      <w:r>
        <w:t>Este apartado responde a cuatro preguntas: si el efecto del KB RAG es significativo en conjunto, si esa conclusión resiste el matiz de que las observaciones no son independientes, qué modelos concretos mejoran de forma significativa y si existe un patrón real entre la capacidad del modelo y el beneficio de la recuperación.</w:t>
      </w:r>
    </w:p>
    <w:p>
      <w:pPr>
        <w:numPr>
          <w:ilvl w:val="0"/>
          <w:numId w:val="0"/>
        </w:numPr>
        <w:pStyle w:val="Normal"/>
      </w:pPr>
      <w:r>
        <w:t xml:space="preserve">El ANOVA de una vía sobre los veintiséis grupos arroja </w:t>
      </w:r>
      <w:r>
        <w:rPr>
          <w:b/>
        </w:rPr>
        <w:t>F = 119,7502</w:t>
      </w:r>
      <w:r>
        <w:t xml:space="preserve"> con p &lt; 10⁻³⁰⁰ —el valor exacto subdesborda la precisión de doble coma flotante—, y rechaza la hipótesis nula con un margen mayor que sobre el corpus del dominio. El post-hoc de Tukey identifica 217 comparaciones significativas de las 325 posibles entre pares de modelos, pero la pregunta que importa es otra: cuántos modelos mejoran de forma significativa respecto de sí mismos al añadir RAG. Solo uno, </w:t>
      </w:r>
      <w:r>
        <w:t>nemotron-mini:4b</w:t>
      </w:r>
      <w:r>
        <w:t xml:space="preserve">, con +12,26 puntos. </w:t>
      </w:r>
      <w:r>
        <w:t>llama3.2:latest</w:t>
      </w:r>
      <w:r>
        <w:t>, significativo sobre el corpus publicado (+10,82 puntos), queda en +6,73 puntos (p=0,2334) y ya no se distingue del azar tras la corrección por comparaciones múltiples.</w:t>
      </w:r>
    </w:p>
    <w:p>
      <w:pPr>
        <w:numPr>
          <w:ilvl w:val="0"/>
          <w:numId w:val="0"/>
        </w:numPr>
        <w:pStyle w:val="Normal"/>
      </w:pPr>
      <w:r>
        <w:t>Una salvedad de diseño: los veintiséis grupos evalúan los mismos 113 artículos, de modo que las observaciones están apareadas, y el procedimiento estrictamente correcto sería un modelo de medidas repetidas, no este ANOVA. Tratarlas como independientes hace además el contraste conservador. La prueba de Levene sí detecta heterocedasticidad (p = 1,39 × 10⁻¹¹) —a diferencia de sobre el corpus publicado, ahora que el defecto de anotación de Locations está corregido—, lo que refuerza esa salvedad sin invalidar el ANOVA (el diseño está balanceado: 2 938 observaciones, 113 por grupo). Repetido con la prueba de Friedman, la que corresponde a un diseño de medidas repetidas, el rechazo se sostiene con holgura (χ² = 1 802,3671): la conclusión no depende de qué prueba se elija.</w:t>
      </w:r>
    </w:p>
    <w:p>
      <w:pPr>
        <w:numPr>
          <w:ilvl w:val="0"/>
          <w:numId w:val="0"/>
        </w:numPr>
        <w:pStyle w:val="Normal"/>
      </w:pPr>
      <w:r>
        <w:t>El hallazgo central del estudio es que el beneficio del KB RAG decrece con la capacidad del modelo, aunque no de forma perfectamente monótona. Once de los trece modelos mejoran con RAG, aunque solo uno lo haga de forma estadísticamente sólida: la mejora es alta en el modelo más débil del estudio (</w:t>
      </w:r>
      <w:r>
        <w:t>nemotron-mini:4b</w:t>
      </w:r>
      <w:r>
        <w:t>, +12,26 puntos) y marginal en los dos de mayor capacidad (+0,81 y +0,97 puntos en las dos variantes de 31B), que ya siguen las instrucciones correctamente sin necesitar contexto adicional. La Figura 2 recoge ambas lecturas: el desplazamiento de cada modelo al añadir la recuperación y su relación con el desempeño de partida.</w:t>
      </w:r>
    </w:p>
    <w:p>
      <w:pPr>
        <w:numPr>
          <w:ilvl w:val="0"/>
          <w:numId w:val="0"/>
        </w:numPr>
        <w:pStyle w:val="Normal"/>
      </w:pPr>
      <w:r>
        <w:t xml:space="preserve">Queda por saber hasta dónde llega ese patrón, porque de eso depende el hallazgo. Correlacionando el F1 base de cada modelo con la mejora que le aporta el RAG se obtiene un </w:t>
      </w:r>
      <w:r>
        <w:rPr>
          <w:b/>
        </w:rPr>
        <w:t>Spearman de −0,0879</w:t>
      </w:r>
      <w:r>
        <w:t xml:space="preserve"> (p = 0,7752) y un </w:t>
      </w:r>
      <w:r>
        <w:rPr>
          <w:b/>
        </w:rPr>
        <w:t>Pearson de −0,4816</w:t>
      </w:r>
      <w:r>
        <w:t xml:space="preserve"> (p = 0,0956): a diferencia de sobre el corpus publicado, donde discrepaban, aquí ninguno alcanza significancia al 5 %. Retirado </w:t>
      </w:r>
      <w:r>
        <w:t>nemotron-mini:4b</w:t>
      </w:r>
      <w:r>
        <w:t xml:space="preserve"> de la muestra, el Pearson pasa a +0,0120 (p = 0,971): la relación depende casi enteramente de ese modelo y no es un patrón generalizable a los otros doce. La conclusión correcta no es, por tanto, que el RAG beneficie a los modelos débiles en general, sino que beneficia de forma demostrable a uno solo, el más débil del estudio.</w:t>
      </w:r>
    </w:p>
    <w:p>
      <w:pPr>
        <w:numPr>
          <w:ilvl w:val="0"/>
          <w:numId w:val="0"/>
        </w:numPr>
        <w:pStyle w:val="Caption"/>
        <w:jc w:val="center"/>
        <w:spacing w:lineRule="auto" w:line="240" w:before="120" w:after="60"/>
        <w:keepNext w:val="1"/>
      </w:pPr>
      <w:r>
        <w:drawing>
          <wp:inline>
            <wp:extent cx="5612130" cy="2521179"/>
            <wp:docPr id="2" name="Picture 2"/>
            <wp:cNvGraphicFramePr>
              <a:graphicFrameLocks noChangeAspect="1"/>
            </wp:cNvGraphicFramePr>
            <a:graphic>
              <a:graphicData uri="http://schemas.openxmlformats.org/drawingml/2006/picture">
                <pic:pic>
                  <pic:nvPicPr>
                    <pic:cNvPr id="0" name="efecto-kb-rag.png"/>
                    <pic:cNvPicPr/>
                  </pic:nvPicPr>
                  <pic:blipFill>
                    <a:blip r:embed="rId10"/>
                    <a:stretch>
                      <a:fillRect/>
                    </a:stretch>
                  </pic:blipFill>
                  <pic:spPr>
                    <a:xfrm>
                      <a:off x="0" y="0"/>
                      <a:ext cx="5612130" cy="2521179"/>
                    </a:xfrm>
                    <a:prstGeom prst="rect"/>
                  </pic:spPr>
                </pic:pic>
              </a:graphicData>
            </a:graphic>
          </wp:inline>
        </w:drawing>
      </w:r>
    </w:p>
    <w:p>
      <w:pPr>
        <w:numPr>
          <w:ilvl w:val="0"/>
          <w:numId w:val="0"/>
        </w:numPr>
        <w:pStyle w:val="Caption"/>
      </w:pPr>
      <w:r>
        <w:t>Figura 2. Efecto de la base de conocimientos contextual sobre los trece modelos (N=120). El panel (a) une con un trazo el F1 de cada modelo sin recuperación y con ella; en negro, el único caso en que la mejora supera la corrección por comparaciones múltiples. El panel (b) representa esa misma mejora frente al desempeño de partida. Elaboración propia a partir de la Tabla 7</w:t>
      </w:r>
    </w:p>
    <w:p>
      <w:pPr>
        <w:numPr>
          <w:ilvl w:val="0"/>
          <w:numId w:val="0"/>
        </w:numPr>
        <w:pStyle w:val="Normal"/>
      </w:pPr>
      <w:r>
        <w:t>Lectura conjunta con el corpus N=30 (§5.3):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BodyText"/>
      </w:pPr>
      <w:r>
        <w:t xml:space="preserve">El análisis cualitativo se apoya en la clasificación que el evaluador almacena por registro, con cuatro categorías: errores de límite, confusión de tipo, omisiones de abreviatura y alucinaciones extrínsecas. Conviene leer la primera con cuidado, porque su nombre sugiere algo más estrecho de lo que agrupa. Un </w:t>
      </w:r>
      <w:r>
        <w:rPr>
          <w:b/>
        </w:rPr>
        <w:t>error de límite</w:t>
      </w:r>
      <w:r>
        <w:t xml:space="preserve"> es todo emparejamiento cuya similitud queda entre 50 y 85, es decir por debajo del umbral que acepta la coincidencia, y ahí caben tres fenómenos distintos. El más frecuente no es un error del modelo sino de la referencia: </w:t>
      </w:r>
      <w:r>
        <w:t>José María Aznar</w:t>
      </w:r>
      <w:r>
        <w:t xml:space="preserve"> frente a </w:t>
      </w:r>
      <w:r>
        <w:t>JosÃ© MarÃ­a Aznar</w:t>
      </w:r>
      <w:r>
        <w:t xml:space="preserve">, con similitud de 82,4, donde el modelo escribe el nombre correctamente y la anotación corrupta no lo reconoce. El segundo son variantes de sigla, como </w:t>
      </w:r>
      <w:r>
        <w:t>EFE</w:t>
      </w:r>
      <w:r>
        <w:t xml:space="preserve"> y </w:t>
      </w:r>
      <w:r>
        <w:t>EFECOM</w:t>
      </w:r>
      <w:r>
        <w:t xml:space="preserve">, que designan la misma agencia con 66,7 de similitud. Y el tercero, el más engañoso, son </w:t>
      </w:r>
      <w:r>
        <w:rPr>
          <w:b/>
        </w:rPr>
        <w:t>nombres sin relación alguna</w:t>
      </w:r>
      <w:r>
        <w:t xml:space="preserve"> que comparten estructura suficiente para superar el suelo de 50: </w:t>
      </w:r>
      <w:r>
        <w:t>CorÃ­n Tellado</w:t>
      </w:r>
      <w:r>
        <w:t xml:space="preserve"> frente a </w:t>
      </w:r>
      <w:r>
        <w:t>Mario Delgado</w:t>
      </w:r>
      <w:r>
        <w:t xml:space="preserve"> con 51,9, o </w:t>
      </w:r>
      <w:r>
        <w:t>Peter Twehway</w:t>
      </w:r>
      <w:r>
        <w:t xml:space="preserve"> frente a </w:t>
      </w:r>
      <w:r>
        <w:t>Bill Twehway</w:t>
      </w:r>
      <w:r>
        <w:t xml:space="preserve"> con 64,0, que son personas distintas. El primero de esos dos casos acumula los dos problemas a la vez, y merece leerse despacio: el modelo transcribió literalmente un nombre corrupto del texto de origen, y el cotejo lo emparejó con una persona sin relación alguna. La cifra que aquí se cita es la del par tal como consta en los resultados, con la corrupción incluida; con las formas ortográficamente correctas el emparejamiento daría otro valor, y esa diferencia es precisamente el efecto que este apartado describe. De ahí se sigue una advertencia metodológica: el recuento de esta categoría </w:t>
      </w:r>
      <w:r>
        <w:rPr>
          <w:b/>
        </w:rPr>
        <w:t>no</w:t>
      </w:r>
      <w:r>
        <w:t xml:space="preserve"> mide la habilidad del modelo para delimitar entidades, sino la frecuencia con que el cotejo difuso queda en su franja intermedia, y una parte apreciable de esos casos la provoca la codificación defectuosa del corpus (§3.3 y Anexo H).</w:t>
      </w:r>
    </w:p>
    <w:p>
      <w:pPr>
        <w:numPr>
          <w:ilvl w:val="0"/>
          <w:numId w:val="0"/>
        </w:numPr>
        <w:pStyle w:val="Normal"/>
      </w:pPr>
      <w:r>
        <w:t xml:space="preserve">La </w:t>
      </w:r>
      <w:r>
        <w:rPr>
          <w:b/>
        </w:rPr>
        <w:t>confusión de tipo</w:t>
      </w:r>
      <w:r>
        <w:t xml:space="preserve"> aparece cuando el modelo asigna a una entidad una categoría distinta de la que registra la referencia. Los casos dominantes son homogéneos y tienen una explicación clara: </w:t>
      </w:r>
      <w:r>
        <w:t>Estados Unidos</w:t>
      </w:r>
      <w:r>
        <w:t xml:space="preserve">, </w:t>
      </w:r>
      <w:r>
        <w:t>Francia</w:t>
      </w:r>
      <w:r>
        <w:t xml:space="preserve">, </w:t>
      </w:r>
      <w:r>
        <w:t>Israel</w:t>
      </w:r>
      <w:r>
        <w:t xml:space="preserve"> o </w:t>
      </w:r>
      <w:r>
        <w:t>Valencia</w:t>
      </w:r>
      <w:r>
        <w:t xml:space="preserve"> extraídos como localización cuando la anotación de CoNLL-2002 los registra como organización, por tratarse de menciones al Estado o al club y no al territorio. No es una alucinación ni un fallo de comprensión, sino una divergencia entre la convención de anotación del corpus y la lectura natural del nombre, y se concentra precisamente en la categoría cuyo vacío en la referencia se discute en §3.3.</w:t>
      </w:r>
    </w:p>
    <w:p>
      <w:pPr>
        <w:numPr>
          <w:ilvl w:val="0"/>
          <w:numId w:val="0"/>
        </w:numPr>
        <w:pStyle w:val="Normal"/>
      </w:pPr>
      <w:r>
        <w:t xml:space="preserve">Las </w:t>
      </w:r>
      <w:r>
        <w:rPr>
          <w:b/>
        </w:rPr>
        <w:t>alucinaciones extrínsecas</w:t>
      </w:r>
      <w:r>
        <w:t xml:space="preserve">, en las que el modelo propone entidades ausentes del texto, son el patrón que más varía entre modelos. Sobre los sesenta y un grupos medidos —entendiendo por grupo cada combinación de modelo y modo de recuperación que aporta los ciento veinte registros completos, contando todas las corridas conservadas y no solo la de referencia de cada modelo—, el rango va de </w:t>
      </w:r>
      <w:r>
        <w:rPr>
          <w:b/>
        </w:rPr>
        <w:t>cero</w:t>
      </w:r>
      <w:r>
        <w:t xml:space="preserve"> en las variantes alojadas de </w:t>
      </w:r>
      <w:r>
        <w:t>gemma4:31b</w:t>
      </w:r>
      <w:r>
        <w:t xml:space="preserve"> al </w:t>
      </w:r>
      <w:r>
        <w:rPr>
          <w:b/>
        </w:rPr>
        <w:t>21,59 %</w:t>
      </w:r>
      <w:r>
        <w:t xml:space="preserve"> de </w:t>
      </w:r>
      <w:r>
        <w:t>deepseek-r1:1.5b</w:t>
      </w:r>
      <w:r>
        <w:t xml:space="preserve"> con recuperación por diccionario, y veintiocho de esos sesenta y un grupos quedan por debajo del </w:t>
      </w:r>
      <w:r>
        <w:rPr>
          <w:b/>
        </w:rPr>
        <w:t>1 %</w:t>
      </w:r>
      <w:r>
        <w:t xml:space="preserve">: la instrucción de restringir la extracción al artículo presente funciona en casi la mitad de las configuraciones y en todas las de mayor capacidad. El problema se concentra en los dos modelos más pequeños, y ahí es determinante: </w:t>
      </w:r>
      <w:r>
        <w:t>deepseek-r1:1.5b</w:t>
      </w:r>
      <w:r>
        <w:t xml:space="preserve"> oscila entre 11,23 % en extracción directa y 21,59 % con recuperación, y </w:t>
      </w:r>
      <w:r>
        <w:t>nemotron-mini:4b</w:t>
      </w:r>
      <w:r>
        <w:t xml:space="preserve"> entre 7,14 % y 14,75 %. En ambos casos el defecto, más que la exhaustividad, es lo que descarta su uso en un flujo de cumplimiento, porque una entidad inventada en un informe de sanciones tiene un coste mayor que una omitida.</w:t>
      </w:r>
    </w:p>
    <w:p>
      <w:pPr>
        <w:numPr>
          <w:ilvl w:val="0"/>
          <w:numId w:val="0"/>
        </w:numPr>
        <w:pStyle w:val="Heading2"/>
      </w:pPr>
      <w:r>
        <w:t>5.5 Análisis de Eficiencia en Hardware Soberano</w:t>
      </w:r>
    </w:p>
    <w:p>
      <w:pPr>
        <w:numPr>
          <w:ilvl w:val="0"/>
          <w:numId w:val="0"/>
        </w:numPr>
        <w:pStyle w:val="BodyText"/>
      </w:pPr>
      <w:r>
        <w:t>La Tabla 8 reúne el consumo de memoria, el rendimiento y el coste estimado por artículo de cada modelo.</w:t>
      </w:r>
    </w:p>
    <w:p>
      <w:pPr>
        <w:numPr>
          <w:ilvl w:val="0"/>
          <w:numId w:val="0"/>
        </w:numPr>
        <w:pStyle w:val="TableCaption"/>
      </w:pPr>
      <w:r>
        <w:t>Tabla 8. Eficiencia en hardware soberano: memoria, rendimiento y coste estimado por artículo</w:t>
      </w:r>
    </w:p>
    <w:tbl>
      <w:tblPr>
        <w:tblStyle w:val="Table"/>
        <w:tblW w:type="pct" w:w="5000.0"/>
        <w:tblLook w:firstRow="1"/>
      </w:tblPr>
      <w:tblGrid>
        <w:gridCol w:w="1753"/>
        <w:gridCol w:w="1127"/>
        <w:gridCol w:w="900"/>
        <w:gridCol w:w="1753"/>
        <w:gridCol w:w="1753"/>
        <w:gridCol w:w="1552"/>
      </w:tblGrid>
      <w:tr>
        <w:trPr>
          <w:cnfStyle w:firstRow="1"/>
        </w:trPr>
        <w:tc>
          <w:tcPr>
            <w:tcW w:type="dxa" w:w="1753"/>
            <w:tcBorders>
              <w:bottom w:val="single"/>
            </w:tcBorders>
            <w:vAlign w:val="bottom"/>
          </w:tcPr>
          <w:p>
            <w:pPr>
              <w:pStyle w:val="Compact"/>
              <w:jc w:val="left"/>
            </w:pPr>
            <w:r>
              <w:rPr>
                <w:b/>
              </w:rPr>
              <w:t>Modelo</w:t>
            </w:r>
          </w:p>
        </w:tc>
        <w:tc>
          <w:tcPr>
            <w:tcW w:type="dxa" w:w="1127"/>
            <w:tcBorders>
              <w:bottom w:val="single"/>
            </w:tcBorders>
            <w:vAlign w:val="bottom"/>
          </w:tcPr>
          <w:p>
            <w:pPr>
              <w:pStyle w:val="Compact"/>
              <w:jc w:val="left"/>
            </w:pPr>
            <w:r>
              <w:rPr>
                <w:b/>
              </w:rPr>
              <w:t>VRAM (MB)</w:t>
            </w:r>
          </w:p>
        </w:tc>
        <w:tc>
          <w:tcPr>
            <w:tcW w:type="dxa" w:w="900"/>
            <w:tcBorders>
              <w:bottom w:val="single"/>
            </w:tcBorders>
            <w:vAlign w:val="bottom"/>
          </w:tcPr>
          <w:p>
            <w:pPr>
              <w:pStyle w:val="Compact"/>
              <w:jc w:val="left"/>
            </w:pPr>
            <w:r>
              <w:rPr>
                <w:b/>
              </w:rPr>
              <w:t>Tok/s</w:t>
            </w:r>
          </w:p>
        </w:tc>
        <w:tc>
          <w:tcPr>
            <w:tcW w:type="dxa" w:w="1753"/>
            <w:tcBorders>
              <w:bottom w:val="single"/>
            </w:tcBorders>
            <w:vAlign w:val="bottom"/>
          </w:tcPr>
          <w:p>
            <w:pPr>
              <w:pStyle w:val="Compact"/>
              <w:jc w:val="center"/>
            </w:pPr>
            <w:r>
              <w:rPr>
                <w:b/>
              </w:rPr>
              <w:t>Parámetros (B)</w:t>
            </w:r>
          </w:p>
        </w:tc>
        <w:tc>
          <w:tcPr>
            <w:tcW w:type="dxa" w:w="1753"/>
            <w:tcBorders>
              <w:bottom w:val="single"/>
            </w:tcBorders>
            <w:vAlign w:val="bottom"/>
          </w:tcPr>
          <w:p>
            <w:pPr>
              <w:pStyle w:val="Compact"/>
              <w:jc w:val="center"/>
            </w:pPr>
            <w:r>
              <w:rPr>
                <w:b/>
              </w:rPr>
              <w:t>Índice Tok/s/B</w:t>
            </w:r>
          </w:p>
        </w:tc>
        <w:tc>
          <w:tcPr>
            <w:tcW w:type="dxa" w:w="1552"/>
            <w:tcBorders>
              <w:bottom w:val="single"/>
            </w:tcBorders>
            <w:vAlign w:val="bottom"/>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900"/>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552"/>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900"/>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552"/>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900"/>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26.44</w:t>
            </w:r>
          </w:p>
        </w:tc>
        <w:tc>
          <w:tcPr>
            <w:tcW w:type="dxa" w:w="1552"/>
          </w:tcPr>
          <w:p>
            <w:pPr>
              <w:pStyle w:val="Compact"/>
              <w:jc w:val="left"/>
            </w:pPr>
            <w:r>
              <w:rPr>
                <w:b w:val="0"/>
              </w:rPr>
              <w:t>$0.052</w:t>
            </w:r>
          </w:p>
        </w:tc>
      </w:tr>
    </w:tbl>
    <w:p>
      <w:pPr>
        <w:numPr>
          <w:ilvl w:val="0"/>
          <w:numId w:val="0"/>
        </w:numPr>
        <w:pStyle w:val="BodyText"/>
      </w:pPr>
      <w:r>
        <w:t xml:space="preserve">Valores medidos sobre </w:t>
      </w:r>
      <w:r>
        <w:t>benchmark_results.csv</w:t>
      </w:r>
      <w:r>
        <w:t xml:space="preserve"> (subconjunto </w:t>
      </w:r>
      <w:r>
        <w:t>_baseline</w:t>
      </w:r>
      <w:r>
        <w:t xml:space="preserve">, N=15; columnas </w:t>
      </w:r>
      <w:r>
        <w:t>vram_mb</w:t>
      </w:r>
      <w:r>
        <w:t xml:space="preserve"> y </w:t>
      </w:r>
      <w:r>
        <w:t>tokens_per_sec</w:t>
      </w:r>
      <w:r>
        <w:t xml:space="preserve">), salvo la fila de </w:t>
      </w:r>
      <w:r>
        <w:t>gemma4:31b</w:t>
      </w:r>
      <w:r>
        <w:t xml:space="preserve">, medida sobre </w:t>
      </w:r>
      <w:r>
        <w:t>results/gemma4_31b_n15_REMOTO/benchmark_results.csv</w:t>
      </w:r>
      <w:r>
        <w:t xml:space="preserve"> (equipo de 48 GB).</w:t>
      </w:r>
    </w:p>
    <w:p>
      <w:pPr>
        <w:numPr>
          <w:ilvl w:val="0"/>
          <w:numId w:val="0"/>
        </w:numPr>
        <w:pStyle w:val="Normal"/>
      </w:pPr>
      <w:r>
        <w:t xml:space="preserve">El coste por artículo de la columna final merece una precisión, porque es idéntico en las tres filas y eso podría inducir a error: no mide el coste de cómputo de cada modelo, sino el coste amortizado de la infraestructura. Se </w:t>
      </w:r>
      <w:r>
        <w:rPr>
          <w:b/>
        </w:rPr>
        <w:t>estima</w:t>
      </w:r>
      <w:r>
        <w:t xml:space="preserve"> a partir de la amortización del equipo a un año, unos USD 0,050 por artículo procesado, más el consumo eléctrico, unos USD 0,002. Conviene subrayar que todas las cifras económicas de esta sección son estimaciones, no mediciones: dependen del precio del equipo, de su vida útil, de la tarifa eléctrica y del volumen realmente procesado, parámetros que varían con cada despliegue. Al tratarse de un coste de capital repartido entre el volumen procesado, no varía con el modelo elegido; lo que sí varía es cuántos artículos permite procesar ese mismo hardware en el mismo tiempo, y de eso da cuenta el índice Tok/s/B.</w:t>
      </w:r>
    </w:p>
    <w:p>
      <w:pPr>
        <w:numPr>
          <w:ilvl w:val="0"/>
          <w:numId w:val="0"/>
        </w:numPr>
        <w:pStyle w:val="Normal"/>
      </w:pPr>
      <w:r>
        <w:t xml:space="preserve">Frente a esos USD 0,052, la revisión manual cuesta unos USD 8,75 por artículo, cifra que resulta de valorar el tiempo de un analista de cumplimiento en USD 35 por hora y estimar en quince minutos la revisión de cada noticia, ambos parámetros tomados de la observación interna del proceso vigente en Austranet y no de una fuente publicada. La comparación, igualmente estimada, arroja una reducción del </w:t>
      </w:r>
      <w:r>
        <w:rPr>
          <w:b/>
        </w:rPr>
        <w:t>99,4 %</w:t>
      </w:r>
      <w:r>
        <w:t xml:space="preserve"> en coste unitario, si bien conviene leerla con cautela: el sistema automatizado no sustituye al analista, sino que le entrega una preselección que aún debe validar, de modo que el ahorro real depende de cuánto reduzca el volumen que llega a revisión humana.</w:t>
      </w:r>
    </w:p>
    <w:p>
      <w:pPr>
        <w:numPr>
          <w:ilvl w:val="0"/>
          <w:numId w:val="0"/>
        </w:numPr>
        <w:pStyle w:val="Heading2"/>
      </w:pPr>
      <w:r>
        <w:t>5.6 De los diccionarios de entidades a la base de conocimientos contextual</w:t>
      </w:r>
    </w:p>
    <w:p>
      <w:pPr>
        <w:numPr>
          <w:ilvl w:val="0"/>
          <w:numId w:val="0"/>
        </w:numPr>
        <w:pStyle w:val="BodyText"/>
      </w:pPr>
      <w:r>
        <w:t xml:space="preserve">La primera versión del módulo de recuperación indexaba </w:t>
      </w:r>
      <w:r>
        <w:rPr>
          <w:b/>
        </w:rPr>
        <w:t>nombres de entidades</w:t>
      </w:r>
      <w:r>
        <w:t xml:space="preserve"> —3 605 personas y 1 848 organizaciones de la lista de Nacionales Especialmente Designados (SDN) del Departamento del Tesoro de los Estados Unidos [19], más 12 000 nombres personales sintéticos de aumento: 17 453 documentos en total— y anteponía al </w:t>
      </w:r>
      <w:r>
        <w:rPr>
          <w:i/>
        </w:rPr>
        <w:t>prompt</w:t>
      </w:r>
      <w:r>
        <w:t xml:space="preserve"> los más próximos al artículo según similitud vectorial. El resultado fue el contrario del esperado: sobre el corpus N=120, de los once modelos con par completo de resultados, </w:t>
      </w:r>
      <w:r>
        <w:rPr>
          <w:b/>
        </w:rPr>
        <w:t>diez empeoraron</w:t>
      </w:r>
      <w:r>
        <w:t xml:space="preserve"> al activarlo, y entre ellos los de mejor desempeño base. El único que mejoró es la variante alojada de </w:t>
      </w:r>
      <w:r>
        <w:t>gemma4:31b</w:t>
      </w:r>
      <w:r>
        <w:t>, y el dato pide cautela antes que celebración: su línea base en esa corrida es de 13,95 % frente al 62,38 % que obtiene en la corrida limpia, de modo que la mejora se mide contra una medición averiada y no acredita nada sobre el efecto del diccionario.</w:t>
      </w:r>
    </w:p>
    <w:p>
      <w:pPr>
        <w:numPr>
          <w:ilvl w:val="0"/>
          <w:numId w:val="0"/>
        </w:numPr>
        <w:pStyle w:val="Normal"/>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Normal"/>
      </w:pPr>
      <w:r>
        <w:t xml:space="preserve">La segunda versión invierte la naturaleza de lo recuperado. En lugar de entidades, la base de conocimientos almacena </w:t>
      </w:r>
      <w:r>
        <w:rPr>
          <w:b/>
        </w:rPr>
        <w:t>criterios</w:t>
      </w:r>
      <w:r>
        <w:t xml:space="preserve">: guías tipológicas por dominio (sanciones financieras, política, empresas, lo judicial y lo deportivo)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Normal"/>
      </w:pPr>
      <w:r>
        <w:t>Los resultados de esta segunda versión sobre el corpus completo se recogen en la tabla de §5.3.1, que compara los trece modelos del estudio en ambos modos. Su lectura confirma que el cambio de estrategia revierte la degradación (nueve de los trece modelos mejoran) y revela un patrón que la primera versión no permitía observar: el beneficio decrece conforme aumenta la capacidad del modelo,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BodyText"/>
      </w:pPr>
      <w:r>
        <w:t>La hipótesis fijaba un F1 igual o superior al 70 % como umbral de viabilidad. El umbral se alcanza sobre el corpus del dominio —</w:t>
      </w:r>
      <w:r>
        <w:t>gemma4:31b-mlx</w:t>
      </w:r>
      <w:r>
        <w:t xml:space="preserve"> obtiene 80,57 % con intervalo de confianza al 95 % de [74,22 %, 86,92 %] y ninguna extracción fallida sobre N=30— y también, directamente y sin necesidad de corrección alguna, sobre el corpus periodístico: </w:t>
      </w:r>
      <w:r>
        <w:t>gemma4:31b-mlx</w:t>
      </w:r>
      <w:r>
        <w:t xml:space="preserve"> obtiene 81,47 % sobre N=120. La hipótesis queda por tanto confirmada en ambos corpus. La brecha que subsiste, de unos nueve puntos entre 90,16 % y 81,47 %,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Normal"/>
      </w:pPr>
      <w:r>
        <w:t xml:space="preserve">Tres factores explican la distribución de resultados observada. El primero es el idioma del prompt y de sus ejemplos. Redactar ambos en español aporta 10,40 puntos de F1 sin cambiar de modelo, mejora que ninguno de los dos factores consigue por separado: traducir solo el prompt aporta 4,38 puntos y añadir ejemplos en inglés resta 0,72. La interpretación de esa interacción exige cuidado, porque la que sugiere la intuición no se sostiene: el corpus sobre el que se midió está redactado </w:t>
      </w:r>
      <w:r>
        <w:rPr>
          <w:b/>
        </w:rPr>
        <w:t>en inglés</w:t>
      </w:r>
      <w:r>
        <w:t xml:space="preserve">, de modo que la instrucción en español no puede estar ayudando al modelo a leer el texto. Lo que sí caracteriza a ese corpus es una minoría de entidades ibéricas, doce de sus ochenta y cuatro personas, procedentes en su mayoría de un caso de corrupción angoleño y por tanto de grafía portuguesa: </w:t>
      </w:r>
      <w:r>
        <w:t>Isabel dos Santos</w:t>
      </w:r>
      <w:r>
        <w:t xml:space="preserve">, </w:t>
      </w:r>
      <w:r>
        <w:t>José Eduardo dos Santos</w:t>
      </w:r>
      <w:r>
        <w:t xml:space="preserve">, </w:t>
      </w:r>
      <w:r>
        <w:t>Hélder Pitta Grós</w:t>
      </w:r>
      <w:r>
        <w:t xml:space="preserve"> o </w:t>
      </w:r>
      <w:r>
        <w:t>Mario Leite da Silva</w:t>
      </w:r>
      <w:r>
        <w:t>. Son nombres con partículas y acentos cuya delimitación es precisamente donde un tokenizador anglocéntrico falla, partiendo la entidad en dos, y donde una instrucción en español orienta mejor al modelo, en línea con el sobrecoste de tokenización documentado para lenguas distintas del inglés [11]. La explicación es entonces más estrecha que la que se suponía, y predice un efecto proporcional a esa minoría, no una mejora general; predicción compatible con que la corrida que replica el experimento arroje 3,11 puntos y no 10,40, y con que el efecto se anule sobre el corpus mayor por la razón que se expone a continuación.</w:t>
      </w:r>
    </w:p>
    <w:p>
      <w:pPr>
        <w:numPr>
          <w:ilvl w:val="0"/>
          <w:numId w:val="0"/>
        </w:numPr>
        <w:pStyle w:val="Normal"/>
      </w:pPr>
      <w:r>
        <w:t xml:space="preserve">El segundo factor es el compromiso entre tamaño y eficiencia.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Normal"/>
      </w:pPr>
      <w:r>
        <w:t>El tercer factor es la comparación entre ejecución local y alojada, y exige cuidado porque los dos corpus dicen cosas distintas. Sobre el corpus de quince artículos la variante alojada obtiene 66,99 % de F1 frente al 69,12 % de su contraparte local, lo que sugeriría que la soberanía no cuesta rendimiento; pero ese experimento es el de menor potencia estadística, y sobre los ciento veinte artículos la relación se invierte: la variante alojada alcanza 82,13 % frente al 81,47 % del mejor local. Lo que el estudio sostiene, por tanto, es que la soberanía cuesta menos de un punto de F1 sobre el corpus mayor, no que salga gratis.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BodyText"/>
      </w:pPr>
      <w:r>
        <w:t>El resultado de mayor alcance metodológico no es el desempeño de ningún modelo concreto sino la comparación entre dos formas de aumentar la generación con información recuperada.</w:t>
      </w:r>
    </w:p>
    <w:p>
      <w:pPr>
        <w:numPr>
          <w:ilvl w:val="0"/>
          <w:numId w:val="0"/>
        </w:numPr>
        <w:pStyle w:val="Normal"/>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y ahí reside el hallazgo: su efectividad está modulada por la capacidad del modelo receptor.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Normal"/>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Normal"/>
      </w:pPr>
      <w:r>
        <w:t>De ahí se sigue tanto la explicación del fracaso de la primera versión como una recomendación práctica. El problema del RAG por diccionario no estaba en el concepto de recuperación sino en la naturaleza de lo recuperado: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BodyText"/>
      </w:pPr>
      <w:r>
        <w:rPr>
          <w:b/>
        </w:rPr>
        <w:t>Viabilidad demostrada:</w:t>
      </w:r>
      <w:r>
        <w:t xml:space="preserve"> Es técnicamente viable implementar un sistema NER soberano para cumplimiento AML/KYC con modelos de lenguaje de código abierto ejecutados localmente sobre hardware Apple Silicon M4, alcanzando </w:t>
      </w:r>
      <w:r>
        <w:rPr>
          <w:b/>
        </w:rPr>
        <w:t>81,47 %</w:t>
      </w:r>
      <w:r>
        <w:t xml:space="preserve"> de F1 sobre el corpus periodístico de ciento veinte artículos —de los que 105 están en español— y </w:t>
      </w:r>
      <w:r>
        <w:rPr>
          <w:b/>
        </w:rPr>
        <w:t>90,16 %</w:t>
      </w:r>
      <w:r>
        <w:t xml:space="preserve"> sobre el corpus del dominio de treinta artículos, que está redactado en inglés. En ninguno de los dos corpus se registraron extracciones fallidas.</w:t>
      </w:r>
    </w:p>
    <w:p>
      <w:pPr>
        <w:numPr>
          <w:ilvl w:val="0"/>
          <w:numId w:val="0"/>
        </w:numPr>
        <w:pStyle w:val="BodyText"/>
      </w:pPr>
      <w:r>
        <w:t xml:space="preserve">Localización lingüística como tendencia no replicada: sobre el corpus de quince artículos, el idioma de la instrucción y el de los ejemplos </w:t>
      </w:r>
      <w:r>
        <w:rPr>
          <w:i/>
        </w:rPr>
        <w:t>few-shot</w:t>
      </w:r>
      <w:r>
        <w:t xml:space="preserve"> parecen </w:t>
      </w:r>
      <w:r>
        <w:rPr>
          <w:b/>
        </w:rPr>
        <w:t>interactuar</w:t>
      </w:r>
      <w:r>
        <w:t xml:space="preserve">, pues por separado aportan +4,38 y −0,72 puntos de F1 mientras combinados alcanzan +10,40. El efecto, sin embargo, </w:t>
      </w:r>
      <w:r>
        <w:rPr>
          <w:b/>
        </w:rPr>
        <w:t>no replica</w:t>
      </w:r>
      <w:r>
        <w:t>: una segunda ejecución sobre el mismo corpus y modelo lo reduce a +3,11 puntos, y sobre el corpus de ciento veinte artículos se anula, con una diferencia de −0,43 puntos y p = 0,9328. La conclusión defendible es por tanto más débil de lo que sugería la primera medición, y además el mecanismo que se le atribuía —que los ejemplos rinden en el idioma del corpus— no puede ser el correcto, porque la mejora se obtuvo sobre artículos redactados en inglés. Determinarlo exige el diseño con réplicas que se propone en §7.2.</w:t>
      </w:r>
    </w:p>
    <w:p>
      <w:pPr>
        <w:numPr>
          <w:ilvl w:val="0"/>
          <w:numId w:val="0"/>
        </w:numPr>
        <w:pStyle w:val="BodyText"/>
      </w:pPr>
      <w:r>
        <w:t xml:space="preserve">Soberanía de datos con un coste de rendimiento casi nulo sobre el corpus mayor: sobre el corpus de quince artículos la ejecución local supera a la alojada (69,12 % frente a 66,99 % de F1), pero ese experimento es el de menor potencia estadística; sobre los ciento veinte artículos, que es el estudio principal, la variante en la nube del mismo modelo obtiene 82,13 % frente al 81,47 % del mejor local. La conclusión sostenible es que la soberanía cuesta </w:t>
      </w:r>
      <w:r>
        <w:rPr>
          <w:b/>
        </w:rPr>
        <w:t>menos de un punto</w:t>
      </w:r>
      <w:r>
        <w:t xml:space="preserve"> de F1 sobre el corpus de mayor potencia, un precio que en un entorno regulado es claramente razonable, y que se paga a cambio de no transferir texto de clientes a un tercero.</w:t>
      </w:r>
    </w:p>
    <w:p>
      <w:pPr>
        <w:numPr>
          <w:ilvl w:val="0"/>
          <w:numId w:val="0"/>
        </w:numPr>
        <w:pStyle w:val="BodyText"/>
      </w:pPr>
      <w:r>
        <w:rPr>
          <w:b/>
        </w:rPr>
        <w:t>Reducción estimada de costos operativos:</w:t>
      </w:r>
      <w:r>
        <w:t xml:space="preserve"> ambas cifras son </w:t>
      </w:r>
      <w:r>
        <w:rPr>
          <w:b/>
        </w:rPr>
        <w:t>estimaciones y no mediciones</w:t>
      </w:r>
      <w:r>
        <w:t>: el coste del sistema soberano (0,052 dólares por artículo) reparte infraestructura amortizada y no mide cómputo, de modo que no varía entre modelos, y el de la revisión manual (8,75 dólares por artículo) procede de valorar el tiempo de un analista. Sobre esa base, la reducción estimada es del 99,4 % en el coste unitario directo (60–80% del costo operativo total, que incluye la supervisión humana), con potencial de procesamiento de cientos de artículos diarios sin personal analista dedicado.</w:t>
      </w:r>
    </w:p>
    <w:p>
      <w:pPr>
        <w:numPr>
          <w:ilvl w:val="0"/>
          <w:numId w:val="0"/>
        </w:numPr>
        <w:pStyle w:val="BodyText"/>
      </w:pPr>
      <w:r>
        <w:rPr>
          <w:b/>
        </w:rPr>
        <w:t>Robustez arquitectural, con su alcance declarado:</w:t>
      </w:r>
      <w:r>
        <w:t xml:space="preserve"> el controlador AIMD acota la concurrencia y reacciona de forma autónoma ante dos señales, las respuestas de limitación de tasa del proveedor —que detecta por coincidencia de subcadenas en el mensaje de error, buscando códigos 429 y 503 y menciones de cuota o sobrecarga— y una racha de errores consecutivos, que abre un cortacircuitos y reduce el número de trabajadores al mínimo. Conviene precisar lo que </w:t>
      </w:r>
      <w:r>
        <w:rPr>
          <w:b/>
        </w:rPr>
        <w:t>no</w:t>
      </w:r>
      <w:r>
        <w:t xml:space="preserve"> hace, porque el diseño no lo contempla: el controlador no recibe telemetría de memoria, de modo que no detecta ni previene el agotamiento de la VRAM. Esa contención se obtiene por otra vía, ejecutando un solo modelo por turno, que es además la condición que garantiza mediciones de telemetría limpias en una GPU de memoria unificada. El </w:t>
      </w:r>
      <w:r>
        <w:rPr>
          <w:i/>
        </w:rPr>
        <w:t>checkpointing</w:t>
      </w:r>
      <w:r>
        <w:t xml:space="preserve"> permite reanudar una corrida interrumpida sin repetir el trabajo ya hecho.</w:t>
      </w:r>
    </w:p>
    <w:p>
      <w:pPr>
        <w:numPr>
          <w:ilvl w:val="0"/>
          <w:numId w:val="0"/>
        </w:numPr>
        <w:pStyle w:val="BodyText"/>
      </w:pPr>
      <w:r>
        <w:t xml:space="preserve">El RAG contextual supera al RAG por diccionario: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uno de los trece modelos (</w:t>
      </w:r>
      <w:r>
        <w:t>nemotron-mini:4b</w:t>
      </w:r>
      <w:r>
        <w:t xml:space="preserve"> </w:t>
      </w:r>
      <w:r>
        <w:rPr>
          <w:b/>
        </w:rPr>
        <w:t>+12,26 pp</w:t>
      </w:r>
      <w:r>
        <w:t xml:space="preserve">, p&lt;0,001, el modelo más débil del estudio); el segundo delta bruto mayor, </w:t>
      </w:r>
      <w:r>
        <w:t>llama3.2:latest</w:t>
      </w:r>
      <w:r>
        <w:t xml:space="preserve"> con +6,73 puntos, no distingue del azar tras la corrección por comparaciones múltiples (p=0,2334), y el resto de la franja intermedia se mueve poco en cualquier dirección. En los dos modelos de 31B el efecto es positivo pero marginal (+0,81 y +0,97 puntos), sin el signo negativo que mostraba el corpus con el defecto de anotación sin corregir, versus el dict-RAG (v1.0), que en un sondeo exploratorio N=5 sobre el mismo modelo, no persistido en </w:t>
      </w:r>
      <w:r>
        <w:t>results/</w:t>
      </w:r>
      <w:r>
        <w:t xml:space="preserve">, degradó el F1 hasta 0.2367 (−57.8% respecto de su propio baseline), degradación confirmada después en la corrida histórica N=120 previa a la re-corrida, donde ese mismo modelo caía de 0.3611 a 0.3113. Su efectividad parece modularse por la capacidad paramétrica, beneficiando sobre todo al modelo de menor capacidad del estudio, donde actúa como memoria externa de conocimiento lingüístico sin coste adicional de hardware. La relación con la capacidad es una </w:t>
      </w:r>
      <w:r>
        <w:rPr>
          <w:b/>
        </w:rPr>
        <w:t>tendencia y no un resultado significativo</w:t>
      </w:r>
      <w:r>
        <w:t>: la correlación por rangos entre capacidad y beneficio da ρ = −0,09 con p = 0,775, que ya ni siquiera se aproxima al nivel de significación que este trabajo fija, con trece modelos como tamaño de muestra. Este hallazgo tiene implicaciones directas para el diseño de sistemas RAG en dominio abierto con LLMs soberanos: la recuperación contextual ayuda de forma demostrable al modelo más limitado y no perjudica a los de mayor capacidad, que es lo que justifica ofrecerla como opción y no como sustituto del ajuste fino en los modelos que ya rinden bien sin ella.</w:t>
      </w:r>
    </w:p>
    <w:p>
      <w:pPr>
        <w:numPr>
          <w:ilvl w:val="0"/>
          <w:numId w:val="0"/>
        </w:numPr>
        <w:pStyle w:val="BodyText"/>
      </w:pPr>
      <w:r>
        <w:t xml:space="preserve">La codificación del corpus condicionó la medición sobre el consolidado publicado, y no de forma neutra: el corpus N=120 almacenaba entonces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corregido antes de la re-corrida que hoy sostiene la Tabla 7 (§5.3.1). Al ser </w:t>
      </w:r>
      <w:r>
        <w:rPr>
          <w:b/>
        </w:rPr>
        <w:t>coherente entre ambos</w:t>
      </w:r>
      <w:r>
        <w:t xml:space="preserve">, no introduce el sesgo uniforme que cabría suponer: favorece a los modelos que transcriben literalmente y penaliza a los que normalizan la ortografía, con un efecto cuyo </w:t>
      </w:r>
      <w:r>
        <w:rPr>
          <w:b/>
        </w:rPr>
        <w:t>signo depende de dónde esté la corrupción</w:t>
      </w:r>
      <w:r>
        <w:t xml:space="preserve">, y esa dependencia es el resultado. Cuando está en la anotación de referencia, veintiuna de las veintiséis configuraciones medidas puntúan </w:t>
      </w:r>
      <w:r>
        <w:rPr>
          <w:b/>
        </w:rPr>
        <w:t>mejor</w:t>
      </w:r>
      <w:r>
        <w:t xml:space="preserve"> en los artículos afectados, porque el cotejo premia transcribir los bytes literalmente y penaliza al modelo que escribe el nombre correctamente. Cuando está en el texto de entrada, veintitrés de veintiséis puntúan </w:t>
      </w:r>
      <w:r>
        <w:rPr>
          <w:b/>
        </w:rPr>
        <w:t>peor</w:t>
      </w:r>
      <w:r>
        <w:t xml:space="preserve">, porque la corrupción dificulta la extracción para todos. Los dos efectos se contraponen, y su cancelación explica que la ventaja de la instrucción en español desaparezca precisamente sobre el corpus con más entidades hispanas: allí la competencia lingüística se vuelve desventaja frente a una referencia corrompida. La implicación metodológica excede a este trabajo: en una evaluación de NER un defecto de codificación no es ruido de fondo sino una variable que interactúa con el comportamiento del modelo, y verificar la codificación de la entrada y de la referencia </w:t>
      </w:r>
      <w:r>
        <w:rPr>
          <w:b/>
        </w:rPr>
        <w:t>por separado</w:t>
      </w:r>
      <w:r>
        <w:t xml:space="preserve"> debe formar parte del protocolo antes de dar por válida cualquier cifra. El detalle, con el script que permite reproducirlo, se desarrolla en el </w:t>
      </w:r>
      <w:r>
        <w:rPr>
          <w:b/>
        </w:rPr>
        <w:t>Anexo H</w:t>
      </w:r>
      <w:r>
        <w:t>.</w:t>
      </w:r>
    </w:p>
    <w:p>
      <w:pPr>
        <w:numPr>
          <w:ilvl w:val="0"/>
          <w:numId w:val="0"/>
        </w:numPr>
        <w:pStyle w:val="Heading2"/>
      </w:pPr>
      <w:r>
        <w:t>7.2 Trabajo Futuro</w:t>
      </w:r>
    </w:p>
    <w:p>
      <w:pPr>
        <w:numPr>
          <w:ilvl w:val="0"/>
          <w:numId w:val="0"/>
        </w:numPr>
        <w:pStyle w:val="BodyText"/>
      </w:pPr>
      <w:r>
        <w:t>Expansión de la Base de Conocimientos KB RAG (Prioridad Alta):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BodyText"/>
      </w:pPr>
      <w:r>
        <w:rPr>
          <w:b/>
        </w:rPr>
        <w:t>Fine-tuning supervisado (Fase 1):</w:t>
      </w:r>
      <w:r>
        <w:t xml:space="preserve"> Aplicar LoRA (</w:t>
      </w:r>
      <w:r>
        <w:rPr>
          <w:i/>
        </w:rPr>
        <w:t>Low-Rank Adaptation</w:t>
      </w:r>
      <w:r>
        <w:t xml:space="preserve">) [27], técnica que ajusta un modelo a un dominio entrenando solo un pequeño conjunto de matrices añadidas y dejando intactos los pesos originales, lo que reduce drásticamente el coste del ajuste fino sobre </w:t>
      </w:r>
      <w:r>
        <w:t>gemma4:31b</w:t>
      </w:r>
      <w:r>
        <w:t xml:space="preserve"> con 200+ ejemplos anotados de Kleptotrace/CoNLL-2002 para cerrar la brecha hacia la meta aspiracional de 85% de F1 (§6.1).</w:t>
      </w:r>
    </w:p>
    <w:p>
      <w:pPr>
        <w:numPr>
          <w:ilvl w:val="0"/>
          <w:numId w:val="0"/>
        </w:numPr>
        <w:pStyle w:val="BodyText"/>
      </w:pPr>
      <w:r>
        <w:t>Expansión del corpus de evaluación (Fase 2): Ampliar el corpus de N=120 a N≥200 artículos reales del dominio AML/KYC chileno, incorporando fuentes como la UAF, CMF y bases de datos de OpenSanctions [38].</w:t>
      </w:r>
    </w:p>
    <w:p>
      <w:pPr>
        <w:numPr>
          <w:ilvl w:val="0"/>
          <w:numId w:val="0"/>
        </w:numPr>
        <w:pStyle w:val="BodyText"/>
      </w:pPr>
      <w:r>
        <w:t xml:space="preserve">Ensemble de modelos (Fase 3):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BodyText"/>
      </w:pPr>
      <w:r>
        <w:t>Evaluación en producción (Fase 4): Despliegue piloto en Austranet con feeds reales de Google Alerts y medición de KPIs operacionales (tiempo de respuesta, carga, satisfacción del analista).</w:t>
      </w:r>
    </w:p>
    <w:p>
      <w:pPr>
        <w:numPr>
          <w:ilvl w:val="0"/>
          <w:numId w:val="0"/>
        </w:numPr>
        <w:pStyle w:val="BodyText"/>
      </w:pPr>
      <w:r>
        <w:rPr>
          <w:b/>
        </w:rPr>
        <w:t>Extensión multiidioma (Fase 5):</w:t>
      </w:r>
      <w:r>
        <w:t xml:space="preserve"> Evaluar la robustez del sistema sobre textos en portugués, dado el alcance latinoamericano del problema de cumplimiento. El comportamiento en inglés ya queda caracterizado por los corpus del dominio empleados aquí, y el contraste entre ambos idiomas sobre el corpus N=120 aporta la primera evidencia comparativa.</w:t>
      </w:r>
    </w:p>
    <w:p>
      <w:pPr>
        <w:numPr>
          <w:ilvl w:val="0"/>
          <w:numId w:val="0"/>
        </w:numPr>
        <w:pStyle w:val="BodyText"/>
      </w:pPr>
      <w:r>
        <w:rPr>
          <w:b/>
        </w:rPr>
        <w:t>Normalización de codificación del corpus y re-evaluación: ya realizada.</w:t>
      </w:r>
      <w:r>
        <w:t xml:space="preserve"> Sobre el consolidado publicado, el corpus N=120 almacenaba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favorecía a los modelos que transcribían literalmente y penalizaba a los que normalizaban la ortografía, con un efecto que, según el criterio de artículo afectado, iba de −0,082 a +0,155 de F1 cuando la corrupción estaba en la anotación de referencia y de −0,267 a +0,015 cuando estaba en el texto de entrada (Anexo H.3). La línea de trabajo que este punto proponía —normalizar la codificación en ambos lados de la comparación y re-ejecutar el estudio N=120— se completó el 8 de septiembre de 2026, antes de la re-corrida que hoy sostiene la Tabla 7 (§5.3.1): el corpus vigente tiene 0 artículos con este defecto, verificado con </w:t>
      </w:r>
      <w:r>
        <w:t>tools/analisis_mojibake.py</w:t>
      </w:r>
      <w:r>
        <w:t>.</w:t>
      </w:r>
    </w:p>
    <w:p>
      <w:pPr>
        <w:numPr>
          <w:ilvl w:val="0"/>
          <w:numId w:val="0"/>
        </w:numPr>
        <w:pStyle w:val="BodyText"/>
      </w:pPr>
      <w:r>
        <w:rPr>
          <w:b/>
        </w:rPr>
        <w:t>Recuperación de las localizaciones que el conversor descartaba: ya realizada.</w:t>
      </w:r>
      <w:r>
        <w:t xml:space="preserve"> Los prompts del sistema solicitan tres categorías de entidad, personas, organizaciones y localizaciones, pero sobre el consolidado publicado ninguno de los tres corpus anotaba la tercera. Como se explica en §3.3, eso convertía toda localización correctamente identificada en un falso positivo, y de ahí procede el 66,0 % de los falsos positivos de ese consolidado. La solución resultó más barata de lo previsto: para 105 de los 120 artículos las localizaciones ya estaban anotadas en CoNLL-2002, y bastó con dejar de descartarlas al convertir, porque el conversor filtraba las etiquetas por personas y organizaciones y escribía la lista de localizaciones como constante vacía; los quince artículos de Kleptotrace se anotaron a mano. Aplicado antes de la re-corrida del 8 de septiembre de 2026, que mide ya las tres categorías (§5.3.1): el corpus vigente tiene 545 localizaciones en 119 de los 120 registros.</w:t>
      </w:r>
    </w:p>
    <w:p>
      <w:pPr>
        <w:numPr>
          <w:ilvl w:val="0"/>
          <w:numId w:val="0"/>
        </w:numPr>
        <w:pStyle w:val="BodyText"/>
      </w:pPr>
      <w:r>
        <w:t>Construcción de un corpus periodístico del dominio en español (Prioridad Alta): los dos corpus específicos</w:t>
      </w:r>
    </w:p>
    <w:p>
      <w:pPr>
        <w:numPr>
          <w:ilvl w:val="0"/>
          <w:numId w:val="0"/>
        </w:numPr>
        <w:pStyle w:val="Normal"/>
      </w:pPr>
      <w:r>
        <w:t>de cumplimiento empleados aquí, el de quince artículos anotados y el sintético de treinta, están redactados en inglés, y el material en español proviene de CoNLL-2002, que es periodismo general y no del dominio. Falta por tanto un corpus que reúna ambas condiciones a la vez. Las fuentes naturales son las resoluciones sancionatorias de la UAF y de la CMF chilenas y la prensa económica regional, y su anotación por especialistas en cumplimiento es el paso que este trabajo no pudo dar por falta de un corpus etiquetado en el dominio.</w:t>
      </w:r>
    </w:p>
    <w:p>
      <w:pPr>
        <w:numPr>
          <w:ilvl w:val="0"/>
          <w:numId w:val="0"/>
        </w:numPr>
        <w:pStyle w:val="BodyText"/>
      </w:pPr>
      <w:r>
        <w:t>Replicación del efecto del idioma del prompt (Prioridad Media): la ventaja de redactar la instrucción y los</w:t>
      </w:r>
    </w:p>
    <w:p>
      <w:pPr>
        <w:numPr>
          <w:ilvl w:val="0"/>
          <w:numId w:val="0"/>
        </w:numPr>
        <w:pStyle w:val="Normal"/>
      </w:pPr>
      <w:r>
        <w:t>ejemplos en español se midió en +10,40 puntos sobre el corpus de quince artículos, pero no replica: una segunda ejecución sobre el mismo corpus y modelo da +3,11 puntos, y sobre el corpus de ciento veinte el efecto se anula, con una diferencia de −0,43 puntos y p = 0,9328. Determinar si la ventaja existe exige un diseño con réplicas y semillas declaradas sobre un corpus del tamaño suficiente, y conviene hacerlo porque el mecanismo que se le atribuía, la concordancia de idioma entre prompt y texto, no puede ser el correcto: la mejora se obtuvo sobre artículos en inglés.</w:t>
      </w:r>
    </w:p>
    <w:p>
      <w:pPr>
        <w:numPr>
          <w:ilvl w:val="0"/>
          <w:numId w:val="0"/>
        </w:numPr>
        <w:pStyle w:val="BodyText"/>
      </w:pPr>
      <w:r>
        <w:t>Contraste pareado por modelo y variantes de la métrica (Prioridad Alta): los veintiséis grupos</w:t>
      </w:r>
    </w:p>
    <w:p>
      <w:pPr>
        <w:numPr>
          <w:ilvl w:val="0"/>
          <w:numId w:val="0"/>
        </w:numPr>
        <w:pStyle w:val="Normal"/>
      </w:pPr>
      <w:r>
        <w:t>evalúan los mismos ciento veinte artículos, de modo que las observaciones están apareadas y el procedimiento que corresponde al diseño es un contraste pareado modelo por modelo con corrección por comparaciones múltiples, y no el análisis de varianza de una vía que este trabajo reporta y cuya limitación §5.3.1 ya declara. Replicarlo exige declarar las dos métricas, la de tres categorías y la restringida del Anexo I, porque no coinciden en qué modelos resultan significativos; y acompañar cada modelo de tres cifras de tamaño de efecto: mediana, media y recuento de pares que cambian con su reparto entre mejoras y empeoramientos. La mediana por sí sola induce a error cuando una fracción grande de los pares vale cero, caso en que un efecto concentrado en una minoría de artículos se lee como ausencia de efecto. Conviene además contrastar la F1 macro por artículo que este trabajo publica con dos variantes que responden a objeciones distintas: la F1 micro, que agrega los aciertos y los errores de todo el corpus antes de calcular la métrica y por tanto pondera por entidad y no por artículo, lo que evita que un artículo con dos entidades pese igual que uno con cuarenta; y un remuestreo pareado sobre la diferencia de F1, que entrega intervalo de confianza sin suponer normalidad ni homocedasticidad y es la práctica recomendada para contrastes de significación en procesamiento de lenguaje natural [39].</w:t>
      </w:r>
    </w:p>
    <w:p>
      <w:pPr>
        <w:numPr>
          <w:ilvl w:val="0"/>
          <w:numId w:val="0"/>
        </w:numPr>
        <w:pStyle w:val="Heading1"/>
      </w:pPr>
      <w:r>
        <w:t>Referencias</w:t>
      </w:r>
    </w:p>
    <w:p>
      <w:pPr>
        <w:numPr>
          <w:ilvl w:val="0"/>
          <w:numId w:val="0"/>
        </w:numPr>
        <w:pStyle w:val="BodyText"/>
      </w:pPr>
      <w:r>
        <w:t xml:space="preserve">[1] P. Lewis et al., "Retrieval-Augmented Generation for Knowledge-Intensive NLP Tasks," </w:t>
      </w:r>
      <w:r>
        <w:rPr>
          <w:i/>
        </w:rPr>
        <w:t>Advances in Neural Information Processing Systems</w:t>
      </w:r>
      <w:r>
        <w:t>, vol. 33, pp. 9459-9474, 2020. [En línea]. Disponible: https://proceedings.neurips.cc/paper/2020/hash/6b493230205f780e1bc26945df7481e5-Abstract.html</w:t>
      </w:r>
    </w:p>
    <w:p>
      <w:pPr>
        <w:numPr>
          <w:ilvl w:val="0"/>
          <w:numId w:val="0"/>
        </w:numPr>
        <w:pStyle w:val="BodyText"/>
      </w:pPr>
      <w:r>
        <w:t xml:space="preserve">[2] J. Devlin, M.-W. Chang, K. Lee, and K. Toutanova, "BERT: Pre-training of Deep Bidirectional Transformers for Language Understanding," </w:t>
      </w:r>
      <w:r>
        <w:rPr>
          <w:i/>
        </w:rPr>
        <w:t>Proceedings of NAACL</w:t>
      </w:r>
      <w:r>
        <w:t>, pp. 4171-4186, 2019. [En línea]. Disponible: https://doi.org/10.18653/v1/N19-1423</w:t>
      </w:r>
    </w:p>
    <w:p>
      <w:pPr>
        <w:numPr>
          <w:ilvl w:val="0"/>
          <w:numId w:val="0"/>
        </w:numPr>
        <w:pStyle w:val="BodyText"/>
      </w:pPr>
      <w:r>
        <w:t>[3] S. Wu et al., "BloombergGPT: A Large Language Model for Finance," 2023, arXiv:2303.17564. [Online]. Available: https://arxiv.org/abs/2303.17564</w:t>
      </w:r>
    </w:p>
    <w:p>
      <w:pPr>
        <w:numPr>
          <w:ilvl w:val="0"/>
          <w:numId w:val="0"/>
        </w:numPr>
        <w:pStyle w:val="BodyText"/>
      </w:pPr>
      <w:r>
        <w:t xml:space="preserve">[4] A. Vaswani et al., "Attention is All you Need," </w:t>
      </w:r>
      <w:r>
        <w:rPr>
          <w:i/>
        </w:rPr>
        <w:t>Advances in Neural Information Processing Systems</w:t>
      </w:r>
      <w:r>
        <w:t>, vol. 30, 2017. [En línea]. Disponible: https://proceedings.neurips.cc/paper/2017/hash/3f5ee243547dee91fbd053c1c4a845aa-Abstract.html</w:t>
      </w:r>
    </w:p>
    <w:p>
      <w:pPr>
        <w:numPr>
          <w:ilvl w:val="0"/>
          <w:numId w:val="0"/>
        </w:numPr>
        <w:pStyle w:val="BodyText"/>
      </w:pPr>
      <w:r>
        <w:t xml:space="preserve">[5] K. Bourne and S. Es, </w:t>
      </w:r>
      <w:r>
        <w:rPr>
          <w:i/>
        </w:rPr>
        <w:t>Unlocking Data with Generative AI and RAG</w:t>
      </w:r>
      <w:r>
        <w:t>. Birmingham, R.U.: Packt Publishing, 2024, ISBN 978-1-83588-790-5. [En línea]. Disponible: https://books.google.com/books?vid=ISBN9781835887905</w:t>
      </w:r>
    </w:p>
    <w:p>
      <w:pPr>
        <w:numPr>
          <w:ilvl w:val="0"/>
          <w:numId w:val="0"/>
        </w:numPr>
        <w:pStyle w:val="BodyText"/>
      </w:pPr>
      <w:r>
        <w:t>[6] Y. Gao et al., "Retrieval-Augmented Generation for Large Language Models: A Survey," 2024, arXiv:2312.10997. [Online]. Available: https://arxiv.org/abs/2312.10997</w:t>
      </w:r>
    </w:p>
    <w:p>
      <w:pPr>
        <w:numPr>
          <w:ilvl w:val="0"/>
          <w:numId w:val="0"/>
        </w:numPr>
        <w:pStyle w:val="BodyText"/>
      </w:pPr>
      <w:r>
        <w:t xml:space="preserve">[7] J. Cañete, G. Chaperon, R. Fuentes, J.-H. Ho, H. Kang, and J. Pérez, "Spanish Pre-Trained BERT Model and Evaluation Data," in </w:t>
      </w:r>
      <w:r>
        <w:rPr>
          <w:i/>
        </w:rPr>
        <w:t>Proc. Practical ML for Developing Countries Workshop (PML4DC) at ICLR 2020</w:t>
      </w:r>
      <w:r>
        <w:t>, Addis Abeba, Etiopía, 2020. [En línea]. Disponible: https://arxiv.org/abs/2308.02976</w:t>
      </w:r>
    </w:p>
    <w:p>
      <w:pPr>
        <w:numPr>
          <w:ilvl w:val="0"/>
          <w:numId w:val="0"/>
        </w:numPr>
        <w:pStyle w:val="BodyText"/>
      </w:pPr>
      <w:r>
        <w:t xml:space="preserve">[8] T. Brown et al., "Language Models are Few-Shot Learners," </w:t>
      </w:r>
      <w:r>
        <w:rPr>
          <w:i/>
        </w:rPr>
        <w:t>Advances in Neural Information Processing Systems</w:t>
      </w:r>
      <w:r>
        <w:t>, vol. 33, pp. 1877-1901, 2020. [En línea]. Disponible: https://proceedings.neurips.cc/paper/2020/hash/1457c0d6bfcb4967418bfb8ac142f64a-Abstract.html</w:t>
      </w:r>
    </w:p>
    <w:p>
      <w:pPr>
        <w:numPr>
          <w:ilvl w:val="0"/>
          <w:numId w:val="0"/>
        </w:numPr>
        <w:pStyle w:val="BodyText"/>
      </w:pPr>
      <w:r>
        <w:t>[9] P. Islam, A. Kannappan, D. Kiela, R. Qian, N. Scherrer, and B. Vidgen, "FinanceBench: A New Benchmark for Financial Question Answering," 2023, arXiv:2311.11944. [En línea]. Disponible: https://arxiv.org/abs/2311.11944</w:t>
      </w:r>
    </w:p>
    <w:p>
      <w:pPr>
        <w:numPr>
          <w:ilvl w:val="0"/>
          <w:numId w:val="0"/>
        </w:numPr>
        <w:pStyle w:val="BodyText"/>
      </w:pPr>
      <w:r>
        <w:t xml:space="preserve">[10] J. C. Salinas Alvarado, K. Verspoor, and T. Baldwin, "Domain Adaption of Named Entity Recognition to Support Credit Risk Assessment," in </w:t>
      </w:r>
      <w:r>
        <w:rPr>
          <w:i/>
        </w:rPr>
        <w:t>Proc. Australasian Language Technology Association Workshop (ALTA)</w:t>
      </w:r>
      <w:r>
        <w:t>, Parramatta, Australia, dic. 2015, pp. 84-90. [En línea]. Disponible: https://aclanthology.org/U15-1010/</w:t>
      </w:r>
    </w:p>
    <w:p>
      <w:pPr>
        <w:numPr>
          <w:ilvl w:val="0"/>
          <w:numId w:val="0"/>
        </w:numPr>
        <w:pStyle w:val="BodyText"/>
      </w:pPr>
      <w:r>
        <w:t xml:space="preserve">[11] O. Ahia et al., "Do All Languages Cost the Same? Tokenization in the Era of Commercial Language Models," in </w:t>
      </w:r>
      <w:r>
        <w:rPr>
          <w:i/>
        </w:rPr>
        <w:t>Proc. Conf. Empirical Methods in Natural Language Processing (EMNLP)</w:t>
      </w:r>
      <w:r>
        <w:t>, 2023, pp. 9904-9923. [En línea]. Disponible: https://doi.org/10.18653/v1/2023.emnlp-main.614</w:t>
      </w:r>
    </w:p>
    <w:p>
      <w:pPr>
        <w:numPr>
          <w:ilvl w:val="0"/>
          <w:numId w:val="0"/>
        </w:numPr>
        <w:pStyle w:val="BodyText"/>
      </w:pPr>
      <w:r>
        <w:t xml:space="preserve">[12] E. F. Tjong Kim Sang, "Introduction to the CoNLL-2002 Shared Task: Language-Independent Named Entity Recognition," </w:t>
      </w:r>
      <w:r>
        <w:rPr>
          <w:i/>
        </w:rPr>
        <w:t>Proceedings of CoNLL-2002</w:t>
      </w:r>
      <w:r>
        <w:t>, pp. 155-158, 2002. [Online]. Available: https://aclanthology.org/W02-2024/</w:t>
      </w:r>
    </w:p>
    <w:p>
      <w:pPr>
        <w:numPr>
          <w:ilvl w:val="0"/>
          <w:numId w:val="0"/>
        </w:numPr>
        <w:pStyle w:val="BodyText"/>
      </w:pPr>
      <w:r>
        <w:t xml:space="preserve">[13] J. Wei et al., "Chain-of-Thought Prompting Elicits Reasoning in Large Language Models," </w:t>
      </w:r>
      <w:r>
        <w:rPr>
          <w:i/>
        </w:rPr>
        <w:t>Advances in Neural Information Processing Systems</w:t>
      </w:r>
      <w:r>
        <w:t>, vol. 35, pp. 24824-24837, 2022. [En línea]. Disponible: https://doi.org/10.52202/068431-1800</w:t>
      </w:r>
    </w:p>
    <w:p>
      <w:pPr>
        <w:numPr>
          <w:ilvl w:val="0"/>
          <w:numId w:val="0"/>
        </w:numPr>
        <w:pStyle w:val="BodyText"/>
      </w:pPr>
      <w:r>
        <w:t xml:space="preserve">[14] Z. Zhao et al., "Calibrate Before Use: Improving Few-shot Performance of Language Models," in </w:t>
      </w:r>
      <w:r>
        <w:rPr>
          <w:i/>
        </w:rPr>
        <w:t>Proc. 38th Int. Conf. Machine Learning (ICML)</w:t>
      </w:r>
      <w:r>
        <w:t>, PMLR vol. 139, 2021, pp. 12697-12706. [En línea]. Disponible: https://proceedings.mlr.press/v139/zhao21c.html</w:t>
      </w:r>
    </w:p>
    <w:p>
      <w:pPr>
        <w:numPr>
          <w:ilvl w:val="0"/>
          <w:numId w:val="0"/>
        </w:numPr>
        <w:pStyle w:val="BodyText"/>
      </w:pPr>
      <w:r>
        <w:t xml:space="preserve">[15] L. Loukas, M. Fergadiotis, I. Chalkidis, E. Spyropoulou, P. Malakasiotis, I. Androutsopoulos, and G. Paliouras, "FiNER: Financial Numeric Entity Recognition for XBRL Tagging," in </w:t>
      </w:r>
      <w:r>
        <w:rPr>
          <w:i/>
        </w:rPr>
        <w:t>Proc. 60th Annu. Meeting Assoc. Comput. Linguistics (ACL)</w:t>
      </w:r>
      <w:r>
        <w:t>, vol. 1, Dublín, Irlanda, mayo 2022, pp. 4419-4431, doi: 10.18653/v1/2022.acl-long.303. [En línea]. Disponible: https://aclanthology.org/2022.acl-long.303/</w:t>
      </w:r>
    </w:p>
    <w:p>
      <w:pPr>
        <w:numPr>
          <w:ilvl w:val="0"/>
          <w:numId w:val="0"/>
        </w:numPr>
        <w:pStyle w:val="BodyText"/>
      </w:pPr>
      <w:r>
        <w:t xml:space="preserve">[16] R. Schwartz et al., "Green AI," </w:t>
      </w:r>
      <w:r>
        <w:rPr>
          <w:i/>
        </w:rPr>
        <w:t>Communications of the ACM</w:t>
      </w:r>
      <w:r>
        <w:t>, vol. 63, no. 12, pp. 54-63, 2020. [En línea]. Disponible: https://doi.org/10.1145/3381831</w:t>
      </w:r>
    </w:p>
    <w:p>
      <w:pPr>
        <w:numPr>
          <w:ilvl w:val="0"/>
          <w:numId w:val="0"/>
        </w:numPr>
        <w:pStyle w:val="BodyText"/>
      </w:pPr>
      <w:r>
        <w:t xml:space="preserve">[17] J. Lafferty, A. McCallum, and F. Pereira, "Conditional Random Fields: Probabilistic Models for Segmenting and Labeling Sequence Data," </w:t>
      </w:r>
      <w:r>
        <w:rPr>
          <w:i/>
        </w:rPr>
        <w:t>Proceedings of ICML</w:t>
      </w:r>
      <w:r>
        <w:t>, pp. 282-289, 2001. [En línea]. Disponible: https://dl.acm.org/doi/10.5555/645530.655813</w:t>
      </w:r>
    </w:p>
    <w:p>
      <w:pPr>
        <w:numPr>
          <w:ilvl w:val="0"/>
          <w:numId w:val="0"/>
        </w:numPr>
        <w:pStyle w:val="BodyText"/>
      </w:pPr>
      <w:r>
        <w:t>[18] Proyecto KLEPTOTRACE, "Kleptotrace-micro-dataset," conjunto de datos, Zenodo, 2024 (15 artículos y 441 frases sobre corrupción financiera, con listas de personas y organizaciones anotadas). doi: 10.5281/zenodo.14027005. [En línea]. Disponible: https://doi.org/10.5281/zenodo.14027005</w:t>
      </w:r>
    </w:p>
    <w:p>
      <w:pPr>
        <w:numPr>
          <w:ilvl w:val="0"/>
          <w:numId w:val="0"/>
        </w:numPr>
        <w:pStyle w:val="BodyText"/>
      </w:pPr>
      <w:r>
        <w:t xml:space="preserve">[19] U.S. Department of the Treasury, Office of Foreign Assets Control, </w:t>
      </w:r>
      <w:r>
        <w:rPr>
          <w:i/>
        </w:rPr>
        <w:t>Specially Designated Nationals and Blocked Persons List (SDN)</w:t>
      </w:r>
      <w:r>
        <w:t>, instantánea del 27 de julio de 2026. [En línea]. Disponible: https://www.treasury.gov/ofac/downloads/sdn.csv</w:t>
      </w:r>
    </w:p>
    <w:p>
      <w:pPr>
        <w:numPr>
          <w:ilvl w:val="0"/>
          <w:numId w:val="0"/>
        </w:numPr>
        <w:pStyle w:val="BodyText"/>
      </w:pPr>
      <w:r>
        <w:t xml:space="preserve">[20] T. Dettmers, A. Pagnoni, A. Holtzman, and L. Zettlemoyer, "QLoRA: Efficient Finetuning of Quantized LLMs," </w:t>
      </w:r>
      <w:r>
        <w:rPr>
          <w:i/>
        </w:rPr>
        <w:t>Advances in Neural Information Processing Systems</w:t>
      </w:r>
      <w:r>
        <w:t>, vol. 36, pp. 10088-10115, 2023. [En línea]. Disponible: https://doi.org/10.52202/075280-0441</w:t>
      </w:r>
    </w:p>
    <w:p>
      <w:pPr>
        <w:numPr>
          <w:ilvl w:val="0"/>
          <w:numId w:val="0"/>
        </w:numPr>
        <w:pStyle w:val="BodyText"/>
      </w:pPr>
      <w:r>
        <w:t xml:space="preserve">[21] Verified Market Research. (2022, mar. 8). </w:t>
      </w:r>
      <w:r>
        <w:rPr>
          <w:i/>
        </w:rPr>
        <w:t>RegTech Market Size Worth $87.17 Billion, Globally, by 2028 at 23.92% CAGR</w:t>
      </w:r>
      <w:r>
        <w:t xml:space="preserve"> [Online]. Available: https://www.prnewswire.com/news-releases/regtech-market-size-worth--87-17-billion-globally-by-2028-at-23-92-cagr-verified-market-research-301497770.html (accedido: 8 sep. 2026).</w:t>
      </w:r>
    </w:p>
    <w:p>
      <w:pPr>
        <w:numPr>
          <w:ilvl w:val="0"/>
          <w:numId w:val="0"/>
        </w:numPr>
        <w:pStyle w:val="BodyText"/>
      </w:pPr>
      <w:r>
        <w:t xml:space="preserve">[22] Chile, </w:t>
      </w:r>
      <w:r>
        <w:rPr>
          <w:i/>
        </w:rPr>
        <w:t>Ley N.º 19.913: Crea la Unidad de Análisis Financiero y modifica diversas disposiciones en materia de lavado y blanqueo de activos</w:t>
      </w:r>
      <w:r>
        <w:t>, Diario Oficial, 18 dic. 2003. [Online]. Available: https://www.uaf.cl/es-cl/normativa/nuestra-ley (accedido: 8 sep. 2026).</w:t>
      </w:r>
    </w:p>
    <w:p>
      <w:pPr>
        <w:numPr>
          <w:ilvl w:val="0"/>
          <w:numId w:val="0"/>
        </w:numPr>
        <w:pStyle w:val="BodyText"/>
      </w:pPr>
      <w:r>
        <w:t xml:space="preserve">[23] A. Conneau et al., "Unsupervised Cross-lingual Representation Learning at Scale," in </w:t>
      </w:r>
      <w:r>
        <w:rPr>
          <w:i/>
        </w:rPr>
        <w:t>Proc. 58th Annual Meeting of the Association for Computational Linguistics (ACL)</w:t>
      </w:r>
      <w:r>
        <w:t>, 2020, pp. 8440-8451. [En línea]. Disponible: https://doi.org/10.18653/v1/2020.acl-main.747</w:t>
      </w:r>
    </w:p>
    <w:p>
      <w:pPr>
        <w:numPr>
          <w:ilvl w:val="0"/>
          <w:numId w:val="0"/>
        </w:numPr>
        <w:pStyle w:val="BodyText"/>
      </w:pPr>
      <w:r>
        <w:t xml:space="preserve">[24] G. Lample et al., "Neural Architectures for Named Entity Recognition," in </w:t>
      </w:r>
      <w:r>
        <w:rPr>
          <w:i/>
        </w:rPr>
        <w:t>Proc. Conf. North American Chapter of the Association for Computational Linguistics: Human Language Technologies (NAACL-HLT)</w:t>
      </w:r>
      <w:r>
        <w:t>, San Diego, CA, USA, 2016, pp. 260-270. [En línea]. Disponible: https://doi.org/10.18653/v1/N16-1030</w:t>
      </w:r>
    </w:p>
    <w:p>
      <w:pPr>
        <w:numPr>
          <w:ilvl w:val="0"/>
          <w:numId w:val="0"/>
        </w:numPr>
        <w:pStyle w:val="BodyText"/>
      </w:pPr>
      <w:r>
        <w:t xml:space="preserve">[25] J. W. Tukey, "Comparing Individual Means in the Analysis of Variance," </w:t>
      </w:r>
      <w:r>
        <w:rPr>
          <w:i/>
        </w:rPr>
        <w:t>Biometrics</w:t>
      </w:r>
      <w:r>
        <w:t>, vol. 5, no. 2, pp. 99-114, 1949. [En línea]. Disponible: https://doi.org/10.2307/3001913</w:t>
      </w:r>
    </w:p>
    <w:p>
      <w:pPr>
        <w:numPr>
          <w:ilvl w:val="0"/>
          <w:numId w:val="0"/>
        </w:numPr>
        <w:pStyle w:val="BodyText"/>
      </w:pPr>
      <w:r>
        <w:t xml:space="preserve">[26] D.-M. Chiu and R. Jain, "Analysis of the Increase and Decrease Algorithms for Congestion Avoidance in Computer Networks," </w:t>
      </w:r>
      <w:r>
        <w:rPr>
          <w:i/>
        </w:rPr>
        <w:t>Computer Networks and ISDN Systems</w:t>
      </w:r>
      <w:r>
        <w:t>, vol. 17, no. 1, pp. 1-14, 1989. [En línea]. Disponible: https://doi.org/10.1016/0169-7552(89)90019-6</w:t>
      </w:r>
    </w:p>
    <w:p>
      <w:pPr>
        <w:numPr>
          <w:ilvl w:val="0"/>
          <w:numId w:val="0"/>
        </w:numPr>
        <w:pStyle w:val="BodyText"/>
      </w:pPr>
      <w:r>
        <w:t xml:space="preserve">[27] E. J. Hu et al., "LoRA: Low-Rank Adaptation of Large Language Models," in </w:t>
      </w:r>
      <w:r>
        <w:rPr>
          <w:i/>
        </w:rPr>
        <w:t>Proc. Int. Conf. on Learning Representations (ICLR)</w:t>
      </w:r>
      <w:r>
        <w:t>, 2022. [En línea]. Disponible: https://iclr.cc/virtual/2022/poster/6319</w:t>
      </w:r>
    </w:p>
    <w:p>
      <w:pPr>
        <w:numPr>
          <w:ilvl w:val="0"/>
          <w:numId w:val="0"/>
        </w:numPr>
        <w:pStyle w:val="BodyText"/>
      </w:pPr>
      <w:r>
        <w:t xml:space="preserve">[28] W. Kwon et al., "Efficient Memory Management for Large Language Model Serving with PagedAttention," in </w:t>
      </w:r>
      <w:r>
        <w:rPr>
          <w:i/>
        </w:rPr>
        <w:t>Proc. 29th ACM Symp. on Operating Systems Principles (SOSP)</w:t>
      </w:r>
      <w:r>
        <w:t>, 2023, pp. 611-626. doi: 10.1145/3600006.3613165. [En línea]. Disponible: https://doi.org/10.1145/3600006.3613165</w:t>
      </w:r>
    </w:p>
    <w:p>
      <w:pPr>
        <w:numPr>
          <w:ilvl w:val="0"/>
          <w:numId w:val="0"/>
        </w:numPr>
        <w:pStyle w:val="BodyText"/>
      </w:pPr>
      <w:r>
        <w:t xml:space="preserve">[29] Ollama. </w:t>
      </w:r>
      <w:r>
        <w:rPr>
          <w:i/>
        </w:rPr>
        <w:t>Ollama</w:t>
      </w:r>
      <w:r>
        <w:t xml:space="preserve"> [Online]. Available: https://github.com/ollama/ollama (accedido: 8 sep. 2026).</w:t>
      </w:r>
    </w:p>
    <w:p>
      <w:pPr>
        <w:numPr>
          <w:ilvl w:val="0"/>
          <w:numId w:val="0"/>
        </w:numPr>
        <w:pStyle w:val="BodyText"/>
      </w:pPr>
      <w:r>
        <w:t xml:space="preserve">[30] llama.cpp contributors. </w:t>
      </w:r>
      <w:r>
        <w:rPr>
          <w:i/>
        </w:rPr>
        <w:t>llama.cpp: LLM inference in C/C++</w:t>
      </w:r>
      <w:r>
        <w:t xml:space="preserve"> [Online]. Available: https://github.com/ggml-org/llama.cpp (accedido: 8 sep. 2026).</w:t>
      </w:r>
    </w:p>
    <w:p>
      <w:pPr>
        <w:numPr>
          <w:ilvl w:val="0"/>
          <w:numId w:val="0"/>
        </w:numPr>
        <w:pStyle w:val="BodyText"/>
      </w:pPr>
      <w:r>
        <w:t xml:space="preserve">[31] Apple Machine Learning Research. </w:t>
      </w:r>
      <w:r>
        <w:rPr>
          <w:i/>
        </w:rPr>
        <w:t>MLX: An array framework for Apple silicon</w:t>
      </w:r>
      <w:r>
        <w:t xml:space="preserve"> [Online]. Available: https://github.com/ml-explore/mlx (accedido: 8 sep. 2026).</w:t>
      </w:r>
    </w:p>
    <w:p>
      <w:pPr>
        <w:numPr>
          <w:ilvl w:val="0"/>
          <w:numId w:val="0"/>
        </w:numPr>
        <w:pStyle w:val="BodyText"/>
      </w:pPr>
      <w:r>
        <w:t xml:space="preserve">[32] Chroma. </w:t>
      </w:r>
      <w:r>
        <w:rPr>
          <w:i/>
        </w:rPr>
        <w:t>chroma: search infrastructure for AI</w:t>
      </w:r>
      <w:r>
        <w:t xml:space="preserve"> [Online]. Available: https://github.com/chroma-core/chroma (accedido: 8 sep. 2026).</w:t>
      </w:r>
    </w:p>
    <w:p>
      <w:pPr>
        <w:numPr>
          <w:ilvl w:val="0"/>
          <w:numId w:val="0"/>
        </w:numPr>
        <w:pStyle w:val="BodyText"/>
      </w:pPr>
      <w:r>
        <w:t xml:space="preserve">[33] M. Bachmann et al. </w:t>
      </w:r>
      <w:r>
        <w:rPr>
          <w:i/>
        </w:rPr>
        <w:t>RapidFuzz: rapid fuzzy string matching in Python</w:t>
      </w:r>
      <w:r>
        <w:t xml:space="preserve"> [Online]. Available: https://pypi.org/project/RapidFuzz/ (accedido: 8 sep. 2026).</w:t>
      </w:r>
    </w:p>
    <w:p>
      <w:pPr>
        <w:numPr>
          <w:ilvl w:val="0"/>
          <w:numId w:val="0"/>
        </w:numPr>
        <w:pStyle w:val="BodyText"/>
      </w:pPr>
      <w:r>
        <w:t xml:space="preserve">[34] F. Pedregosa et al., "Scikit-learn: Machine Learning in Python," </w:t>
      </w:r>
      <w:r>
        <w:rPr>
          <w:i/>
        </w:rPr>
        <w:t>Journal of Machine Learning Research</w:t>
      </w:r>
      <w:r>
        <w:t>, vol. 12, pp. 2825-2830, 2011. [En línea]. Disponible: https://www.jmlr.org/papers/v12/pedregosa11a.html</w:t>
      </w:r>
    </w:p>
    <w:p>
      <w:pPr>
        <w:numPr>
          <w:ilvl w:val="0"/>
          <w:numId w:val="0"/>
        </w:numPr>
        <w:pStyle w:val="BodyText"/>
      </w:pPr>
      <w:r>
        <w:t xml:space="preserve">[35] S. Seabold and J. Perktold, "Statsmodels: Econometric and Statistical Modeling with Python," in </w:t>
      </w:r>
      <w:r>
        <w:rPr>
          <w:i/>
        </w:rPr>
        <w:t>Proc. 9th Python in Science Conf. (SciPy)</w:t>
      </w:r>
      <w:r>
        <w:t>, Austin, TX, USA, 2010, pp. 92-96. [En línea]. Disponible: https://doi.org/10.25080/Majora-92bf1922-011</w:t>
      </w:r>
    </w:p>
    <w:p>
      <w:pPr>
        <w:numPr>
          <w:ilvl w:val="0"/>
          <w:numId w:val="0"/>
        </w:numPr>
        <w:pStyle w:val="BodyText"/>
      </w:pPr>
      <w:r>
        <w:t xml:space="preserve">[36] Apple Inc. </w:t>
      </w:r>
      <w:r>
        <w:rPr>
          <w:i/>
        </w:rPr>
        <w:t>recommendedMaxWorkingSetSize (Metal, MTLDevice)</w:t>
      </w:r>
      <w:r>
        <w:t xml:space="preserve"> [Online]. Available: https://developer.apple.com/documentation/metal/mtldevice/recommendedmaxworkingsetsize (accedido: 8 sep. 2026).</w:t>
      </w:r>
    </w:p>
    <w:p>
      <w:pPr>
        <w:numPr>
          <w:ilvl w:val="0"/>
          <w:numId w:val="0"/>
        </w:numPr>
        <w:pStyle w:val="BodyText"/>
      </w:pPr>
      <w:r>
        <w:t xml:space="preserve">[37] E. Ahumada Gallardo. </w:t>
      </w:r>
      <w:r>
        <w:rPr>
          <w:i/>
        </w:rPr>
        <w:t>mti-pge-tesina-ner-llm-local</w:t>
      </w:r>
      <w:r>
        <w:t>, repositorio de código del trabajo, 2026. [Online]. Available: https://github.com/eahumada/mti-pge-tesina-ner-llm-local (accedido: 8 sep. 2026).</w:t>
      </w:r>
    </w:p>
    <w:p>
      <w:pPr>
        <w:numPr>
          <w:ilvl w:val="0"/>
          <w:numId w:val="0"/>
        </w:numPr>
        <w:pStyle w:val="BodyText"/>
      </w:pPr>
      <w:r>
        <w:t xml:space="preserve">[38] OpenSanctions, </w:t>
      </w:r>
      <w:r>
        <w:rPr>
          <w:i/>
        </w:rPr>
        <w:t>FollowTheMoney: an ontology and data model for anti-corruption and due diligence data</w:t>
      </w:r>
      <w:r>
        <w:t xml:space="preserve"> [En línea]. Disponible: https://followthemoney.tech</w:t>
      </w:r>
    </w:p>
    <w:p>
      <w:pPr>
        <w:numPr>
          <w:ilvl w:val="0"/>
          <w:numId w:val="0"/>
        </w:numPr>
        <w:pStyle w:val="BodyText"/>
      </w:pPr>
      <w:r>
        <w:t xml:space="preserve">[39] R. Dror, G. Baumer, S. Shlomov, and R. Reichart, "The Hitchhiker's Guide to Testing Statistical Significance in Natural Language Processing," in </w:t>
      </w:r>
      <w:r>
        <w:rPr>
          <w:i/>
        </w:rPr>
        <w:t>Proc. 56th Annual Meeting of the Association for Computational Linguistics (Volume 1: Long Papers)</w:t>
      </w:r>
      <w:r>
        <w:t>, Melbourne, Australia, 2018, pp. 1383-1392, doi: 10.18653/v1/P18-1128. [En línea]. Disponible: https://aclanthology.org/P18-1128/</w:t>
      </w:r>
    </w:p>
    <w:p>
      <w:pPr>
        <w:numPr>
          <w:ilvl w:val="0"/>
          <w:numId w:val="0"/>
        </w:numPr>
        <w:pStyle w:val="Heading1"/>
      </w:pPr>
      <w:r>
        <w:t>Anexos</w:t>
      </w:r>
    </w:p>
    <w:p>
      <w:pPr>
        <w:numPr>
          <w:ilvl w:val="0"/>
          <w:numId w:val="0"/>
        </w:numPr>
        <w:pStyle w:val="Heading2"/>
      </w:pPr>
      <w:r>
        <w:t>Anexo A — Estructura del Repositorio de Código</w:t>
      </w:r>
    </w:p>
    <w:p>
      <w:pPr>
        <w:numPr>
          <w:ilvl w:val="0"/>
          <w:numId w:val="0"/>
        </w:numPr>
        <w:pStyle w:val="BodyText"/>
      </w:pPr>
      <w:r>
        <w:t>El código, los corpus, los resultados por corrida y los documentos de trabajo están publicados en el repositorio del trabajo [37]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 La Tabla 9 describe la estructura del repositorio.</w:t>
      </w:r>
    </w:p>
    <w:p>
      <w:pPr>
        <w:numPr>
          <w:ilvl w:val="0"/>
          <w:numId w:val="0"/>
        </w:numPr>
        <w:pStyle w:val="TableCaption"/>
      </w:pPr>
      <w:r>
        <w:t>Tabla 9. Estructura del repositorio de código</w:t>
      </w:r>
    </w:p>
    <w:tbl>
      <w:tblPr>
        <w:tblStyle w:val="Table"/>
        <w:tblW w:type="pct" w:w="5000.0"/>
        <w:tblLook w:firstRow="1"/>
      </w:tblPr>
      <w:tblGrid>
        <w:gridCol w:w="5892"/>
        <w:gridCol w:w="2946"/>
      </w:tblGrid>
      <w:tr>
        <w:trPr>
          <w:cnfStyle w:firstRow="1"/>
        </w:trPr>
        <w:tc>
          <w:tcPr>
            <w:tcW w:type="dxa" w:w="5892"/>
            <w:tcBorders>
              <w:bottom w:val="single"/>
            </w:tcBorders>
            <w:vAlign w:val="bottom"/>
          </w:tcPr>
          <w:p>
            <w:pPr>
              <w:pStyle w:val="Compact"/>
              <w:jc w:val="left"/>
            </w:pPr>
            <w:r>
              <w:rPr>
                <w:b/>
              </w:rPr>
              <w:t>Ruta</w:t>
            </w:r>
          </w:p>
        </w:tc>
        <w:tc>
          <w:tcPr>
            <w:tcW w:type="dxa" w:w="2946"/>
            <w:tcBorders>
              <w:bottom w:val="single"/>
            </w:tcBorders>
            <w:vAlign w:val="bottom"/>
          </w:tcPr>
          <w:p>
            <w:pPr>
              <w:pStyle w:val="Compact"/>
              <w:jc w:val="left"/>
            </w:pPr>
            <w:r>
              <w:rPr>
                <w:b/>
              </w:rPr>
              <w:t>Descripción</w:t>
            </w:r>
          </w:p>
        </w:tc>
      </w:tr>
      <w:tr>
        <w:tc>
          <w:tcPr>
            <w:tcW w:type="dxa" w:w="5892"/>
          </w:tcPr>
          <w:p>
            <w:pPr>
              <w:pStyle w:val="Compact"/>
              <w:jc w:val="left"/>
            </w:pPr>
            <w:r>
              <w:rPr>
                <w:b w:val="0"/>
              </w:rPr>
              <w:t>repos/ner-llm-entity-benchmark/</w:t>
            </w:r>
          </w:p>
        </w:tc>
        <w:tc>
          <w:tcPr>
            <w:tcW w:type="dxa" w:w="2946"/>
          </w:tcPr>
          <w:p>
            <w:pPr>
              <w:pStyle w:val="Compact"/>
              <w:jc w:val="left"/>
            </w:pPr>
            <w:r>
              <w:rPr>
                <w:b w:val="0"/>
              </w:rPr>
              <w:t>Raíz del sistema de evaluación</w:t>
            </w:r>
          </w:p>
        </w:tc>
      </w:tr>
      <w:tr>
        <w:tc>
          <w:tcPr>
            <w:tcW w:type="dxa" w:w="5892"/>
          </w:tcPr>
          <w:p>
            <w:pPr>
              <w:pStyle w:val="Compact"/>
              <w:jc w:val="left"/>
            </w:pPr>
            <w:r>
              <w:rPr>
                <w:b w:val="0"/>
              </w:rPr>
              <w:t>src/</w:t>
            </w:r>
          </w:p>
        </w:tc>
        <w:tc>
          <w:tcPr>
            <w:tcW w:type="dxa" w:w="2946"/>
          </w:tcPr>
          <w:p>
            <w:pPr>
              <w:pStyle w:val="Compact"/>
              <w:jc w:val="left"/>
            </w:pPr>
            <w:r>
              <w:rPr>
                <w:b w:val="0"/>
              </w:rPr>
              <w:t>Código de la aplicación, organizado por capas</w:t>
            </w:r>
          </w:p>
        </w:tc>
      </w:tr>
      <w:tr>
        <w:tc>
          <w:tcPr>
            <w:tcW w:type="dxa" w:w="5892"/>
          </w:tcPr>
          <w:p>
            <w:pPr>
              <w:pStyle w:val="Compact"/>
              <w:jc w:val="left"/>
            </w:pPr>
            <w:r>
              <w:rPr>
                <w:b w:val="0"/>
              </w:rPr>
              <w:t>src/main.py</w:t>
            </w:r>
          </w:p>
        </w:tc>
        <w:tc>
          <w:tcPr>
            <w:tcW w:type="dxa" w:w="2946"/>
          </w:tcPr>
          <w:p>
            <w:pPr>
              <w:pStyle w:val="Compact"/>
              <w:jc w:val="left"/>
            </w:pPr>
            <w:r>
              <w:rPr>
                <w:b w:val="0"/>
              </w:rPr>
              <w:t>Orquestador principal, con la opción --rag-mode en la interfaz de línea de órdenes</w:t>
            </w:r>
          </w:p>
        </w:tc>
      </w:tr>
      <w:tr>
        <w:tc>
          <w:tcPr>
            <w:tcW w:type="dxa" w:w="5892"/>
          </w:tcPr>
          <w:p>
            <w:pPr>
              <w:pStyle w:val="Compact"/>
              <w:jc w:val="left"/>
            </w:pPr>
            <w:r>
              <w:rPr>
                <w:b w:val="0"/>
              </w:rPr>
              <w:t>src/config.py</w:t>
            </w:r>
          </w:p>
        </w:tc>
        <w:tc>
          <w:tcPr>
            <w:tcW w:type="dxa" w:w="2946"/>
          </w:tcPr>
          <w:p>
            <w:pPr>
              <w:pStyle w:val="Compact"/>
              <w:jc w:val="left"/>
            </w:pPr>
            <w:r>
              <w:rPr>
                <w:b w:val="0"/>
              </w:rPr>
              <w:t>Configuración global, incluido el modo de recuperación</w:t>
            </w:r>
          </w:p>
        </w:tc>
      </w:tr>
      <w:tr>
        <w:tc>
          <w:tcPr>
            <w:tcW w:type="dxa" w:w="5892"/>
          </w:tcPr>
          <w:p>
            <w:pPr>
              <w:pStyle w:val="Compact"/>
              <w:jc w:val="left"/>
            </w:pPr>
            <w:r>
              <w:rPr>
                <w:b w:val="0"/>
              </w:rPr>
              <w:t>src/data_loader.py</w:t>
            </w:r>
          </w:p>
        </w:tc>
        <w:tc>
          <w:tcPr>
            <w:tcW w:type="dxa" w:w="2946"/>
          </w:tcPr>
          <w:p>
            <w:pPr>
              <w:pStyle w:val="Compact"/>
              <w:jc w:val="left"/>
            </w:pPr>
            <w:r>
              <w:rPr>
                <w:b w:val="0"/>
              </w:rPr>
              <w:t>Carga y validación del corpus</w:t>
            </w:r>
          </w:p>
        </w:tc>
      </w:tr>
      <w:tr>
        <w:tc>
          <w:tcPr>
            <w:tcW w:type="dxa" w:w="5892"/>
          </w:tcPr>
          <w:p>
            <w:pPr>
              <w:pStyle w:val="Compact"/>
              <w:jc w:val="left"/>
            </w:pPr>
            <w:r>
              <w:rPr>
                <w:b w:val="0"/>
              </w:rPr>
              <w:t>src/llm_runner.py</w:t>
            </w:r>
          </w:p>
        </w:tc>
        <w:tc>
          <w:tcPr>
            <w:tcW w:type="dxa" w:w="2946"/>
          </w:tcPr>
          <w:p>
            <w:pPr>
              <w:pStyle w:val="Compact"/>
              <w:jc w:val="left"/>
            </w:pPr>
            <w:r>
              <w:rPr>
                <w:b w:val="0"/>
              </w:rPr>
              <w:t>Runner LLM con parseo en cascada</w:t>
            </w:r>
          </w:p>
        </w:tc>
      </w:tr>
      <w:tr>
        <w:tc>
          <w:tcPr>
            <w:tcW w:type="dxa" w:w="5892"/>
          </w:tcPr>
          <w:p>
            <w:pPr>
              <w:pStyle w:val="Compact"/>
              <w:jc w:val="left"/>
            </w:pPr>
            <w:r>
              <w:rPr>
                <w:b w:val="0"/>
              </w:rPr>
              <w:t>src/evaluator.py</w:t>
            </w:r>
          </w:p>
        </w:tc>
        <w:tc>
          <w:tcPr>
            <w:tcW w:type="dxa" w:w="2946"/>
          </w:tcPr>
          <w:p>
            <w:pPr>
              <w:pStyle w:val="Compact"/>
              <w:jc w:val="left"/>
            </w:pPr>
            <w:r>
              <w:rPr>
                <w:b w:val="0"/>
              </w:rPr>
              <w:t>Métricas F1 + taxonomía de errores</w:t>
            </w:r>
          </w:p>
        </w:tc>
      </w:tr>
      <w:tr>
        <w:tc>
          <w:tcPr>
            <w:tcW w:type="dxa" w:w="5892"/>
          </w:tcPr>
          <w:p>
            <w:pPr>
              <w:pStyle w:val="Compact"/>
              <w:jc w:val="left"/>
            </w:pPr>
            <w:r>
              <w:rPr>
                <w:b w:val="0"/>
              </w:rPr>
              <w:t>src/pub_sub.py</w:t>
            </w:r>
          </w:p>
        </w:tc>
        <w:tc>
          <w:tcPr>
            <w:tcW w:type="dxa" w:w="2946"/>
          </w:tcPr>
          <w:p>
            <w:pPr>
              <w:pStyle w:val="Compact"/>
              <w:jc w:val="left"/>
            </w:pPr>
            <w:r>
              <w:rPr>
                <w:b w:val="0"/>
              </w:rPr>
              <w:t>Cola Pub/Sub multithreading</w:t>
            </w:r>
          </w:p>
        </w:tc>
      </w:tr>
      <w:tr>
        <w:tc>
          <w:tcPr>
            <w:tcW w:type="dxa" w:w="5892"/>
          </w:tcPr>
          <w:p>
            <w:pPr>
              <w:pStyle w:val="Compact"/>
              <w:jc w:val="left"/>
            </w:pPr>
            <w:r>
              <w:rPr>
                <w:b w:val="0"/>
              </w:rPr>
              <w:t>src/adaptive_workers.py</w:t>
            </w:r>
          </w:p>
        </w:tc>
        <w:tc>
          <w:tcPr>
            <w:tcW w:type="dxa" w:w="2946"/>
          </w:tcPr>
          <w:p>
            <w:pPr>
              <w:pStyle w:val="Compact"/>
              <w:jc w:val="left"/>
            </w:pPr>
            <w:r>
              <w:rPr>
                <w:b w:val="0"/>
              </w:rPr>
              <w:t>Controlador AIMD</w:t>
            </w:r>
          </w:p>
        </w:tc>
      </w:tr>
      <w:tr>
        <w:tc>
          <w:tcPr>
            <w:tcW w:type="dxa" w:w="5892"/>
          </w:tcPr>
          <w:p>
            <w:pPr>
              <w:pStyle w:val="Compact"/>
              <w:jc w:val="left"/>
            </w:pPr>
            <w:r>
              <w:rPr>
                <w:b w:val="0"/>
              </w:rPr>
              <w:t>src/checkpoint.py</w:t>
            </w:r>
          </w:p>
        </w:tc>
        <w:tc>
          <w:tcPr>
            <w:tcW w:type="dxa" w:w="2946"/>
          </w:tcPr>
          <w:p>
            <w:pPr>
              <w:pStyle w:val="Compact"/>
              <w:jc w:val="left"/>
            </w:pPr>
            <w:r>
              <w:rPr>
                <w:b w:val="0"/>
              </w:rPr>
              <w:t>Persistencia de estado</w:t>
            </w:r>
          </w:p>
        </w:tc>
      </w:tr>
      <w:tr>
        <w:tc>
          <w:tcPr>
            <w:tcW w:type="dxa" w:w="5892"/>
          </w:tcPr>
          <w:p>
            <w:pPr>
              <w:pStyle w:val="Compact"/>
              <w:jc w:val="left"/>
            </w:pPr>
            <w:r>
              <w:rPr>
                <w:b w:val="0"/>
              </w:rPr>
              <w:t>src/rag_manager.py</w:t>
            </w:r>
          </w:p>
        </w:tc>
        <w:tc>
          <w:tcPr>
            <w:tcW w:type="dxa" w:w="2946"/>
          </w:tcPr>
          <w:p>
            <w:pPr>
              <w:pStyle w:val="Compact"/>
              <w:jc w:val="left"/>
            </w:pPr>
            <w:r>
              <w:rPr>
                <w:b w:val="0"/>
              </w:rPr>
              <w:t>Gestor del RAG por diccionario, la primera versión del módulo</w:t>
            </w:r>
          </w:p>
        </w:tc>
      </w:tr>
      <w:tr>
        <w:tc>
          <w:tcPr>
            <w:tcW w:type="dxa" w:w="5892"/>
          </w:tcPr>
          <w:p>
            <w:pPr>
              <w:pStyle w:val="Compact"/>
              <w:jc w:val="left"/>
            </w:pPr>
            <w:r>
              <w:rPr>
                <w:b w:val="0"/>
              </w:rPr>
              <w:t>src/kb_rag_manager.py</w:t>
            </w:r>
          </w:p>
        </w:tc>
        <w:tc>
          <w:tcPr>
            <w:tcW w:type="dxa" w:w="2946"/>
          </w:tcPr>
          <w:p>
            <w:pPr>
              <w:pStyle w:val="Compact"/>
              <w:jc w:val="left"/>
            </w:pPr>
            <w:r>
              <w:rPr>
                <w:b w:val="0"/>
              </w:rPr>
              <w:t>Gestor del RAG contextual sobre la base de conocimientos</w:t>
            </w:r>
          </w:p>
        </w:tc>
      </w:tr>
      <w:tr>
        <w:tc>
          <w:tcPr>
            <w:tcW w:type="dxa" w:w="5892"/>
          </w:tcPr>
          <w:p>
            <w:pPr>
              <w:pStyle w:val="Compact"/>
              <w:jc w:val="left"/>
            </w:pPr>
            <w:r>
              <w:rPr>
                <w:b w:val="0"/>
              </w:rPr>
              <w:t>src/dashboard.py</w:t>
            </w:r>
          </w:p>
        </w:tc>
        <w:tc>
          <w:tcPr>
            <w:tcW w:type="dxa" w:w="2946"/>
          </w:tcPr>
          <w:p>
            <w:pPr>
              <w:pStyle w:val="Compact"/>
              <w:jc w:val="left"/>
            </w:pPr>
            <w:r>
              <w:rPr>
                <w:b w:val="0"/>
              </w:rPr>
              <w:t>Interfaz Streamlit (7 pestañas)</w:t>
            </w:r>
          </w:p>
        </w:tc>
      </w:tr>
      <w:tr>
        <w:tc>
          <w:tcPr>
            <w:tcW w:type="dxa" w:w="5892"/>
          </w:tcPr>
          <w:p>
            <w:pPr>
              <w:pStyle w:val="Compact"/>
              <w:jc w:val="left"/>
            </w:pPr>
            <w:r>
              <w:rPr>
                <w:b w:val="0"/>
              </w:rPr>
              <w:t>src/statistics.py</w:t>
            </w:r>
          </w:p>
        </w:tc>
        <w:tc>
          <w:tcPr>
            <w:tcW w:type="dxa" w:w="2946"/>
          </w:tcPr>
          <w:p>
            <w:pPr>
              <w:pStyle w:val="Compact"/>
              <w:jc w:val="left"/>
            </w:pPr>
            <w:r>
              <w:rPr>
                <w:b w:val="0"/>
              </w:rPr>
              <w:t>ANOVA + Tukey HSD + IC95</w:t>
            </w:r>
          </w:p>
        </w:tc>
      </w:tr>
      <w:tr>
        <w:tc>
          <w:tcPr>
            <w:tcW w:type="dxa" w:w="5892"/>
          </w:tcPr>
          <w:p>
            <w:pPr>
              <w:pStyle w:val="Compact"/>
              <w:jc w:val="left"/>
            </w:pPr>
            <w:r>
              <w:rPr>
                <w:b w:val="0"/>
              </w:rPr>
              <w:t>src/providers/</w:t>
            </w:r>
          </w:p>
        </w:tc>
        <w:tc>
          <w:tcPr>
            <w:tcW w:type="dxa" w:w="2946"/>
          </w:tcPr>
          <w:p>
            <w:pPr>
              <w:pStyle w:val="Compact"/>
              <w:jc w:val="left"/>
            </w:pPr>
            <w:r>
              <w:rPr>
                <w:b w:val="0"/>
              </w:rPr>
              <w:t>Capa de abstracción de proveedores de modelo, con su factoría</w:t>
            </w:r>
          </w:p>
        </w:tc>
      </w:tr>
      <w:tr>
        <w:tc>
          <w:tcPr>
            <w:tcW w:type="dxa" w:w="5892"/>
          </w:tcPr>
          <w:p>
            <w:pPr>
              <w:pStyle w:val="Compact"/>
              <w:jc w:val="left"/>
            </w:pPr>
            <w:r>
              <w:rPr>
                <w:b w:val="0"/>
              </w:rPr>
              <w:t>src/providers/base.py</w:t>
            </w:r>
          </w:p>
        </w:tc>
        <w:tc>
          <w:tcPr>
            <w:tcW w:type="dxa" w:w="2946"/>
          </w:tcPr>
          <w:p>
            <w:pPr>
              <w:pStyle w:val="Compact"/>
              <w:jc w:val="left"/>
            </w:pPr>
            <w:r>
              <w:rPr>
                <w:b w:val="0"/>
              </w:rPr>
              <w:t>LLMProvider ABC</w:t>
            </w:r>
          </w:p>
        </w:tc>
      </w:tr>
      <w:tr>
        <w:tc>
          <w:tcPr>
            <w:tcW w:type="dxa" w:w="5892"/>
          </w:tcPr>
          <w:p>
            <w:pPr>
              <w:pStyle w:val="Compact"/>
              <w:jc w:val="left"/>
            </w:pPr>
            <w:r>
              <w:rPr>
                <w:b w:val="0"/>
              </w:rPr>
              <w:t>src/providers/factory.py</w:t>
            </w:r>
          </w:p>
        </w:tc>
        <w:tc>
          <w:tcPr>
            <w:tcW w:type="dxa" w:w="2946"/>
          </w:tcPr>
          <w:p>
            <w:pPr>
              <w:pStyle w:val="Compact"/>
              <w:jc w:val="left"/>
            </w:pPr>
            <w:r>
              <w:rPr>
                <w:b w:val="0"/>
              </w:rPr>
              <w:t>LLMProviderFactory</w:t>
            </w:r>
          </w:p>
        </w:tc>
      </w:tr>
      <w:tr>
        <w:tc>
          <w:tcPr>
            <w:tcW w:type="dxa" w:w="5892"/>
          </w:tcPr>
          <w:p>
            <w:pPr>
              <w:pStyle w:val="Compact"/>
              <w:jc w:val="left"/>
            </w:pPr>
            <w:r>
              <w:rPr>
                <w:b w:val="0"/>
              </w:rPr>
              <w:t>src/providers/ollama_provider.py</w:t>
            </w:r>
          </w:p>
        </w:tc>
        <w:tc>
          <w:tcPr>
            <w:tcW w:type="dxa" w:w="2946"/>
          </w:tcPr>
          <w:p>
            <w:pPr>
              <w:pStyle w:val="Compact"/>
              <w:jc w:val="left"/>
            </w:pPr>
            <w:r>
              <w:rPr>
                <w:b w:val="0"/>
              </w:rPr>
              <w:t>Proveedor Ollama, con la plantilla del RAG contextual</w:t>
            </w:r>
          </w:p>
        </w:tc>
      </w:tr>
      <w:tr>
        <w:tc>
          <w:tcPr>
            <w:tcW w:type="dxa" w:w="5892"/>
          </w:tcPr>
          <w:p>
            <w:pPr>
              <w:pStyle w:val="Compact"/>
              <w:jc w:val="left"/>
            </w:pPr>
            <w:r>
              <w:rPr>
                <w:b w:val="0"/>
              </w:rPr>
              <w:t>src/providers/openai_provider.py</w:t>
            </w:r>
          </w:p>
        </w:tc>
        <w:tc>
          <w:tcPr>
            <w:tcW w:type="dxa" w:w="2946"/>
          </w:tcPr>
          <w:p>
            <w:pPr>
              <w:pStyle w:val="Compact"/>
              <w:jc w:val="left"/>
            </w:pPr>
            <w:r>
              <w:rPr>
                <w:b w:val="0"/>
              </w:rPr>
              <w:t>Proveedor OpenAI (alojado)</w:t>
            </w:r>
          </w:p>
        </w:tc>
      </w:tr>
      <w:tr>
        <w:tc>
          <w:tcPr>
            <w:tcW w:type="dxa" w:w="5892"/>
          </w:tcPr>
          <w:p>
            <w:pPr>
              <w:pStyle w:val="Compact"/>
              <w:jc w:val="left"/>
            </w:pPr>
            <w:r>
              <w:rPr>
                <w:b w:val="0"/>
              </w:rPr>
              <w:t>src/providers/anthropic_provider.py</w:t>
            </w:r>
          </w:p>
        </w:tc>
        <w:tc>
          <w:tcPr>
            <w:tcW w:type="dxa" w:w="2946"/>
          </w:tcPr>
          <w:p>
            <w:pPr>
              <w:pStyle w:val="Compact"/>
              <w:jc w:val="left"/>
            </w:pPr>
            <w:r>
              <w:rPr>
                <w:b w:val="0"/>
              </w:rPr>
              <w:t>Proveedor Anthropic (alojado)</w:t>
            </w:r>
          </w:p>
        </w:tc>
      </w:tr>
      <w:tr>
        <w:tc>
          <w:tcPr>
            <w:tcW w:type="dxa" w:w="5892"/>
          </w:tcPr>
          <w:p>
            <w:pPr>
              <w:pStyle w:val="Compact"/>
              <w:jc w:val="left"/>
            </w:pPr>
            <w:r>
              <w:rPr>
                <w:b w:val="0"/>
              </w:rPr>
              <w:t>src/providers/vertexai_provider.py</w:t>
            </w:r>
          </w:p>
        </w:tc>
        <w:tc>
          <w:tcPr>
            <w:tcW w:type="dxa" w:w="2946"/>
          </w:tcPr>
          <w:p>
            <w:pPr>
              <w:pStyle w:val="Compact"/>
              <w:jc w:val="left"/>
            </w:pPr>
            <w:r>
              <w:rPr>
                <w:b w:val="0"/>
              </w:rPr>
              <w:t>Proveedor Vertex AI (alojado)</w:t>
            </w:r>
          </w:p>
        </w:tc>
      </w:tr>
      <w:tr>
        <w:tc>
          <w:tcPr>
            <w:tcW w:type="dxa" w:w="5892"/>
          </w:tcPr>
          <w:p>
            <w:pPr>
              <w:pStyle w:val="Compact"/>
              <w:jc w:val="left"/>
            </w:pPr>
            <w:r>
              <w:rPr>
                <w:b w:val="0"/>
              </w:rPr>
              <w:t>src/providers/__init__.py</w:t>
            </w:r>
          </w:p>
        </w:tc>
        <w:tc>
          <w:tcPr>
            <w:tcW w:type="dxa" w:w="2946"/>
          </w:tcPr>
          <w:p>
            <w:pPr>
              <w:pStyle w:val="Compact"/>
              <w:jc w:val="left"/>
            </w:pPr>
            <w:r>
              <w:rPr>
                <w:b w:val="0"/>
              </w:rPr>
              <w:t>Facade get_provider()</w:t>
            </w:r>
          </w:p>
        </w:tc>
      </w:tr>
      <w:tr>
        <w:tc>
          <w:tcPr>
            <w:tcW w:type="dxa" w:w="5892"/>
          </w:tcPr>
          <w:p>
            <w:pPr>
              <w:pStyle w:val="Compact"/>
              <w:jc w:val="left"/>
            </w:pPr>
            <w:r>
              <w:rPr>
                <w:b w:val="0"/>
              </w:rPr>
              <w:t>data/</w:t>
            </w:r>
          </w:p>
        </w:tc>
        <w:tc>
          <w:tcPr>
            <w:tcW w:type="dxa" w:w="2946"/>
          </w:tcPr>
          <w:p>
            <w:pPr>
              <w:pStyle w:val="Compact"/>
              <w:jc w:val="left"/>
            </w:pPr>
            <w:r>
              <w:rPr>
                <w:b w:val="0"/>
              </w:rPr>
              <w:t>Corpus, diccionarios y base de conocimientos</w:t>
            </w:r>
          </w:p>
        </w:tc>
      </w:tr>
      <w:tr>
        <w:tc>
          <w:tcPr>
            <w:tcW w:type="dxa" w:w="5892"/>
          </w:tcPr>
          <w:p>
            <w:pPr>
              <w:pStyle w:val="Compact"/>
              <w:jc w:val="left"/>
            </w:pPr>
            <w:r>
              <w:rPr>
                <w:b w:val="0"/>
              </w:rPr>
              <w:t>data/benchmark_balanced_120.json</w:t>
            </w:r>
          </w:p>
        </w:tc>
        <w:tc>
          <w:tcPr>
            <w:tcW w:type="dxa" w:w="2946"/>
          </w:tcPr>
          <w:p>
            <w:pPr>
              <w:pStyle w:val="Compact"/>
              <w:jc w:val="left"/>
            </w:pPr>
            <w:r>
              <w:rPr>
                <w:b w:val="0"/>
              </w:rPr>
              <w:t>Corpus N=120 (Gold Standard real)</w:t>
            </w:r>
          </w:p>
        </w:tc>
      </w:tr>
      <w:tr>
        <w:tc>
          <w:tcPr>
            <w:tcW w:type="dxa" w:w="5892"/>
          </w:tcPr>
          <w:p>
            <w:pPr>
              <w:pStyle w:val="Compact"/>
              <w:jc w:val="left"/>
            </w:pPr>
            <w:r>
              <w:rPr>
                <w:b w:val="0"/>
              </w:rPr>
              <w:t>data/dictionaries/</w:t>
            </w:r>
          </w:p>
        </w:tc>
        <w:tc>
          <w:tcPr>
            <w:tcW w:type="dxa" w:w="2946"/>
          </w:tcPr>
          <w:p>
            <w:pPr>
              <w:pStyle w:val="Compact"/>
              <w:jc w:val="left"/>
            </w:pPr>
            <w:r>
              <w:rPr>
                <w:b w:val="0"/>
              </w:rPr>
              <w:t>Diccionarios de entidades del RAG por diccionario, con su fichero de procedencia</w:t>
            </w:r>
          </w:p>
        </w:tc>
      </w:tr>
      <w:tr>
        <w:tc>
          <w:tcPr>
            <w:tcW w:type="dxa" w:w="5892"/>
          </w:tcPr>
          <w:p>
            <w:pPr>
              <w:pStyle w:val="Compact"/>
              <w:jc w:val="left"/>
            </w:pPr>
            <w:r>
              <w:rPr>
                <w:b w:val="0"/>
              </w:rPr>
              <w:t>data/dictionaries/persons.json</w:t>
            </w:r>
          </w:p>
        </w:tc>
        <w:tc>
          <w:tcPr>
            <w:tcW w:type="dxa" w:w="2946"/>
          </w:tcPr>
          <w:p>
            <w:pPr>
              <w:pStyle w:val="Compact"/>
              <w:jc w:val="left"/>
            </w:pPr>
            <w:r>
              <w:rPr>
                <w:b w:val="0"/>
              </w:rPr>
              <w:t>Diccionario de personas (v1.0)</w:t>
            </w:r>
          </w:p>
        </w:tc>
      </w:tr>
      <w:tr>
        <w:tc>
          <w:tcPr>
            <w:tcW w:type="dxa" w:w="5892"/>
          </w:tcPr>
          <w:p>
            <w:pPr>
              <w:pStyle w:val="Compact"/>
              <w:jc w:val="left"/>
            </w:pPr>
            <w:r>
              <w:rPr>
                <w:b w:val="0"/>
              </w:rPr>
              <w:t>data/dictionaries/organizations.json</w:t>
            </w:r>
          </w:p>
        </w:tc>
        <w:tc>
          <w:tcPr>
            <w:tcW w:type="dxa" w:w="2946"/>
          </w:tcPr>
          <w:p>
            <w:pPr>
              <w:pStyle w:val="Compact"/>
              <w:jc w:val="left"/>
            </w:pPr>
            <w:r>
              <w:rPr>
                <w:b w:val="0"/>
              </w:rPr>
              <w:t>Diccionario de organizaciones (v1.0)</w:t>
            </w:r>
          </w:p>
        </w:tc>
      </w:tr>
      <w:tr>
        <w:tc>
          <w:tcPr>
            <w:tcW w:type="dxa" w:w="5892"/>
          </w:tcPr>
          <w:p>
            <w:pPr>
              <w:pStyle w:val="Compact"/>
              <w:jc w:val="left"/>
            </w:pPr>
            <w:r>
              <w:rPr>
                <w:b w:val="0"/>
              </w:rPr>
              <w:t>data/dictionaries/augmented_persons.json</w:t>
            </w:r>
          </w:p>
        </w:tc>
        <w:tc>
          <w:tcPr>
            <w:tcW w:type="dxa" w:w="2946"/>
          </w:tcPr>
          <w:p>
            <w:pPr>
              <w:pStyle w:val="Compact"/>
              <w:jc w:val="left"/>
            </w:pPr>
            <w:r>
              <w:rPr>
                <w:b w:val="0"/>
              </w:rPr>
              <w:t>Personas aumentadas (v1.0)</w:t>
            </w:r>
          </w:p>
        </w:tc>
      </w:tr>
      <w:tr>
        <w:tc>
          <w:tcPr>
            <w:tcW w:type="dxa" w:w="5892"/>
          </w:tcPr>
          <w:p>
            <w:pPr>
              <w:pStyle w:val="Compact"/>
              <w:jc w:val="left"/>
            </w:pPr>
            <w:r>
              <w:rPr>
                <w:b w:val="0"/>
              </w:rPr>
              <w:t>data/knowledge_base/</w:t>
            </w:r>
          </w:p>
        </w:tc>
        <w:tc>
          <w:tcPr>
            <w:tcW w:type="dxa" w:w="2946"/>
          </w:tcPr>
          <w:p>
            <w:pPr>
              <w:pStyle w:val="Compact"/>
              <w:jc w:val="left"/>
            </w:pPr>
            <w:r>
              <w:rPr>
                <w:b w:val="0"/>
              </w:rPr>
              <w:t>Base de conocimientos del RAG contextual: guías tipológicas, reglas y ejemplares</w:t>
            </w:r>
          </w:p>
        </w:tc>
      </w:tr>
      <w:tr>
        <w:tc>
          <w:tcPr>
            <w:tcW w:type="dxa" w:w="5892"/>
          </w:tcPr>
          <w:p>
            <w:pPr>
              <w:pStyle w:val="Compact"/>
              <w:jc w:val="left"/>
            </w:pPr>
            <w:r>
              <w:rPr>
                <w:b w:val="0"/>
              </w:rPr>
              <w:t>data/knowledge_base/domain_guidelines.json</w:t>
            </w:r>
          </w:p>
        </w:tc>
        <w:tc>
          <w:tcPr>
            <w:tcW w:type="dxa" w:w="2946"/>
          </w:tcPr>
          <w:p>
            <w:pPr>
              <w:pStyle w:val="Compact"/>
              <w:jc w:val="left"/>
            </w:pPr>
            <w:r>
              <w:rPr>
                <w:b w:val="0"/>
              </w:rPr>
              <w:t>5 dominios con reglas NER tipológicas</w:t>
            </w:r>
          </w:p>
        </w:tc>
      </w:tr>
      <w:tr>
        <w:tc>
          <w:tcPr>
            <w:tcW w:type="dxa" w:w="5892"/>
          </w:tcPr>
          <w:p>
            <w:pPr>
              <w:pStyle w:val="Compact"/>
              <w:jc w:val="left"/>
            </w:pPr>
            <w:r>
              <w:rPr>
                <w:b w:val="0"/>
              </w:rPr>
              <w:t>data/knowledge_base/few_shot_exemplars.json</w:t>
            </w:r>
          </w:p>
        </w:tc>
        <w:tc>
          <w:tcPr>
            <w:tcW w:type="dxa" w:w="2946"/>
          </w:tcPr>
          <w:p>
            <w:pPr>
              <w:pStyle w:val="Compact"/>
              <w:jc w:val="left"/>
            </w:pPr>
            <w:r>
              <w:rPr>
                <w:b w:val="0"/>
              </w:rPr>
              <w:t>7 ejemplares anotados (artículos reales)</w:t>
            </w:r>
          </w:p>
        </w:tc>
      </w:tr>
      <w:tr>
        <w:tc>
          <w:tcPr>
            <w:tcW w:type="dxa" w:w="5892"/>
          </w:tcPr>
          <w:p>
            <w:pPr>
              <w:pStyle w:val="Compact"/>
              <w:jc w:val="left"/>
            </w:pPr>
            <w:r>
              <w:rPr>
                <w:b w:val="0"/>
              </w:rPr>
              <w:t>results/</w:t>
            </w:r>
          </w:p>
        </w:tc>
        <w:tc>
          <w:tcPr>
            <w:tcW w:type="dxa" w:w="2946"/>
          </w:tcPr>
          <w:p>
            <w:pPr>
              <w:pStyle w:val="Compact"/>
              <w:jc w:val="left"/>
            </w:pPr>
            <w:r>
              <w:rPr>
                <w:b w:val="0"/>
              </w:rPr>
              <w:t>Salidas del benchmark</w:t>
            </w:r>
          </w:p>
        </w:tc>
      </w:tr>
      <w:tr>
        <w:tc>
          <w:tcPr>
            <w:tcW w:type="dxa" w:w="5892"/>
          </w:tcPr>
          <w:p>
            <w:pPr>
              <w:pStyle w:val="Compact"/>
              <w:jc w:val="left"/>
            </w:pPr>
            <w:r>
              <w:rPr>
                <w:b w:val="0"/>
              </w:rPr>
              <w:t>results/benchmark_results.csv</w:t>
            </w:r>
          </w:p>
        </w:tc>
        <w:tc>
          <w:tcPr>
            <w:tcW w:type="dxa" w:w="2946"/>
          </w:tcPr>
          <w:p>
            <w:pPr>
              <w:pStyle w:val="Compact"/>
              <w:jc w:val="left"/>
            </w:pPr>
            <w:r>
              <w:rPr>
                <w:b w:val="0"/>
              </w:rPr>
              <w:t>Métricas por artículo y modelo, una fila por registro evaluado</w:t>
            </w:r>
          </w:p>
        </w:tc>
      </w:tr>
      <w:tr>
        <w:tc>
          <w:tcPr>
            <w:tcW w:type="dxa" w:w="5892"/>
          </w:tcPr>
          <w:p>
            <w:pPr>
              <w:pStyle w:val="Compact"/>
              <w:jc w:val="left"/>
            </w:pPr>
            <w:r>
              <w:rPr>
                <w:b w:val="0"/>
              </w:rPr>
              <w:t>results/statistical_report.md</w:t>
            </w:r>
          </w:p>
        </w:tc>
        <w:tc>
          <w:tcPr>
            <w:tcW w:type="dxa" w:w="2946"/>
          </w:tcPr>
          <w:p>
            <w:pPr>
              <w:pStyle w:val="Compact"/>
              <w:jc w:val="left"/>
            </w:pPr>
            <w:r>
              <w:rPr>
                <w:b w:val="0"/>
              </w:rPr>
              <w:t>Informe de ANOVA, Tukey e intervalos de confianza derivado del CSV</w:t>
            </w:r>
          </w:p>
        </w:tc>
      </w:tr>
      <w:tr>
        <w:tc>
          <w:tcPr>
            <w:tcW w:type="dxa" w:w="5892"/>
          </w:tcPr>
          <w:p>
            <w:pPr>
              <w:pStyle w:val="Compact"/>
              <w:jc w:val="left"/>
            </w:pPr>
            <w:r>
              <w:rPr>
                <w:b w:val="0"/>
              </w:rPr>
              <w:t>results/benchmark_balanced_120_&lt;timestamp&gt;/</w:t>
            </w:r>
          </w:p>
        </w:tc>
        <w:tc>
          <w:tcPr>
            <w:tcW w:type="dxa" w:w="2946"/>
          </w:tcPr>
          <w:p>
            <w:pPr>
              <w:pStyle w:val="Compact"/>
              <w:jc w:val="left"/>
            </w:pPr>
            <w:r>
              <w:rPr>
                <w:b w:val="0"/>
              </w:rPr>
              <w:t>Resultados por ejecución</w:t>
            </w:r>
          </w:p>
        </w:tc>
      </w:tr>
      <w:tr>
        <w:tc>
          <w:tcPr>
            <w:tcW w:type="dxa" w:w="5892"/>
          </w:tcPr>
          <w:p>
            <w:pPr>
              <w:pStyle w:val="Compact"/>
              <w:jc w:val="left"/>
            </w:pPr>
            <w:r>
              <w:rPr>
                <w:b w:val="0"/>
              </w:rPr>
              <w:t>research/</w:t>
            </w:r>
          </w:p>
        </w:tc>
        <w:tc>
          <w:tcPr>
            <w:tcW w:type="dxa" w:w="2946"/>
          </w:tcPr>
          <w:p>
            <w:pPr>
              <w:pStyle w:val="Compact"/>
              <w:jc w:val="left"/>
            </w:pPr>
            <w:r>
              <w:rPr>
                <w:b w:val="0"/>
              </w:rPr>
              <w:t>Documentos de investigación y registros de trabajo</w:t>
            </w:r>
          </w:p>
        </w:tc>
      </w:tr>
      <w:tr>
        <w:tc>
          <w:tcPr>
            <w:tcW w:type="dxa" w:w="5892"/>
          </w:tcPr>
          <w:p>
            <w:pPr>
              <w:pStyle w:val="Compact"/>
              <w:jc w:val="left"/>
            </w:pPr>
            <w:r>
              <w:rPr>
                <w:b w:val="0"/>
              </w:rPr>
              <w:t>research/rag/</w:t>
            </w:r>
          </w:p>
        </w:tc>
        <w:tc>
          <w:tcPr>
            <w:tcW w:type="dxa" w:w="2946"/>
          </w:tcPr>
          <w:p>
            <w:pPr>
              <w:pStyle w:val="Compact"/>
              <w:jc w:val="left"/>
            </w:pPr>
            <w:r>
              <w:rPr>
                <w:b w:val="0"/>
              </w:rPr>
              <w:t>Estudio del módulo de recuperación y su registro de trabajo vigente</w:t>
            </w:r>
          </w:p>
        </w:tc>
      </w:tr>
      <w:tr>
        <w:tc>
          <w:tcPr>
            <w:tcW w:type="dxa" w:w="5892"/>
          </w:tcPr>
          <w:p>
            <w:pPr>
              <w:pStyle w:val="Compact"/>
              <w:jc w:val="left"/>
            </w:pPr>
            <w:r>
              <w:rPr>
                <w:b w:val="0"/>
              </w:rPr>
              <w:t>research/rag/2026-08-31_analisis_contenido_rag_base_conocimientos.md</w:t>
            </w:r>
          </w:p>
        </w:tc>
        <w:tc>
          <w:tcPr>
            <w:tcW w:type="dxa" w:w="2946"/>
          </w:tcPr>
          <w:p>
            <w:pPr>
              <w:pStyle w:val="Compact"/>
              <w:jc w:val="left"/>
            </w:pPr>
            <w:r>
              <w:rPr>
                <w:b w:val="0"/>
              </w:rPr>
              <w:t>Investigación RAG</w:t>
            </w:r>
          </w:p>
        </w:tc>
      </w:tr>
      <w:tr>
        <w:tc>
          <w:tcPr>
            <w:tcW w:type="dxa" w:w="5892"/>
          </w:tcPr>
          <w:p>
            <w:pPr>
              <w:pStyle w:val="Compact"/>
              <w:jc w:val="left"/>
            </w:pPr>
            <w:r>
              <w:rPr>
                <w:b w:val="0"/>
              </w:rPr>
              <w:t>research/rag/TODO-RAG-20260901.md</w:t>
            </w:r>
          </w:p>
        </w:tc>
        <w:tc>
          <w:tcPr>
            <w:tcW w:type="dxa" w:w="2946"/>
          </w:tcPr>
          <w:p>
            <w:pPr>
              <w:pStyle w:val="Compact"/>
              <w:jc w:val="left"/>
            </w:pPr>
            <w:r>
              <w:rPr>
                <w:b w:val="0"/>
              </w:rPr>
              <w:t>Tracking implementación</w:t>
            </w:r>
          </w:p>
        </w:tc>
      </w:tr>
      <w:tr>
        <w:tc>
          <w:tcPr>
            <w:tcW w:type="dxa" w:w="5892"/>
          </w:tcPr>
          <w:p>
            <w:pPr>
              <w:pStyle w:val="Compact"/>
              <w:jc w:val="left"/>
            </w:pPr>
            <w:r>
              <w:rPr>
                <w:b w:val="0"/>
              </w:rPr>
              <w:t>research/rag/WORKLOG.md</w:t>
            </w:r>
          </w:p>
        </w:tc>
        <w:tc>
          <w:tcPr>
            <w:tcW w:type="dxa" w:w="2946"/>
          </w:tcPr>
          <w:p>
            <w:pPr>
              <w:pStyle w:val="Compact"/>
              <w:jc w:val="left"/>
            </w:pPr>
            <w:r>
              <w:rPr>
                <w:b w:val="0"/>
              </w:rPr>
              <w:t>Bitácora de trabajo</w:t>
            </w:r>
          </w:p>
        </w:tc>
      </w:tr>
      <w:tr>
        <w:tc>
          <w:tcPr>
            <w:tcW w:type="dxa" w:w="5892"/>
          </w:tcPr>
          <w:p>
            <w:pPr>
              <w:pStyle w:val="Compact"/>
              <w:jc w:val="left"/>
            </w:pPr>
            <w:r>
              <w:rPr>
                <w:b w:val="0"/>
              </w:rPr>
              <w:t>SYSTEM_PROMPT.md</w:t>
            </w:r>
          </w:p>
        </w:tc>
        <w:tc>
          <w:tcPr>
            <w:tcW w:type="dxa" w:w="2946"/>
          </w:tcPr>
          <w:p>
            <w:pPr>
              <w:pStyle w:val="Compact"/>
              <w:jc w:val="left"/>
            </w:pPr>
            <w:r>
              <w:rPr>
                <w:b w:val="0"/>
              </w:rPr>
              <w:t>Prompt maestro, zero-shot en inglés; es la celda de referencia del diseño factorial y el que cargaron las corridas principales</w:t>
            </w:r>
          </w:p>
        </w:tc>
      </w:tr>
      <w:tr>
        <w:tc>
          <w:tcPr>
            <w:tcW w:type="dxa" w:w="5892"/>
          </w:tcPr>
          <w:p>
            <w:pPr>
              <w:pStyle w:val="Compact"/>
              <w:jc w:val="left"/>
            </w:pPr>
            <w:r>
              <w:rPr>
                <w:b w:val="0"/>
              </w:rPr>
              <w:t>SYSTEM_PROMPT_ES.md</w:t>
            </w:r>
          </w:p>
        </w:tc>
        <w:tc>
          <w:tcPr>
            <w:tcW w:type="dxa" w:w="2946"/>
          </w:tcPr>
          <w:p>
            <w:pPr>
              <w:pStyle w:val="Compact"/>
              <w:jc w:val="left"/>
            </w:pPr>
            <w:r>
              <w:rPr>
                <w:b w:val="0"/>
              </w:rPr>
              <w:t>Zero-shot en español</w:t>
            </w:r>
          </w:p>
        </w:tc>
      </w:tr>
      <w:tr>
        <w:tc>
          <w:tcPr>
            <w:tcW w:type="dxa" w:w="5892"/>
          </w:tcPr>
          <w:p>
            <w:pPr>
              <w:pStyle w:val="Compact"/>
              <w:jc w:val="left"/>
            </w:pPr>
            <w:r>
              <w:rPr>
                <w:b w:val="0"/>
              </w:rPr>
              <w:t>SYSTEM_PROMPT_EN_FEWSHOT.md</w:t>
            </w:r>
          </w:p>
        </w:tc>
        <w:tc>
          <w:tcPr>
            <w:tcW w:type="dxa" w:w="2946"/>
          </w:tcPr>
          <w:p>
            <w:pPr>
              <w:pStyle w:val="Compact"/>
              <w:jc w:val="left"/>
            </w:pPr>
            <w:r>
              <w:rPr>
                <w:b w:val="0"/>
              </w:rPr>
              <w:t>Few-shot en inglés</w:t>
            </w:r>
          </w:p>
        </w:tc>
      </w:tr>
      <w:tr>
        <w:tc>
          <w:tcPr>
            <w:tcW w:type="dxa" w:w="5892"/>
          </w:tcPr>
          <w:p>
            <w:pPr>
              <w:pStyle w:val="Compact"/>
              <w:jc w:val="left"/>
            </w:pPr>
            <w:r>
              <w:rPr>
                <w:b w:val="0"/>
              </w:rPr>
              <w:t>SYSTEM_PROMPT_ES_FEWSHOT.md</w:t>
            </w:r>
          </w:p>
        </w:tc>
        <w:tc>
          <w:tcPr>
            <w:tcW w:type="dxa" w:w="2946"/>
          </w:tcPr>
          <w:p>
            <w:pPr>
              <w:pStyle w:val="Compact"/>
              <w:jc w:val="left"/>
            </w:pPr>
            <w:r>
              <w:rPr>
                <w:b w:val="0"/>
              </w:rPr>
              <w:t>Few-shot en español; se reproduce íntegro en el Anexo B</w:t>
            </w:r>
          </w:p>
        </w:tc>
      </w:tr>
    </w:tbl>
    <w:p>
      <w:pPr>
        <w:numPr>
          <w:ilvl w:val="0"/>
          <w:numId w:val="0"/>
        </w:numPr>
        <w:pStyle w:val="Heading2"/>
      </w:pPr>
      <w:r>
        <w:t>Anexo B — Prompt del Sistema (Versión Few-Shot Español)</w:t>
      </w:r>
    </w:p>
    <w:p>
      <w:pPr>
        <w:numPr>
          <w:ilvl w:val="0"/>
          <w:numId w:val="0"/>
        </w:numPr>
        <w:pStyle w:val="BodyText"/>
      </w:pPr>
      <w:r>
        <w:t>El prompt de sistema en español (few-shot) incluye: (1) instrucciones de rol (analista de cumplimiento normativo), (2) formato de salida JSON estricto con tipos de entidades, (3) dos ejemplos completos de texto y extracción esperada, y (4) reglas de comportamiento ante ambigüedad (no alucinar, preferir omisión a invención).</w:t>
      </w:r>
    </w:p>
    <w:p>
      <w:pPr>
        <w:numPr>
          <w:ilvl w:val="0"/>
          <w:numId w:val="0"/>
        </w:numPr>
        <w:pStyle w:val="Normal"/>
      </w:pPr>
      <w:r>
        <w:rPr>
          <w:b/>
        </w:rPr>
        <w:t>Ejemplos few-shot de la configuración FS-ES</w:t>
      </w:r>
      <w:r>
        <w:t xml:space="preserve"> (§4.3), transcritos literalmente de </w:t>
      </w:r>
      <w:r>
        <w:t>SYSTEM_PROMPT_ES_FEWSHOT.md</w:t>
      </w:r>
      <w:r>
        <w:t>, que es el fichero que la corrida cargó:</w:t>
      </w:r>
    </w:p>
    <w:p>
      <w:pPr>
        <w:numPr>
          <w:ilvl w:val="0"/>
          <w:numId w:val="0"/>
        </w:numPr>
        <w:pStyle w:val="Normal"/>
      </w:pPr>
      <w:r>
        <w:rPr>
          <w:b/>
        </w:rPr>
        <w:t>Ejemplo 1:</w:t>
      </w:r>
    </w:p>
    <w:p>
      <w:pPr>
        <w:numPr>
          <w:ilvl w:val="0"/>
          <w:numId w:val="0"/>
        </w:numPr>
        <w:pStyle w:val="SourceCode"/>
      </w:pPr>
      <w:r>
        <w:t>Texto: "La Superintendencia de Bancos de Panamá multó a Juan Pérez por transacciones sospechosas en Ciudad de Panamá."</w:t>
      </w:r>
      <w:r>
        <w:br/>
      </w:r>
      <w:r>
        <w:t>Salida: {"Persons": ["Juan Pérez"],</w:t>
      </w:r>
      <w:r>
        <w:br/>
      </w:r>
      <w:r>
        <w:t xml:space="preserve">         "Organizations": ["Superintendencia de Bancos de Panamá"],</w:t>
      </w:r>
      <w:r>
        <w:br/>
      </w:r>
      <w:r>
        <w:t xml:space="preserve">         "Locations": ["Ciudad de Panamá", "Panamá"]}</w:t>
      </w:r>
    </w:p>
    <w:p>
      <w:pPr>
        <w:numPr>
          <w:ilvl w:val="0"/>
          <w:numId w:val="0"/>
        </w:numPr>
        <w:pStyle w:val="Normal"/>
      </w:pPr>
      <w:r>
        <w:rPr>
          <w:b/>
        </w:rPr>
        <w:t>Ejemplo 2:</w:t>
      </w:r>
    </w:p>
    <w:p>
      <w:pPr>
        <w:numPr>
          <w:ilvl w:val="0"/>
          <w:numId w:val="0"/>
        </w:numPr>
        <w:pStyle w:val="SourceCode"/>
      </w:pPr>
      <w:r>
        <w:t>Texto: "El Ministerio Público de Chile formalizó la investigación por fraude fiscal en contra de ejecutivos de ACME SpA en Santiago."</w:t>
      </w:r>
      <w:r>
        <w:br/>
      </w:r>
      <w:r>
        <w:t>Salida: {"Persons": [],</w:t>
      </w:r>
      <w:r>
        <w:br/>
      </w:r>
      <w:r>
        <w:t xml:space="preserve">         "Organizations": ["Ministerio Público", "ACME SpA"],</w:t>
      </w:r>
      <w:r>
        <w:br/>
      </w:r>
      <w:r>
        <w:t xml:space="preserve">         "Locations": ["Chile", "Santiago"]}</w:t>
      </w:r>
    </w:p>
    <w:p>
      <w:pPr>
        <w:numPr>
          <w:ilvl w:val="0"/>
          <w:numId w:val="0"/>
        </w:numPr>
        <w:pStyle w:val="Normal"/>
      </w:pPr>
      <w:r>
        <w:t xml:space="preserve">Merece la pena detenerse en un detalle de estos ejemplos, porque documenta el defecto de medición que se discute en §3.3: ambos enseñan al modelo a devolver un campo </w:t>
      </w:r>
      <w:r>
        <w:t>Locations</w:t>
      </w:r>
      <w:r>
        <w:t xml:space="preserve">, y ninguno de los tres corpus anota esa categoría. El </w:t>
      </w:r>
      <w:r>
        <w:rPr>
          <w:i/>
        </w:rPr>
        <w:t>prompt</w:t>
      </w:r>
      <w:r>
        <w:t xml:space="preserve"> pide sistemáticamente algo que la anotación de referencia no puede premiar.</w:t>
      </w:r>
    </w:p>
    <w:p>
      <w:pPr>
        <w:numPr>
          <w:ilvl w:val="0"/>
          <w:numId w:val="0"/>
        </w:numPr>
        <w:pStyle w:val="Normal"/>
      </w:pPr>
      <w:r>
        <w:rPr>
          <w:b/>
        </w:rPr>
        <w:t>Prompt de generación del corpus sintético N=30</w:t>
      </w:r>
      <w:r>
        <w:t xml:space="preserve"> (§4.1.1), ejecutado sobre </w:t>
      </w:r>
      <w:r>
        <w:t>gemma4:31b</w:t>
      </w:r>
      <w:r>
        <w:t>:</w:t>
      </w:r>
    </w:p>
    <w:p>
      <w:pPr>
        <w:numPr>
          <w:ilvl w:val="0"/>
          <w:numId w:val="0"/>
        </w:numPr>
        <w:pStyle w:val="Source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BodyText"/>
      </w:pPr>
      <w:r>
        <w:t>La Tabla 10 detalla el equipamiento y las versiones de software con que se ejecutaron las corridas.</w:t>
      </w:r>
    </w:p>
    <w:p>
      <w:pPr>
        <w:numPr>
          <w:ilvl w:val="0"/>
          <w:numId w:val="0"/>
        </w:numPr>
        <w:pStyle w:val="TableCaption"/>
      </w:pPr>
      <w:r>
        <w:t>Tabla 10. Configuración del entorno de pruebas</w:t>
      </w:r>
    </w:p>
    <w:tbl>
      <w:tblPr>
        <w:tblStyle w:val="Table"/>
        <w:tblW w:type="pct" w:w="5000.0"/>
        <w:tblLook w:firstRow="1"/>
      </w:tblPr>
      <w:tblGrid>
        <w:gridCol w:w="4419"/>
        <w:gridCol w:w="4419"/>
      </w:tblGrid>
      <w:tr>
        <w:trPr>
          <w:cnfStyle w:firstRow="1"/>
        </w:trPr>
        <w:tc>
          <w:tcPr>
            <w:tcW w:type="dxa" w:w="4419"/>
            <w:tcBorders>
              <w:bottom w:val="single"/>
            </w:tcBorders>
            <w:vAlign w:val="bottom"/>
          </w:tcPr>
          <w:p>
            <w:pPr>
              <w:pStyle w:val="Compact"/>
              <w:jc w:val="left"/>
            </w:pPr>
            <w:r>
              <w:rPr>
                <w:b/>
              </w:rPr>
              <w:t>Componente</w:t>
            </w:r>
          </w:p>
        </w:tc>
        <w:tc>
          <w:tcPr>
            <w:tcW w:type="dxa" w:w="4419"/>
            <w:tcBorders>
              <w:bottom w:val="single"/>
            </w:tcBorders>
            <w:vAlign w:val="bottom"/>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gemma4:12b-mlx (7,7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Heading2"/>
      </w:pPr>
      <w:r>
        <w:t>Anexo D — Detalle Técnico de la Optimización del Módulo RAG Contextual (KB RAG)</w:t>
      </w:r>
    </w:p>
    <w:p>
      <w:pPr>
        <w:numPr>
          <w:ilvl w:val="0"/>
          <w:numId w:val="0"/>
        </w:numPr>
        <w:pStyle w:val="BodyText"/>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3"/>
      </w:pPr>
      <w:r>
        <w:t>D.1 Implementación técnica del módulo KB RAG (src/kb_rag_manager.py)</w:t>
      </w:r>
    </w:p>
    <w:p>
      <w:pPr>
        <w:numPr>
          <w:ilvl w:val="0"/>
          <w:numId w:val="0"/>
        </w:numPr>
        <w:pStyle w:val="BodyText"/>
      </w:pPr>
      <w:r>
        <w:t xml:space="preserve">El módulo src/kb_rag_manager.py (KBRAGManager) implementa cuatro modos de operación configurables; para el modo </w:t>
      </w:r>
      <w:r>
        <w:t>entities</w:t>
      </w:r>
      <w:r>
        <w:t xml:space="preserve"> el orquestador conserva la clase original </w:t>
      </w:r>
      <w:r>
        <w:t>RAGManager</w:t>
      </w:r>
      <w:r>
        <w:t xml:space="preserve"> de src/rag_manager.py, de modo que la línea base dict-RAG se ejecuta con el código previo sin modificar: La Tabla 11 recoge los modos disponibles en la interfaz de línea de órdenes.</w:t>
      </w:r>
    </w:p>
    <w:p>
      <w:pPr>
        <w:numPr>
          <w:ilvl w:val="0"/>
          <w:numId w:val="0"/>
        </w:numPr>
        <w:pStyle w:val="TableCaption"/>
      </w:pPr>
      <w:r>
        <w:t>Tabla 11. Configuración CLI del Módulo KB RAG</w:t>
      </w:r>
    </w:p>
    <w:tbl>
      <w:tblPr>
        <w:tblStyle w:val="Table"/>
        <w:tblW w:type="pct" w:w="5000.0"/>
        <w:tblLook w:firstRow="1"/>
      </w:tblPr>
      <w:tblGrid>
        <w:gridCol w:w="1148"/>
        <w:gridCol w:w="2121"/>
        <w:gridCol w:w="3004"/>
        <w:gridCol w:w="2565"/>
      </w:tblGrid>
      <w:tr>
        <w:trPr>
          <w:cnfStyle w:firstRow="1"/>
        </w:trPr>
        <w:tc>
          <w:tcPr>
            <w:tcW w:type="dxa" w:w="1148"/>
            <w:tcBorders>
              <w:bottom w:val="single"/>
            </w:tcBorders>
            <w:vAlign w:val="bottom"/>
          </w:tcPr>
          <w:p>
            <w:pPr>
              <w:pStyle w:val="Compact"/>
              <w:jc w:val="left"/>
            </w:pPr>
            <w:r>
              <w:rPr>
                <w:b/>
              </w:rPr>
              <w:t>Modo</w:t>
            </w:r>
          </w:p>
        </w:tc>
        <w:tc>
          <w:tcPr>
            <w:tcW w:type="dxa" w:w="2121"/>
            <w:tcBorders>
              <w:bottom w:val="single"/>
            </w:tcBorders>
            <w:vAlign w:val="bottom"/>
          </w:tcPr>
          <w:p>
            <w:pPr>
              <w:pStyle w:val="Compact"/>
              <w:jc w:val="left"/>
            </w:pPr>
            <w:r>
              <w:rPr>
                <w:b/>
              </w:rPr>
              <w:t>Flag CLI</w:t>
            </w:r>
          </w:p>
        </w:tc>
        <w:tc>
          <w:tcPr>
            <w:tcW w:type="dxa" w:w="3004"/>
            <w:tcBorders>
              <w:bottom w:val="single"/>
            </w:tcBorders>
            <w:vAlign w:val="bottom"/>
          </w:tcPr>
          <w:p>
            <w:pPr>
              <w:pStyle w:val="Compact"/>
              <w:jc w:val="left"/>
            </w:pPr>
            <w:r>
              <w:rPr>
                <w:b/>
              </w:rPr>
              <w:t>Descripción</w:t>
            </w:r>
          </w:p>
        </w:tc>
        <w:tc>
          <w:tcPr>
            <w:tcW w:type="dxa" w:w="2565"/>
            <w:tcBorders>
              <w:bottom w:val="single"/>
            </w:tcBorders>
            <w:vAlign w:val="bottom"/>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Normal"/>
      </w:pPr>
      <w:r>
        <w:t>La base de conocimientos se organiza en dos colecciones ChromaDB [32] separadas para garantizar compatibilidad con el sistema preexistente:</w:t>
      </w:r>
    </w:p>
    <w:p>
      <w:pPr>
        <w:numPr>
          <w:ilvl w:val="0"/>
          <w:numId w:val="0"/>
        </w:numPr>
        <w:pStyle w:val="Normal"/>
      </w:pPr>
      <w:r>
        <w:t>ner_dictionaries: Colección legacy (diccionarios de entidades, preservada)</w:t>
      </w:r>
    </w:p>
    <w:p>
      <w:pPr>
        <w:numPr>
          <w:ilvl w:val="0"/>
          <w:numId w:val="0"/>
        </w:numPr>
        <w:pStyle w:val="Normal"/>
      </w:pPr>
      <w:r>
        <w:t>ner_knowledge_base: Nueva colección (guías + ejemplares, 12 documentos)</w:t>
      </w:r>
    </w:p>
    <w:p>
      <w:pPr>
        <w:numPr>
          <w:ilvl w:val="0"/>
          <w:numId w:val="0"/>
        </w:numPr>
        <w:pStyle w:val="Normal"/>
      </w:pPr>
      <w:r>
        <w:t>Configurabilidad garantizada: El sistema es activable/desactivable mediante flags CLI sin modificar código:</w:t>
      </w:r>
    </w:p>
    <w:p>
      <w:pPr>
        <w:numPr>
          <w:ilvl w:val="0"/>
          <w:numId w:val="0"/>
        </w:numPr>
        <w:pStyle w:val="Source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Normal"/>
      </w:pPr>
      <w:r>
        <w:t>Template de inyección diferenciado: El módulo ollama_provider.py detecta automáticamente el tipo de contexto RAG y aplica el template apropiado:</w:t>
      </w:r>
    </w:p>
    <w:p>
      <w:pPr>
        <w:numPr>
          <w:ilvl w:val="0"/>
          <w:numId w:val="0"/>
        </w:numPr>
        <w:pStyle w:val="Normal"/>
      </w:pPr>
      <w:r>
        <w:t>Entity-dict RAG (legacy): Template restrictivo — "DO NOT extract unless they explicitly appear..." — previene alucinaciones de entidades ausentes.</w:t>
      </w:r>
    </w:p>
    <w:p>
      <w:pPr>
        <w:numPr>
          <w:ilvl w:val="0"/>
          <w:numId w:val="0"/>
        </w:numPr>
        <w:pStyle w:val="Normal"/>
      </w:pPr>
      <w:r>
        <w:t>KB RAG (nuevo): Template positivo — "[EXTRACTION GUIDANCE] Apply these rules to the news text" — instruye activamente al LLM sin suprimir su capacidad de extracción.</w:t>
      </w:r>
    </w:p>
    <w:p>
      <w:pPr>
        <w:numPr>
          <w:ilvl w:val="0"/>
          <w:numId w:val="0"/>
        </w:numPr>
        <w:pStyle w:val="Heading3"/>
      </w:pPr>
      <w:r>
        <w:t>D.2 Catálogo de guías tipológicas y ejemplares de la base de Conocimientos</w:t>
      </w:r>
    </w:p>
    <w:p>
      <w:pPr>
        <w:numPr>
          <w:ilvl w:val="0"/>
          <w:numId w:val="0"/>
        </w:numPr>
        <w:pStyle w:val="BodyText"/>
      </w:pPr>
      <w:r>
        <w:t>La Tabla 12 enumera las guías tipológicas de la base de conocimientos con su idioma y sus palabras clave.</w:t>
      </w:r>
    </w:p>
    <w:p>
      <w:pPr>
        <w:numPr>
          <w:ilvl w:val="0"/>
          <w:numId w:val="0"/>
        </w:numPr>
        <w:pStyle w:val="TableCaption"/>
      </w:pPr>
      <w:r>
        <w:t>Tabla 12. Guías Tipológicas de Dominio de la Base de Conocimientos</w:t>
      </w:r>
    </w:p>
    <w:tbl>
      <w:tblPr>
        <w:tblStyle w:val="Table"/>
        <w:tblW w:type="pct" w:w="5000.0"/>
        <w:tblLook w:firstRow="1"/>
      </w:tblPr>
      <w:tblGrid>
        <w:gridCol w:w="2513"/>
        <w:gridCol w:w="2211"/>
        <w:gridCol w:w="900"/>
        <w:gridCol w:w="3214"/>
      </w:tblGrid>
      <w:tr>
        <w:trPr>
          <w:cnfStyle w:firstRow="1"/>
        </w:trPr>
        <w:tc>
          <w:tcPr>
            <w:tcW w:type="dxa" w:w="2513"/>
            <w:tcBorders>
              <w:bottom w:val="single"/>
            </w:tcBorders>
            <w:vAlign w:val="bottom"/>
          </w:tcPr>
          <w:p>
            <w:pPr>
              <w:pStyle w:val="Compact"/>
              <w:jc w:val="left"/>
            </w:pPr>
            <w:r>
              <w:rPr>
                <w:b/>
              </w:rPr>
              <w:t>Dominio</w:t>
            </w:r>
          </w:p>
        </w:tc>
        <w:tc>
          <w:tcPr>
            <w:tcW w:type="dxa" w:w="2211"/>
            <w:tcBorders>
              <w:bottom w:val="single"/>
            </w:tcBorders>
            <w:vAlign w:val="bottom"/>
          </w:tcPr>
          <w:p>
            <w:pPr>
              <w:pStyle w:val="Compact"/>
              <w:jc w:val="left"/>
            </w:pPr>
            <w:r>
              <w:rPr>
                <w:b/>
              </w:rPr>
              <w:t>ID</w:t>
            </w:r>
          </w:p>
        </w:tc>
        <w:tc>
          <w:tcPr>
            <w:tcW w:type="dxa" w:w="900"/>
            <w:tcBorders>
              <w:bottom w:val="single"/>
            </w:tcBorders>
            <w:vAlign w:val="bottom"/>
          </w:tcPr>
          <w:p>
            <w:pPr>
              <w:pStyle w:val="Compact"/>
              <w:jc w:val="left"/>
            </w:pPr>
            <w:r>
              <w:rPr>
                <w:b/>
              </w:rPr>
              <w:t>Idioma</w:t>
            </w:r>
          </w:p>
        </w:tc>
        <w:tc>
          <w:tcPr>
            <w:tcW w:type="dxa" w:w="3214"/>
            <w:tcBorders>
              <w:bottom w:val="single"/>
            </w:tcBorders>
            <w:vAlign w:val="bottom"/>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900"/>
          </w:tcPr>
          <w:p>
            <w:pPr>
              <w:pStyle w:val="Compact"/>
              <w:jc w:val="left"/>
            </w:pPr>
            <w:r>
              <w:rPr>
                <w:b w:val="0"/>
              </w:rPr>
              <w:t>ES</w:t>
            </w:r>
          </w:p>
        </w:tc>
        <w:tc>
          <w:tcPr>
            <w:tcW w:type="dxa" w:w="3214"/>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900"/>
          </w:tcPr>
          <w:p>
            <w:pPr>
              <w:pStyle w:val="Compact"/>
              <w:jc w:val="left"/>
            </w:pPr>
            <w:r>
              <w:rPr>
                <w:b w:val="0"/>
              </w:rPr>
              <w:t>ES</w:t>
            </w:r>
          </w:p>
        </w:tc>
        <w:tc>
          <w:tcPr>
            <w:tcW w:type="dxa" w:w="3214"/>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900"/>
          </w:tcPr>
          <w:p>
            <w:pPr>
              <w:pStyle w:val="Compact"/>
              <w:jc w:val="left"/>
            </w:pPr>
            <w:r>
              <w:rPr>
                <w:b w:val="0"/>
              </w:rPr>
              <w:t>EN</w:t>
            </w:r>
          </w:p>
        </w:tc>
        <w:tc>
          <w:tcPr>
            <w:tcW w:type="dxa" w:w="3214"/>
          </w:tcPr>
          <w:p>
            <w:pPr>
              <w:pStyle w:val="Compact"/>
              <w:jc w:val="center"/>
            </w:pPr>
            <w:r>
              <w:rPr>
                <w:b w:val="0"/>
              </w:rPr>
              <w:t>OFAC, indictment, money laundering, kleptocracy</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900"/>
          </w:tcPr>
          <w:p>
            <w:pPr>
              <w:pStyle w:val="Compact"/>
              <w:jc w:val="left"/>
            </w:pPr>
            <w:r>
              <w:rPr>
                <w:b w:val="0"/>
              </w:rPr>
              <w:t>ES</w:t>
            </w:r>
          </w:p>
        </w:tc>
        <w:tc>
          <w:tcPr>
            <w:tcW w:type="dxa" w:w="3214"/>
          </w:tcPr>
          <w:p>
            <w:pPr>
              <w:pStyle w:val="Compact"/>
              <w:jc w:val="center"/>
            </w:pPr>
            <w:r>
              <w:rPr>
                <w:b w:val="0"/>
              </w:rPr>
              <w:t>tribunal, fiscal, audiencia, sentencia</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900"/>
          </w:tcPr>
          <w:p>
            <w:pPr>
              <w:pStyle w:val="Compact"/>
              <w:jc w:val="left"/>
            </w:pPr>
            <w:r>
              <w:rPr>
                <w:b w:val="0"/>
              </w:rPr>
              <w:t>ES</w:t>
            </w:r>
          </w:p>
        </w:tc>
        <w:tc>
          <w:tcPr>
            <w:tcW w:type="dxa" w:w="3214"/>
          </w:tcPr>
          <w:p>
            <w:pPr>
              <w:pStyle w:val="Compact"/>
              <w:jc w:val="center"/>
            </w:pPr>
            <w:r>
              <w:rPr>
                <w:b w:val="0"/>
              </w:rPr>
              <w:t>liga, federación, torneo</w:t>
            </w:r>
          </w:p>
        </w:tc>
      </w:tr>
    </w:tbl>
    <w:p>
      <w:pPr>
        <w:numPr>
          <w:ilvl w:val="0"/>
          <w:numId w:val="0"/>
        </w:numPr>
        <w:pStyle w:val="Normal"/>
      </w:pPr>
      <w:r>
        <w:t>La Tabla 13 enumera los ejemplares anotados de la base de conocimientos con su dominio y su procedencia.</w:t>
      </w:r>
    </w:p>
    <w:p>
      <w:pPr>
        <w:numPr>
          <w:ilvl w:val="0"/>
          <w:numId w:val="0"/>
        </w:numPr>
        <w:pStyle w:val="TableCaption"/>
      </w:pPr>
      <w:r>
        <w:t>Tabla 13. Ejemplares Few-Shot de la Base de Conocimientos</w:t>
      </w:r>
    </w:p>
    <w:tbl>
      <w:tblPr>
        <w:tblStyle w:val="Table"/>
        <w:tblW w:type="pct" w:w="5000.0"/>
        <w:tblLook w:firstRow="1"/>
      </w:tblPr>
      <w:tblGrid>
        <w:gridCol w:w="4344"/>
        <w:gridCol w:w="2396"/>
        <w:gridCol w:w="2098"/>
      </w:tblGrid>
      <w:tr>
        <w:trPr>
          <w:cnfStyle w:firstRow="1"/>
        </w:trPr>
        <w:tc>
          <w:tcPr>
            <w:tcW w:type="dxa" w:w="4344"/>
            <w:tcBorders>
              <w:bottom w:val="single"/>
            </w:tcBorders>
            <w:vAlign w:val="bottom"/>
          </w:tcPr>
          <w:p>
            <w:pPr>
              <w:pStyle w:val="Compact"/>
              <w:jc w:val="left"/>
            </w:pPr>
            <w:r>
              <w:rPr>
                <w:b/>
              </w:rPr>
              <w:t>ID Ejemplar</w:t>
            </w:r>
          </w:p>
        </w:tc>
        <w:tc>
          <w:tcPr>
            <w:tcW w:type="dxa" w:w="2396"/>
            <w:tcBorders>
              <w:bottom w:val="single"/>
            </w:tcBorders>
            <w:vAlign w:val="bottom"/>
          </w:tcPr>
          <w:p>
            <w:pPr>
              <w:pStyle w:val="Compact"/>
              <w:jc w:val="left"/>
            </w:pPr>
            <w:r>
              <w:rPr>
                <w:b/>
              </w:rPr>
              <w:t>Dominio</w:t>
            </w:r>
          </w:p>
        </w:tc>
        <w:tc>
          <w:tcPr>
            <w:tcW w:type="dxa" w:w="2098"/>
            <w:tcBorders>
              <w:bottom w:val="single"/>
            </w:tcBorders>
            <w:vAlign w:val="bottom"/>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3"/>
      </w:pPr>
      <w:r>
        <w:t>D.3 Reglas de la base de conocimientos contextual</w:t>
      </w:r>
    </w:p>
    <w:p>
      <w:pPr>
        <w:numPr>
          <w:ilvl w:val="0"/>
          <w:numId w:val="0"/>
        </w:numPr>
        <w:pStyle w:val="BodyText"/>
      </w:pPr>
      <w:r>
        <w:t>La Tabla 14 reproduce, a modo de ejemplo, las reglas de una de esas guías.</w:t>
      </w:r>
    </w:p>
    <w:p>
      <w:pPr>
        <w:numPr>
          <w:ilvl w:val="0"/>
          <w:numId w:val="0"/>
        </w:numPr>
        <w:pStyle w:val="TableCaption"/>
      </w:pPr>
      <w:r>
        <w:t>Tabla 14. Reglas de la guía tipológica del dominio político-administrativo (politics_es), a modo de ejemplo</w:t>
      </w:r>
    </w:p>
    <w:tbl>
      <w:tblPr>
        <w:tblStyle w:val="Table"/>
        <w:tblW w:type="pct" w:w="5000.0"/>
        <w:tblLook w:firstRow="1"/>
      </w:tblPr>
      <w:tblGrid>
        <w:gridCol w:w="3130"/>
        <w:gridCol w:w="5708"/>
      </w:tblGrid>
      <w:tr>
        <w:trPr>
          <w:cnfStyle w:firstRow="1"/>
        </w:trPr>
        <w:tc>
          <w:tcPr>
            <w:tcW w:type="dxa" w:w="3130"/>
            <w:tcBorders>
              <w:bottom w:val="single"/>
            </w:tcBorders>
            <w:vAlign w:val="bottom"/>
          </w:tcPr>
          <w:p>
            <w:pPr>
              <w:pStyle w:val="Compact"/>
              <w:jc w:val="left"/>
            </w:pPr>
            <w:r>
              <w:rPr>
                <w:b/>
              </w:rPr>
              <w:t>Regla</w:t>
            </w:r>
          </w:p>
        </w:tc>
        <w:tc>
          <w:tcPr>
            <w:tcW w:type="dxa" w:w="5708"/>
            <w:tcBorders>
              <w:bottom w:val="single"/>
            </w:tcBorders>
            <w:vAlign w:val="bottom"/>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BodyText"/>
      </w:pPr>
      <w:r>
        <w:t>La Tabla 15 declara de qué corrida procede cada fila del benchmark exploratorio.</w:t>
      </w:r>
    </w:p>
    <w:p>
      <w:pPr>
        <w:numPr>
          <w:ilvl w:val="0"/>
          <w:numId w:val="0"/>
        </w:numPr>
        <w:pStyle w:val="TableCaption"/>
      </w:pPr>
      <w:r>
        <w:t>Tabla 15. Procedencia de cada fila del benchmark exploratorio: correspondencia con su corrida de origen</w:t>
      </w:r>
    </w:p>
    <w:tbl>
      <w:tblPr>
        <w:tblStyle w:val="Table"/>
        <w:tblW w:type="pct" w:w="5000.0"/>
        <w:tblLook w:firstRow="1"/>
      </w:tblPr>
      <w:tblGrid>
        <w:gridCol w:w="4215"/>
        <w:gridCol w:w="4623"/>
      </w:tblGrid>
      <w:tr>
        <w:trPr>
          <w:cnfStyle w:firstRow="1"/>
        </w:trPr>
        <w:tc>
          <w:tcPr>
            <w:tcW w:type="dxa" w:w="4215"/>
            <w:tcBorders>
              <w:bottom w:val="single"/>
            </w:tcBorders>
            <w:vAlign w:val="bottom"/>
          </w:tcPr>
          <w:p>
            <w:pPr>
              <w:pStyle w:val="Compact"/>
              <w:jc w:val="left"/>
            </w:pPr>
            <w:r>
              <w:rPr>
                <w:b/>
              </w:rPr>
              <w:t>Filas de la Tabla 4</w:t>
            </w:r>
          </w:p>
        </w:tc>
        <w:tc>
          <w:tcPr>
            <w:tcW w:type="dxa" w:w="4623"/>
            <w:tcBorders>
              <w:bottom w:val="single"/>
            </w:tcBorders>
            <w:vAlign w:val="bottom"/>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bl>
    <w:p>
      <w:pPr>
        <w:numPr>
          <w:ilvl w:val="0"/>
          <w:numId w:val="0"/>
        </w:numPr>
        <w:pStyle w:val="Normal"/>
      </w:pPr>
      <w:r>
        <w:t xml:space="preserve">Las tres primeras filas proceden de una corrida propia por un motivo distinto en cada caso, y el de </w:t>
      </w:r>
      <w:r>
        <w:t>gemma4:31b-cloud</w:t>
      </w:r>
      <w:r>
        <w:t xml:space="preserve"> conviene declararlo. Su primera medición quedó invalidada el 3 de septiembre de 2026 por la cuota semanal del servicio alojado, que devolvió HTTP 429 en seis de los quince artículos de cada modo; esas seis peticiones no llegaron a atenderse, de modo que registran latencia y rendimiento nulos y ninguna entidad. La corrida </w:t>
      </w:r>
      <w:r>
        <w:t>cloud_n15_limpio_20260905</w:t>
      </w:r>
      <w:r>
        <w:t xml:space="preserve"> la sustituye y resuelve los quince por análisis directo del JSON. Sus cifras invalidadas no se recogen en este informe, por la razón expuesta en el Anexo I: un número que no mide lo que dice medir no es un resultado. La contramedida quedó incorporada al sistema como el limitador de tasa descrito en §3.2.</w:t>
      </w:r>
    </w:p>
    <w:p>
      <w:pPr>
        <w:numPr>
          <w:ilvl w:val="0"/>
          <w:numId w:val="0"/>
        </w:numPr>
        <w:pStyle w:val="Heading2"/>
      </w:pPr>
      <w:r>
        <w:t>Anexo F — Metodología Detallada de Generación del Corpus Sintético N=30</w:t>
      </w:r>
    </w:p>
    <w:p>
      <w:pPr>
        <w:numPr>
          <w:ilvl w:val="0"/>
          <w:numId w:val="0"/>
        </w:numPr>
        <w:pStyle w:val="BodyText"/>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Normal"/>
      </w:pPr>
      <w:r>
        <w:t>Paso 2 — Generación controlada por plantillas de entidad: Para cada artículo sintético se definió a priori un par {entidad_PER, entidad_ORG} que debía aparecer en el texto, actuando como ground truth objetivo. El corpus resultante excede ese mínimo, porque el generador introdujo menciones adicionales: la media es de 1,2 personas y 2,3 organizaciones por artículo, y solo 2 de los 30 contienen exactamente una de cada objetivo. Las entidades fueron seleccionadas de la lista SDN del Departamento del Tesoro de los Estados Unidos [19] para garantizar realismo regulatorio (personas y organizaciones sancionadas reales).</w:t>
      </w:r>
    </w:p>
    <w:p>
      <w:pPr>
        <w:numPr>
          <w:ilvl w:val="0"/>
          <w:numId w:val="0"/>
        </w:numPr>
        <w:pStyle w:val="Normal"/>
      </w:pPr>
      <w:r>
        <w:t>Paso 3 — Instrucción al LLM generador: El modelo gemma4:31b recibió el siguiente prompt de generación:</w:t>
      </w:r>
    </w:p>
    <w:p>
      <w:pPr>
        <w:numPr>
          <w:ilvl w:val="0"/>
          <w:numId w:val="0"/>
        </w:numPr>
        <w:pStyle w:val="Source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Normal"/>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Normal"/>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BodyText"/>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(más de 130 commits entre el 1 de julio y el 8 de septiembre de 2026), los registros de trabajo WORKLOG.md (raíz del repositorio y research/rag/), y los informes de investigación asociados.</w:t>
      </w:r>
    </w:p>
    <w:p>
      <w:pPr>
        <w:numPr>
          <w:ilvl w:val="0"/>
          <w:numId w:val="0"/>
        </w:numPr>
        <w:pStyle w:val="Heading3"/>
      </w:pPr>
      <w:r>
        <w:t>G.1 Trabajo realizado por el autor de la tesina</w:t>
      </w:r>
    </w:p>
    <w:p>
      <w:pPr>
        <w:numPr>
          <w:ilvl w:val="0"/>
          <w:numId w:val="0"/>
        </w:numPr>
        <w:pStyle w:val="BodyText"/>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Normal"/>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3"/>
      </w:pPr>
      <w:r>
        <w:t>G.2 Apoyo de IA en la elaboración de artefactos de prueba</w:t>
      </w:r>
    </w:p>
    <w:p>
      <w:pPr>
        <w:numPr>
          <w:ilvl w:val="0"/>
          <w:numId w:val="0"/>
        </w:numPr>
        <w:pStyle w:val="BodyText"/>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la lista SDN del Departamento del Tesoro de los Estados Unidos [19]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3"/>
      </w:pPr>
      <w:r>
        <w:t>G.3 Apoyo de IA en implementación, documentación y formato</w:t>
      </w:r>
    </w:p>
    <w:p>
      <w:pPr>
        <w:numPr>
          <w:ilvl w:val="0"/>
          <w:numId w:val="0"/>
        </w:numPr>
        <w:pStyle w:val="BodyText"/>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3"/>
      </w:pPr>
      <w:r>
        <w:t>G.4 Límites y verificación</w:t>
      </w:r>
    </w:p>
    <w:p>
      <w:pPr>
        <w:numPr>
          <w:ilvl w:val="0"/>
          <w:numId w:val="0"/>
        </w:numPr>
        <w:pStyle w:val="BodyText"/>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las que el capítulo 6 discute sobre la codificación del corpus y el alcance de la medición. El autor asume la responsabilidad final sobre el contenido, la exactitud y la integridad académica de este documento.</w:t>
      </w:r>
    </w:p>
    <w:p>
      <w:pPr>
        <w:numPr>
          <w:ilvl w:val="0"/>
          <w:numId w:val="0"/>
        </w:numPr>
        <w:pStyle w:val="Heading2"/>
      </w:pPr>
      <w:r>
        <w:t xml:space="preserve">Anexo H — Codificación del corpus: análisis del </w:t>
      </w:r>
      <w:r>
        <w:rPr>
          <w:i/>
        </w:rPr>
        <w:t>mojibake</w:t>
      </w:r>
      <w:r>
        <w:t xml:space="preserve"> y su efecto sobre la medición</w:t>
      </w:r>
    </w:p>
    <w:p>
      <w:pPr>
        <w:numPr>
          <w:ilvl w:val="0"/>
          <w:numId w:val="0"/>
        </w:numPr>
        <w:pStyle w:val="Heading3"/>
      </w:pPr>
      <w:r>
        <w:t>H.1 Naturaleza y alcance del defecto</w:t>
      </w:r>
    </w:p>
    <w:p>
      <w:pPr>
        <w:numPr>
          <w:ilvl w:val="0"/>
          <w:numId w:val="0"/>
        </w:numPr>
        <w:pStyle w:val="BodyText"/>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 La Tabla 16 muestra las formas corruptas frente a su representación real.</w:t>
      </w:r>
    </w:p>
    <w:p>
      <w:pPr>
        <w:numPr>
          <w:ilvl w:val="0"/>
          <w:numId w:val="0"/>
        </w:numPr>
        <w:pStyle w:val="TableCaption"/>
      </w:pPr>
      <w:r>
        <w:t>Tabla 16. Formas corruptas de los nombres almacenados y su representación real</w:t>
      </w:r>
    </w:p>
    <w:tbl>
      <w:tblPr>
        <w:tblStyle w:val="Table"/>
        <w:tblW w:type="pct" w:w="5000.0"/>
        <w:tblLook w:firstRow="1"/>
      </w:tblPr>
      <w:tblGrid>
        <w:gridCol w:w="5077"/>
        <w:gridCol w:w="3761"/>
      </w:tblGrid>
      <w:tr>
        <w:trPr>
          <w:cnfStyle w:firstRow="1"/>
        </w:trPr>
        <w:tc>
          <w:tcPr>
            <w:tcW w:type="dxa" w:w="5077"/>
            <w:tcBorders>
              <w:bottom w:val="single"/>
            </w:tcBorders>
            <w:vAlign w:val="bottom"/>
          </w:tcPr>
          <w:p>
            <w:pPr>
              <w:pStyle w:val="Compact"/>
              <w:jc w:val="left"/>
            </w:pPr>
            <w:r>
              <w:rPr>
                <w:b/>
              </w:rPr>
              <w:t>Forma almacenada (corrupta)</w:t>
            </w:r>
          </w:p>
        </w:tc>
        <w:tc>
          <w:tcPr>
            <w:tcW w:type="dxa" w:w="3761"/>
            <w:tcBorders>
              <w:bottom w:val="single"/>
            </w:tcBorders>
            <w:vAlign w:val="bottom"/>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Normal"/>
      </w:pPr>
      <w:r>
        <w:t xml:space="preserve">La reparación consiste en deshacer el paso erróneo: </w:t>
      </w:r>
      <w:r>
        <w:t>s.encode('latin-1').decode('utf-8')</w:t>
      </w:r>
      <w:r>
        <w:t>.</w:t>
      </w:r>
    </w:p>
    <w:p>
      <w:pPr>
        <w:numPr>
          <w:ilvl w:val="0"/>
          <w:numId w:val="0"/>
        </w:numPr>
        <w:pStyle w:val="Heading3"/>
      </w:pPr>
      <w:r>
        <w:t>H.2 Alcance medido y consecuencia sobre la comparación</w:t>
      </w:r>
    </w:p>
    <w:p>
      <w:pPr>
        <w:numPr>
          <w:ilvl w:val="0"/>
          <w:numId w:val="0"/>
        </w:numPr>
        <w:pStyle w:val="BodyText"/>
      </w:pPr>
      <w:r>
        <w:t>La Tabla 17 resume las comprobaciones realizadas sobre el corpus y su resultado.</w:t>
      </w:r>
    </w:p>
    <w:p>
      <w:pPr>
        <w:numPr>
          <w:ilvl w:val="0"/>
          <w:numId w:val="0"/>
        </w:numPr>
        <w:pStyle w:val="TableCaption"/>
      </w:pPr>
      <w:r>
        <w:t>Tabla 17. Alcance medido del defecto de codificación sobre el corpus N=120</w:t>
      </w:r>
    </w:p>
    <w:tbl>
      <w:tblPr>
        <w:tblStyle w:val="Table"/>
        <w:tblW w:type="pct" w:w="5000.0"/>
        <w:tblLook w:firstRow="1"/>
      </w:tblPr>
      <w:tblGrid>
        <w:gridCol w:w="5564"/>
        <w:gridCol w:w="3274"/>
      </w:tblGrid>
      <w:tr>
        <w:trPr>
          <w:cnfStyle w:firstRow="1"/>
        </w:trPr>
        <w:tc>
          <w:tcPr>
            <w:tcW w:type="dxa" w:w="5564"/>
            <w:tcBorders>
              <w:bottom w:val="single"/>
            </w:tcBorders>
            <w:vAlign w:val="bottom"/>
          </w:tcPr>
          <w:p>
            <w:pPr>
              <w:pStyle w:val="Compact"/>
              <w:jc w:val="left"/>
            </w:pPr>
            <w:r>
              <w:rPr>
                <w:b/>
              </w:rPr>
              <w:t>Comprobación sobre data/benchmark_balanced_120.json</w:t>
            </w:r>
          </w:p>
        </w:tc>
        <w:tc>
          <w:tcPr>
            <w:tcW w:type="dxa" w:w="3274"/>
            <w:tcBorders>
              <w:bottom w:val="single"/>
            </w:tcBorders>
            <w:vAlign w:val="bottom"/>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 xml:space="preserve">Entidades con </w:t>
            </w:r>
            <w:r>
              <w:rPr>
                <w:b w:val="0"/>
                <w:i/>
              </w:rPr>
              <w:t>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 xml:space="preserve">Artículos con </w:t>
            </w:r>
            <w:r>
              <w:rPr>
                <w:b w:val="0"/>
                <w:i/>
              </w:rPr>
              <w:t>mojibake</w:t>
            </w:r>
            <w:r>
              <w:rPr>
                <w:b w:val="0"/>
              </w:rPr>
              <w:t xml:space="preserv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Normal"/>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Normal"/>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3"/>
      </w:pPr>
      <w:r>
        <w:t>H.3 Evidencia empírica del efecto diferencial</w:t>
      </w:r>
    </w:p>
    <w:p>
      <w:pPr>
        <w:numPr>
          <w:ilvl w:val="0"/>
          <w:numId w:val="0"/>
        </w:numPr>
        <w:pStyle w:val="BodyText"/>
      </w:pPr>
      <w:r>
        <w:t xml:space="preserve">El efecto se midió sobre las </w:t>
      </w:r>
      <w:r>
        <w:rPr>
          <w:b/>
        </w:rPr>
        <w:t>veintiséis configuraciones</w:t>
      </w:r>
      <w:r>
        <w:t xml:space="preserve"> del estudio —los trece modelos en sus dos modos— con el script </w:t>
      </w:r>
      <w:r>
        <w:t>tools/analisis_mojibake.py</w:t>
      </w:r>
      <w:r>
        <w:t xml:space="preserve">, que se publica para que la tabla sea reproducible. Se toma una corrida por configuración, y el orden de preferencia del script antepone las corridas sanas: la medición de </w:t>
      </w:r>
      <w:r>
        <w:t>gemma4:12b-mlx</w:t>
      </w:r>
      <w:r>
        <w:t xml:space="preserve"> de </w:t>
      </w:r>
      <w:r>
        <w:t>benchmark_n120_REMOTO</w:t>
      </w:r>
      <w:r>
        <w:t xml:space="preserve"> está averiada por el modo de razonamiento, con 68 y 98 registros sin ninguna entidad recuperada, y habría distorsionado el resultado.</w:t>
      </w:r>
    </w:p>
    <w:p>
      <w:pPr>
        <w:numPr>
          <w:ilvl w:val="0"/>
          <w:numId w:val="0"/>
        </w:numPr>
        <w:pStyle w:val="Normal"/>
      </w:pPr>
      <w:r>
        <w:t xml:space="preserve">La medición obliga a declarar el criterio de «artículo afectado», porque </w:t>
      </w:r>
      <w:r>
        <w:rPr>
          <w:b/>
        </w:rPr>
        <w:t>el sentido del efecto depende de cuál se elija</w:t>
      </w:r>
      <w:r>
        <w:t>, y esa dependencia es en sí misma el resultado:</w:t>
      </w:r>
    </w:p>
    <w:p>
      <w:pPr>
        <w:numPr>
          <w:ilvl w:val="0"/>
          <w:numId w:val="0"/>
        </w:numPr>
        <w:pStyle w:val="BodyText"/>
      </w:pPr>
      <w:r>
        <w:rPr>
          <w:b/>
        </w:rPr>
        <w:t>Por entidad de referencia corrupta</w:t>
      </w:r>
      <w:r>
        <w:t>: 89 artículos afectados y 31 no.</w:t>
      </w:r>
    </w:p>
    <w:p>
      <w:pPr>
        <w:numPr>
          <w:ilvl w:val="0"/>
          <w:numId w:val="0"/>
        </w:numPr>
        <w:pStyle w:val="BodyText"/>
      </w:pPr>
      <w:r>
        <w:rPr>
          <w:b/>
        </w:rPr>
        <w:t>Por texto de entrada corrupto</w:t>
      </w:r>
      <w:r>
        <w:t>: 104 artículos afectados y 16 no.</w:t>
      </w:r>
    </w:p>
    <w:p>
      <w:pPr>
        <w:numPr>
          <w:ilvl w:val="0"/>
          <w:numId w:val="0"/>
        </w:numPr>
        <w:pStyle w:val="Normal"/>
      </w:pPr>
      <w:r>
        <w:t>La Tabla 18 recoge el efecto por configuración y por criterio de artículo afectado.</w:t>
      </w:r>
    </w:p>
    <w:p>
      <w:pPr>
        <w:numPr>
          <w:ilvl w:val="0"/>
          <w:numId w:val="0"/>
        </w:numPr>
        <w:pStyle w:val="TableCaption"/>
      </w:pPr>
      <w:r>
        <w:t xml:space="preserve">Tabla 18. Efecto diferencial del </w:t>
      </w:r>
      <w:r>
        <w:rPr>
          <w:i/>
        </w:rPr>
        <w:t>mojibake</w:t>
      </w:r>
      <w:r>
        <w:t xml:space="preserve"> sobre el F1 según el criterio de artículo afectado</w:t>
      </w:r>
    </w:p>
    <w:tbl>
      <w:tblPr>
        <w:tblStyle w:val="Table"/>
        <w:tblW w:type="pct" w:w="5000.0"/>
        <w:tblLook w:firstRow="1"/>
      </w:tblPr>
      <w:tblGrid>
        <w:gridCol w:w="2981"/>
        <w:gridCol w:w="3194"/>
        <w:gridCol w:w="2663"/>
      </w:tblGrid>
      <w:tr>
        <w:trPr>
          <w:cnfStyle w:firstRow="1"/>
        </w:trPr>
        <w:tc>
          <w:tcPr>
            <w:tcW w:type="dxa" w:w="2981"/>
            <w:tcBorders>
              <w:bottom w:val="single"/>
            </w:tcBorders>
            <w:vAlign w:val="bottom"/>
          </w:tcPr>
          <w:p>
            <w:pPr>
              <w:pStyle w:val="Compact"/>
              <w:jc w:val="left"/>
            </w:pPr>
            <w:r>
              <w:rPr>
                <w:b/>
              </w:rPr>
              <w:t>Configuración</w:t>
            </w:r>
          </w:p>
        </w:tc>
        <w:tc>
          <w:tcPr>
            <w:tcW w:type="dxa" w:w="3194"/>
            <w:tcBorders>
              <w:bottom w:val="single"/>
            </w:tcBorders>
            <w:vAlign w:val="bottom"/>
          </w:tcPr>
          <w:p>
            <w:pPr>
              <w:pStyle w:val="Compact"/>
              <w:jc w:val="left"/>
            </w:pPr>
            <w:r>
              <w:rPr>
                <w:b/>
              </w:rPr>
              <w:t>Δ F1 por entidad de referencia</w:t>
            </w:r>
          </w:p>
        </w:tc>
        <w:tc>
          <w:tcPr>
            <w:tcW w:type="dxa" w:w="2663"/>
            <w:tcBorders>
              <w:bottom w:val="single"/>
            </w:tcBorders>
            <w:vAlign w:val="bottom"/>
          </w:tcPr>
          <w:p>
            <w:pPr>
              <w:pStyle w:val="Compact"/>
              <w:jc w:val="left"/>
            </w:pPr>
            <w:r>
              <w:rPr>
                <w:b/>
              </w:rPr>
              <w:t>Δ F1 por texto de entrada</w:t>
            </w:r>
          </w:p>
        </w:tc>
      </w:tr>
      <w:tr>
        <w:tc>
          <w:tcPr>
            <w:tcW w:type="dxa" w:w="2981"/>
          </w:tcPr>
          <w:p>
            <w:pPr>
              <w:pStyle w:val="Compact"/>
              <w:jc w:val="left"/>
            </w:pPr>
            <w:r>
              <w:rPr>
                <w:b w:val="0"/>
              </w:rPr>
              <w:t>qwen3:8b_kb_rag</w:t>
            </w:r>
          </w:p>
        </w:tc>
        <w:tc>
          <w:tcPr>
            <w:tcW w:type="dxa" w:w="3194"/>
          </w:tcPr>
          <w:p>
            <w:pPr>
              <w:pStyle w:val="Compact"/>
              <w:jc w:val="left"/>
            </w:pPr>
            <w:r>
              <w:rPr>
                <w:b w:val="0"/>
              </w:rPr>
              <w:t>+0.1554</w:t>
            </w:r>
          </w:p>
        </w:tc>
        <w:tc>
          <w:tcPr>
            <w:tcW w:type="dxa" w:w="2663"/>
          </w:tcPr>
          <w:p>
            <w:pPr>
              <w:pStyle w:val="Compact"/>
              <w:jc w:val="left"/>
            </w:pPr>
            <w:r>
              <w:rPr>
                <w:b w:val="0"/>
              </w:rPr>
              <w:t>+0.0152</w:t>
            </w:r>
          </w:p>
        </w:tc>
      </w:tr>
      <w:tr>
        <w:tc>
          <w:tcPr>
            <w:tcW w:type="dxa" w:w="2981"/>
          </w:tcPr>
          <w:p>
            <w:pPr>
              <w:pStyle w:val="Compact"/>
              <w:jc w:val="left"/>
            </w:pPr>
            <w:r>
              <w:rPr>
                <w:b w:val="0"/>
              </w:rPr>
              <w:t>gemma4:31b-cloud_baseline</w:t>
            </w:r>
          </w:p>
        </w:tc>
        <w:tc>
          <w:tcPr>
            <w:tcW w:type="dxa" w:w="3194"/>
          </w:tcPr>
          <w:p>
            <w:pPr>
              <w:pStyle w:val="Compact"/>
              <w:jc w:val="left"/>
            </w:pPr>
            <w:r>
              <w:rPr>
                <w:b w:val="0"/>
              </w:rPr>
              <w:t>+0.1418</w:t>
            </w:r>
          </w:p>
        </w:tc>
        <w:tc>
          <w:tcPr>
            <w:tcW w:type="dxa" w:w="2663"/>
          </w:tcPr>
          <w:p>
            <w:pPr>
              <w:pStyle w:val="Compact"/>
              <w:jc w:val="left"/>
            </w:pPr>
            <w:r>
              <w:rPr>
                <w:b w:val="0"/>
              </w:rPr>
              <w:t>+0.0029</w:t>
            </w:r>
          </w:p>
        </w:tc>
      </w:tr>
      <w:tr>
        <w:tc>
          <w:tcPr>
            <w:tcW w:type="dxa" w:w="2981"/>
          </w:tcPr>
          <w:p>
            <w:pPr>
              <w:pStyle w:val="Compact"/>
              <w:jc w:val="left"/>
            </w:pPr>
            <w:r>
              <w:rPr>
                <w:b w:val="0"/>
              </w:rPr>
              <w:t>gemma4:31b-cloud_kb_rag</w:t>
            </w:r>
          </w:p>
        </w:tc>
        <w:tc>
          <w:tcPr>
            <w:tcW w:type="dxa" w:w="3194"/>
          </w:tcPr>
          <w:p>
            <w:pPr>
              <w:pStyle w:val="Compact"/>
              <w:jc w:val="left"/>
            </w:pPr>
            <w:r>
              <w:rPr>
                <w:b w:val="0"/>
              </w:rPr>
              <w:t>+0.1131</w:t>
            </w:r>
          </w:p>
        </w:tc>
        <w:tc>
          <w:tcPr>
            <w:tcW w:type="dxa" w:w="2663"/>
          </w:tcPr>
          <w:p>
            <w:pPr>
              <w:pStyle w:val="Compact"/>
              <w:jc w:val="left"/>
            </w:pPr>
            <w:r>
              <w:rPr>
                <w:b w:val="0"/>
              </w:rPr>
              <w:t>-0.0433</w:t>
            </w:r>
          </w:p>
        </w:tc>
      </w:tr>
      <w:tr>
        <w:tc>
          <w:tcPr>
            <w:tcW w:type="dxa" w:w="2981"/>
          </w:tcPr>
          <w:p>
            <w:pPr>
              <w:pStyle w:val="Compact"/>
              <w:jc w:val="left"/>
            </w:pPr>
            <w:r>
              <w:rPr>
                <w:b w:val="0"/>
              </w:rPr>
              <w:t>gemma4:31b-mlx_kb_rag</w:t>
            </w:r>
          </w:p>
        </w:tc>
        <w:tc>
          <w:tcPr>
            <w:tcW w:type="dxa" w:w="3194"/>
          </w:tcPr>
          <w:p>
            <w:pPr>
              <w:pStyle w:val="Compact"/>
              <w:jc w:val="left"/>
            </w:pPr>
            <w:r>
              <w:rPr>
                <w:b w:val="0"/>
              </w:rPr>
              <w:t>+0.0999</w:t>
            </w:r>
          </w:p>
        </w:tc>
        <w:tc>
          <w:tcPr>
            <w:tcW w:type="dxa" w:w="2663"/>
          </w:tcPr>
          <w:p>
            <w:pPr>
              <w:pStyle w:val="Compact"/>
              <w:jc w:val="left"/>
            </w:pPr>
            <w:r>
              <w:rPr>
                <w:b w:val="0"/>
              </w:rPr>
              <w:t>-0.0102</w:t>
            </w:r>
          </w:p>
        </w:tc>
      </w:tr>
      <w:tr>
        <w:tc>
          <w:tcPr>
            <w:tcW w:type="dxa" w:w="2981"/>
          </w:tcPr>
          <w:p>
            <w:pPr>
              <w:pStyle w:val="Compact"/>
              <w:jc w:val="left"/>
            </w:pPr>
            <w:r>
              <w:rPr>
                <w:b w:val="0"/>
              </w:rPr>
              <w:t>gemma4:latest_kb_rag</w:t>
            </w:r>
          </w:p>
        </w:tc>
        <w:tc>
          <w:tcPr>
            <w:tcW w:type="dxa" w:w="3194"/>
          </w:tcPr>
          <w:p>
            <w:pPr>
              <w:pStyle w:val="Compact"/>
              <w:jc w:val="left"/>
            </w:pPr>
            <w:r>
              <w:rPr>
                <w:b w:val="0"/>
              </w:rPr>
              <w:t>+0.0976</w:t>
            </w:r>
          </w:p>
        </w:tc>
        <w:tc>
          <w:tcPr>
            <w:tcW w:type="dxa" w:w="2663"/>
          </w:tcPr>
          <w:p>
            <w:pPr>
              <w:pStyle w:val="Compact"/>
              <w:jc w:val="left"/>
            </w:pPr>
            <w:r>
              <w:rPr>
                <w:b w:val="0"/>
              </w:rPr>
              <w:t>-0.0666</w:t>
            </w:r>
          </w:p>
        </w:tc>
      </w:tr>
      <w:tr>
        <w:tc>
          <w:tcPr>
            <w:tcW w:type="dxa" w:w="2981"/>
          </w:tcPr>
          <w:p>
            <w:pPr>
              <w:pStyle w:val="Compact"/>
              <w:jc w:val="left"/>
            </w:pPr>
            <w:r>
              <w:rPr>
                <w:b w:val="0"/>
              </w:rPr>
              <w:t>gemma:latest_kb_rag</w:t>
            </w:r>
          </w:p>
        </w:tc>
        <w:tc>
          <w:tcPr>
            <w:tcW w:type="dxa" w:w="3194"/>
          </w:tcPr>
          <w:p>
            <w:pPr>
              <w:pStyle w:val="Compact"/>
              <w:jc w:val="left"/>
            </w:pPr>
            <w:r>
              <w:rPr>
                <w:b w:val="0"/>
              </w:rPr>
              <w:t>+0.0965</w:t>
            </w:r>
          </w:p>
        </w:tc>
        <w:tc>
          <w:tcPr>
            <w:tcW w:type="dxa" w:w="2663"/>
          </w:tcPr>
          <w:p>
            <w:pPr>
              <w:pStyle w:val="Compact"/>
              <w:jc w:val="left"/>
            </w:pPr>
            <w:r>
              <w:rPr>
                <w:b w:val="0"/>
              </w:rPr>
              <w:t>-0.0845</w:t>
            </w:r>
          </w:p>
        </w:tc>
      </w:tr>
      <w:tr>
        <w:tc>
          <w:tcPr>
            <w:tcW w:type="dxa" w:w="2981"/>
          </w:tcPr>
          <w:p>
            <w:pPr>
              <w:pStyle w:val="Compact"/>
              <w:jc w:val="left"/>
            </w:pPr>
            <w:r>
              <w:rPr>
                <w:b w:val="0"/>
              </w:rPr>
              <w:t>nemotron-mini:4b_kb_rag</w:t>
            </w:r>
          </w:p>
        </w:tc>
        <w:tc>
          <w:tcPr>
            <w:tcW w:type="dxa" w:w="3194"/>
          </w:tcPr>
          <w:p>
            <w:pPr>
              <w:pStyle w:val="Compact"/>
              <w:jc w:val="left"/>
            </w:pPr>
            <w:r>
              <w:rPr>
                <w:b w:val="0"/>
              </w:rPr>
              <w:t>+0.0948</w:t>
            </w:r>
          </w:p>
        </w:tc>
        <w:tc>
          <w:tcPr>
            <w:tcW w:type="dxa" w:w="2663"/>
          </w:tcPr>
          <w:p>
            <w:pPr>
              <w:pStyle w:val="Compact"/>
              <w:jc w:val="left"/>
            </w:pPr>
            <w:r>
              <w:rPr>
                <w:b w:val="0"/>
              </w:rPr>
              <w:t>-0.0609</w:t>
            </w:r>
          </w:p>
        </w:tc>
      </w:tr>
      <w:tr>
        <w:tc>
          <w:tcPr>
            <w:tcW w:type="dxa" w:w="2981"/>
          </w:tcPr>
          <w:p>
            <w:pPr>
              <w:pStyle w:val="Compact"/>
              <w:jc w:val="left"/>
            </w:pPr>
            <w:r>
              <w:rPr>
                <w:b w:val="0"/>
              </w:rPr>
              <w:t>gemma4:31b-mlx_baseline</w:t>
            </w:r>
          </w:p>
        </w:tc>
        <w:tc>
          <w:tcPr>
            <w:tcW w:type="dxa" w:w="3194"/>
          </w:tcPr>
          <w:p>
            <w:pPr>
              <w:pStyle w:val="Compact"/>
              <w:jc w:val="left"/>
            </w:pPr>
            <w:r>
              <w:rPr>
                <w:b w:val="0"/>
              </w:rPr>
              <w:t>+0.0873</w:t>
            </w:r>
          </w:p>
        </w:tc>
        <w:tc>
          <w:tcPr>
            <w:tcW w:type="dxa" w:w="2663"/>
          </w:tcPr>
          <w:p>
            <w:pPr>
              <w:pStyle w:val="Compact"/>
              <w:jc w:val="left"/>
            </w:pPr>
            <w:r>
              <w:rPr>
                <w:b w:val="0"/>
              </w:rPr>
              <w:t>-0.0613</w:t>
            </w:r>
          </w:p>
        </w:tc>
      </w:tr>
      <w:tr>
        <w:tc>
          <w:tcPr>
            <w:tcW w:type="dxa" w:w="2981"/>
          </w:tcPr>
          <w:p>
            <w:pPr>
              <w:pStyle w:val="Compact"/>
              <w:jc w:val="left"/>
            </w:pPr>
            <w:r>
              <w:rPr>
                <w:b w:val="0"/>
              </w:rPr>
              <w:t>gpt-oss:20b_baseline</w:t>
            </w:r>
          </w:p>
        </w:tc>
        <w:tc>
          <w:tcPr>
            <w:tcW w:type="dxa" w:w="3194"/>
          </w:tcPr>
          <w:p>
            <w:pPr>
              <w:pStyle w:val="Compact"/>
              <w:jc w:val="left"/>
            </w:pPr>
            <w:r>
              <w:rPr>
                <w:b w:val="0"/>
              </w:rPr>
              <w:t>+0.0819</w:t>
            </w:r>
          </w:p>
        </w:tc>
        <w:tc>
          <w:tcPr>
            <w:tcW w:type="dxa" w:w="2663"/>
          </w:tcPr>
          <w:p>
            <w:pPr>
              <w:pStyle w:val="Compact"/>
              <w:jc w:val="left"/>
            </w:pPr>
            <w:r>
              <w:rPr>
                <w:b w:val="0"/>
              </w:rPr>
              <w:t>-0.0438</w:t>
            </w:r>
          </w:p>
        </w:tc>
      </w:tr>
      <w:tr>
        <w:tc>
          <w:tcPr>
            <w:tcW w:type="dxa" w:w="2981"/>
          </w:tcPr>
          <w:p>
            <w:pPr>
              <w:pStyle w:val="Compact"/>
              <w:jc w:val="left"/>
            </w:pPr>
            <w:r>
              <w:rPr>
                <w:b w:val="0"/>
              </w:rPr>
              <w:t>gemma4:12b-mlx_baseline</w:t>
            </w:r>
          </w:p>
        </w:tc>
        <w:tc>
          <w:tcPr>
            <w:tcW w:type="dxa" w:w="3194"/>
          </w:tcPr>
          <w:p>
            <w:pPr>
              <w:pStyle w:val="Compact"/>
              <w:jc w:val="left"/>
            </w:pPr>
            <w:r>
              <w:rPr>
                <w:b w:val="0"/>
              </w:rPr>
              <w:t>+0.0789</w:t>
            </w:r>
          </w:p>
        </w:tc>
        <w:tc>
          <w:tcPr>
            <w:tcW w:type="dxa" w:w="2663"/>
          </w:tcPr>
          <w:p>
            <w:pPr>
              <w:pStyle w:val="Compact"/>
              <w:jc w:val="left"/>
            </w:pPr>
            <w:r>
              <w:rPr>
                <w:b w:val="0"/>
              </w:rPr>
              <w:t>-0.0612</w:t>
            </w:r>
          </w:p>
        </w:tc>
      </w:tr>
      <w:tr>
        <w:tc>
          <w:tcPr>
            <w:tcW w:type="dxa" w:w="2981"/>
          </w:tcPr>
          <w:p>
            <w:pPr>
              <w:pStyle w:val="Compact"/>
              <w:jc w:val="left"/>
            </w:pPr>
            <w:r>
              <w:rPr>
                <w:b w:val="0"/>
              </w:rPr>
              <w:t>mistral-nemo:latest_baseline</w:t>
            </w:r>
          </w:p>
        </w:tc>
        <w:tc>
          <w:tcPr>
            <w:tcW w:type="dxa" w:w="3194"/>
          </w:tcPr>
          <w:p>
            <w:pPr>
              <w:pStyle w:val="Compact"/>
              <w:jc w:val="left"/>
            </w:pPr>
            <w:r>
              <w:rPr>
                <w:b w:val="0"/>
              </w:rPr>
              <w:t>+0.0684</w:t>
            </w:r>
          </w:p>
        </w:tc>
        <w:tc>
          <w:tcPr>
            <w:tcW w:type="dxa" w:w="2663"/>
          </w:tcPr>
          <w:p>
            <w:pPr>
              <w:pStyle w:val="Compact"/>
              <w:jc w:val="left"/>
            </w:pPr>
            <w:r>
              <w:rPr>
                <w:b w:val="0"/>
              </w:rPr>
              <w:t>-0.1122</w:t>
            </w:r>
          </w:p>
        </w:tc>
      </w:tr>
      <w:tr>
        <w:tc>
          <w:tcPr>
            <w:tcW w:type="dxa" w:w="2981"/>
          </w:tcPr>
          <w:p>
            <w:pPr>
              <w:pStyle w:val="Compact"/>
              <w:jc w:val="left"/>
            </w:pPr>
            <w:r>
              <w:rPr>
                <w:b w:val="0"/>
              </w:rPr>
              <w:t>qwen2.5:14b_baseline</w:t>
            </w:r>
          </w:p>
        </w:tc>
        <w:tc>
          <w:tcPr>
            <w:tcW w:type="dxa" w:w="3194"/>
          </w:tcPr>
          <w:p>
            <w:pPr>
              <w:pStyle w:val="Compact"/>
              <w:jc w:val="left"/>
            </w:pPr>
            <w:r>
              <w:rPr>
                <w:b w:val="0"/>
              </w:rPr>
              <w:t>+0.0681</w:t>
            </w:r>
          </w:p>
        </w:tc>
        <w:tc>
          <w:tcPr>
            <w:tcW w:type="dxa" w:w="2663"/>
          </w:tcPr>
          <w:p>
            <w:pPr>
              <w:pStyle w:val="Compact"/>
              <w:jc w:val="left"/>
            </w:pPr>
            <w:r>
              <w:rPr>
                <w:b w:val="0"/>
              </w:rPr>
              <w:t>-0.0821</w:t>
            </w:r>
          </w:p>
        </w:tc>
      </w:tr>
      <w:tr>
        <w:tc>
          <w:tcPr>
            <w:tcW w:type="dxa" w:w="2981"/>
          </w:tcPr>
          <w:p>
            <w:pPr>
              <w:pStyle w:val="Compact"/>
              <w:jc w:val="left"/>
            </w:pPr>
            <w:r>
              <w:rPr>
                <w:b w:val="0"/>
              </w:rPr>
              <w:t>gemma4:latest_baseline</w:t>
            </w:r>
          </w:p>
        </w:tc>
        <w:tc>
          <w:tcPr>
            <w:tcW w:type="dxa" w:w="3194"/>
          </w:tcPr>
          <w:p>
            <w:pPr>
              <w:pStyle w:val="Compact"/>
              <w:jc w:val="left"/>
            </w:pPr>
            <w:r>
              <w:rPr>
                <w:b w:val="0"/>
              </w:rPr>
              <w:t>+0.0620</w:t>
            </w:r>
          </w:p>
        </w:tc>
        <w:tc>
          <w:tcPr>
            <w:tcW w:type="dxa" w:w="2663"/>
          </w:tcPr>
          <w:p>
            <w:pPr>
              <w:pStyle w:val="Compact"/>
              <w:jc w:val="left"/>
            </w:pPr>
            <w:r>
              <w:rPr>
                <w:b w:val="0"/>
              </w:rPr>
              <w:t>-0.0958</w:t>
            </w:r>
          </w:p>
        </w:tc>
      </w:tr>
      <w:tr>
        <w:tc>
          <w:tcPr>
            <w:tcW w:type="dxa" w:w="2981"/>
          </w:tcPr>
          <w:p>
            <w:pPr>
              <w:pStyle w:val="Compact"/>
              <w:jc w:val="left"/>
            </w:pPr>
            <w:r>
              <w:rPr>
                <w:b w:val="0"/>
              </w:rPr>
              <w:t>gemma4:12b-mlx_kb_rag</w:t>
            </w:r>
          </w:p>
        </w:tc>
        <w:tc>
          <w:tcPr>
            <w:tcW w:type="dxa" w:w="3194"/>
          </w:tcPr>
          <w:p>
            <w:pPr>
              <w:pStyle w:val="Compact"/>
              <w:jc w:val="left"/>
            </w:pPr>
            <w:r>
              <w:rPr>
                <w:b w:val="0"/>
              </w:rPr>
              <w:t>+0.0604</w:t>
            </w:r>
          </w:p>
        </w:tc>
        <w:tc>
          <w:tcPr>
            <w:tcW w:type="dxa" w:w="2663"/>
          </w:tcPr>
          <w:p>
            <w:pPr>
              <w:pStyle w:val="Compact"/>
              <w:jc w:val="left"/>
            </w:pPr>
            <w:r>
              <w:rPr>
                <w:b w:val="0"/>
              </w:rPr>
              <w:t>-0.0897</w:t>
            </w:r>
          </w:p>
        </w:tc>
      </w:tr>
      <w:tr>
        <w:tc>
          <w:tcPr>
            <w:tcW w:type="dxa" w:w="2981"/>
          </w:tcPr>
          <w:p>
            <w:pPr>
              <w:pStyle w:val="Compact"/>
              <w:jc w:val="left"/>
            </w:pPr>
            <w:r>
              <w:rPr>
                <w:b w:val="0"/>
              </w:rPr>
              <w:t>llama3.1:8b_baseline</w:t>
            </w:r>
          </w:p>
        </w:tc>
        <w:tc>
          <w:tcPr>
            <w:tcW w:type="dxa" w:w="3194"/>
          </w:tcPr>
          <w:p>
            <w:pPr>
              <w:pStyle w:val="Compact"/>
              <w:jc w:val="left"/>
            </w:pPr>
            <w:r>
              <w:rPr>
                <w:b w:val="0"/>
              </w:rPr>
              <w:t>+0.0514</w:t>
            </w:r>
          </w:p>
        </w:tc>
        <w:tc>
          <w:tcPr>
            <w:tcW w:type="dxa" w:w="2663"/>
          </w:tcPr>
          <w:p>
            <w:pPr>
              <w:pStyle w:val="Compact"/>
              <w:jc w:val="left"/>
            </w:pPr>
            <w:r>
              <w:rPr>
                <w:b w:val="0"/>
              </w:rPr>
              <w:t>-0.0709</w:t>
            </w:r>
          </w:p>
        </w:tc>
      </w:tr>
      <w:tr>
        <w:tc>
          <w:tcPr>
            <w:tcW w:type="dxa" w:w="2981"/>
          </w:tcPr>
          <w:p>
            <w:pPr>
              <w:pStyle w:val="Compact"/>
              <w:jc w:val="left"/>
            </w:pPr>
            <w:r>
              <w:rPr>
                <w:b w:val="0"/>
              </w:rPr>
              <w:t>gpt-oss:20b_kb_rag</w:t>
            </w:r>
          </w:p>
        </w:tc>
        <w:tc>
          <w:tcPr>
            <w:tcW w:type="dxa" w:w="3194"/>
          </w:tcPr>
          <w:p>
            <w:pPr>
              <w:pStyle w:val="Compact"/>
              <w:jc w:val="left"/>
            </w:pPr>
            <w:r>
              <w:rPr>
                <w:b w:val="0"/>
              </w:rPr>
              <w:t>+0.0511</w:t>
            </w:r>
          </w:p>
        </w:tc>
        <w:tc>
          <w:tcPr>
            <w:tcW w:type="dxa" w:w="2663"/>
          </w:tcPr>
          <w:p>
            <w:pPr>
              <w:pStyle w:val="Compact"/>
              <w:jc w:val="left"/>
            </w:pPr>
            <w:r>
              <w:rPr>
                <w:b w:val="0"/>
              </w:rPr>
              <w:t>-0.0997</w:t>
            </w:r>
          </w:p>
        </w:tc>
      </w:tr>
      <w:tr>
        <w:tc>
          <w:tcPr>
            <w:tcW w:type="dxa" w:w="2981"/>
          </w:tcPr>
          <w:p>
            <w:pPr>
              <w:pStyle w:val="Compact"/>
              <w:jc w:val="left"/>
            </w:pPr>
            <w:r>
              <w:rPr>
                <w:b w:val="0"/>
              </w:rPr>
              <w:t>gemma:latest_baseline</w:t>
            </w:r>
          </w:p>
        </w:tc>
        <w:tc>
          <w:tcPr>
            <w:tcW w:type="dxa" w:w="3194"/>
          </w:tcPr>
          <w:p>
            <w:pPr>
              <w:pStyle w:val="Compact"/>
              <w:jc w:val="left"/>
            </w:pPr>
            <w:r>
              <w:rPr>
                <w:b w:val="0"/>
              </w:rPr>
              <w:t>+0.0409</w:t>
            </w:r>
          </w:p>
        </w:tc>
        <w:tc>
          <w:tcPr>
            <w:tcW w:type="dxa" w:w="2663"/>
          </w:tcPr>
          <w:p>
            <w:pPr>
              <w:pStyle w:val="Compact"/>
              <w:jc w:val="left"/>
            </w:pPr>
            <w:r>
              <w:rPr>
                <w:b w:val="0"/>
              </w:rPr>
              <w:t>-0.1678</w:t>
            </w:r>
          </w:p>
        </w:tc>
      </w:tr>
      <w:tr>
        <w:tc>
          <w:tcPr>
            <w:tcW w:type="dxa" w:w="2981"/>
          </w:tcPr>
          <w:p>
            <w:pPr>
              <w:pStyle w:val="Compact"/>
              <w:jc w:val="left"/>
            </w:pPr>
            <w:r>
              <w:rPr>
                <w:b w:val="0"/>
              </w:rPr>
              <w:t>qwen2.5:14b_kb_rag</w:t>
            </w:r>
          </w:p>
        </w:tc>
        <w:tc>
          <w:tcPr>
            <w:tcW w:type="dxa" w:w="3194"/>
          </w:tcPr>
          <w:p>
            <w:pPr>
              <w:pStyle w:val="Compact"/>
              <w:jc w:val="left"/>
            </w:pPr>
            <w:r>
              <w:rPr>
                <w:b w:val="0"/>
              </w:rPr>
              <w:t>+0.0380</w:t>
            </w:r>
          </w:p>
        </w:tc>
        <w:tc>
          <w:tcPr>
            <w:tcW w:type="dxa" w:w="2663"/>
          </w:tcPr>
          <w:p>
            <w:pPr>
              <w:pStyle w:val="Compact"/>
              <w:jc w:val="left"/>
            </w:pPr>
            <w:r>
              <w:rPr>
                <w:b w:val="0"/>
              </w:rPr>
              <w:t>-0.0887</w:t>
            </w:r>
          </w:p>
        </w:tc>
      </w:tr>
      <w:tr>
        <w:tc>
          <w:tcPr>
            <w:tcW w:type="dxa" w:w="2981"/>
          </w:tcPr>
          <w:p>
            <w:pPr>
              <w:pStyle w:val="Compact"/>
              <w:jc w:val="left"/>
            </w:pPr>
            <w:r>
              <w:rPr>
                <w:b w:val="0"/>
              </w:rPr>
              <w:t>llama3.2:latest_kb_rag</w:t>
            </w:r>
          </w:p>
        </w:tc>
        <w:tc>
          <w:tcPr>
            <w:tcW w:type="dxa" w:w="3194"/>
          </w:tcPr>
          <w:p>
            <w:pPr>
              <w:pStyle w:val="Compact"/>
              <w:jc w:val="left"/>
            </w:pPr>
            <w:r>
              <w:rPr>
                <w:b w:val="0"/>
              </w:rPr>
              <w:t>+0.0254</w:t>
            </w:r>
          </w:p>
        </w:tc>
        <w:tc>
          <w:tcPr>
            <w:tcW w:type="dxa" w:w="2663"/>
          </w:tcPr>
          <w:p>
            <w:pPr>
              <w:pStyle w:val="Compact"/>
              <w:jc w:val="left"/>
            </w:pPr>
            <w:r>
              <w:rPr>
                <w:b w:val="0"/>
              </w:rPr>
              <w:t>-0.1130</w:t>
            </w:r>
          </w:p>
        </w:tc>
      </w:tr>
      <w:tr>
        <w:tc>
          <w:tcPr>
            <w:tcW w:type="dxa" w:w="2981"/>
          </w:tcPr>
          <w:p>
            <w:pPr>
              <w:pStyle w:val="Compact"/>
              <w:jc w:val="left"/>
            </w:pPr>
            <w:r>
              <w:rPr>
                <w:b w:val="0"/>
              </w:rPr>
              <w:t>llama3.1:8b_kb_rag</w:t>
            </w:r>
          </w:p>
        </w:tc>
        <w:tc>
          <w:tcPr>
            <w:tcW w:type="dxa" w:w="3194"/>
          </w:tcPr>
          <w:p>
            <w:pPr>
              <w:pStyle w:val="Compact"/>
              <w:jc w:val="left"/>
            </w:pPr>
            <w:r>
              <w:rPr>
                <w:b w:val="0"/>
              </w:rPr>
              <w:t>+0.0186</w:t>
            </w:r>
          </w:p>
        </w:tc>
        <w:tc>
          <w:tcPr>
            <w:tcW w:type="dxa" w:w="2663"/>
          </w:tcPr>
          <w:p>
            <w:pPr>
              <w:pStyle w:val="Compact"/>
              <w:jc w:val="left"/>
            </w:pPr>
            <w:r>
              <w:rPr>
                <w:b w:val="0"/>
              </w:rPr>
              <w:t>-0.1428</w:t>
            </w:r>
          </w:p>
        </w:tc>
      </w:tr>
      <w:tr>
        <w:tc>
          <w:tcPr>
            <w:tcW w:type="dxa" w:w="2981"/>
          </w:tcPr>
          <w:p>
            <w:pPr>
              <w:pStyle w:val="Compact"/>
              <w:jc w:val="left"/>
            </w:pPr>
            <w:r>
              <w:rPr>
                <w:b w:val="0"/>
              </w:rPr>
              <w:t>mistral-nemo:latest_kb_rag</w:t>
            </w:r>
          </w:p>
        </w:tc>
        <w:tc>
          <w:tcPr>
            <w:tcW w:type="dxa" w:w="3194"/>
          </w:tcPr>
          <w:p>
            <w:pPr>
              <w:pStyle w:val="Compact"/>
              <w:jc w:val="left"/>
            </w:pPr>
            <w:r>
              <w:rPr>
                <w:b w:val="0"/>
              </w:rPr>
              <w:t>+0.0122</w:t>
            </w:r>
          </w:p>
        </w:tc>
        <w:tc>
          <w:tcPr>
            <w:tcW w:type="dxa" w:w="2663"/>
          </w:tcPr>
          <w:p>
            <w:pPr>
              <w:pStyle w:val="Compact"/>
              <w:jc w:val="left"/>
            </w:pPr>
            <w:r>
              <w:rPr>
                <w:b w:val="0"/>
              </w:rPr>
              <w:t>-0.1256</w:t>
            </w:r>
          </w:p>
        </w:tc>
      </w:tr>
      <w:tr>
        <w:tc>
          <w:tcPr>
            <w:tcW w:type="dxa" w:w="2981"/>
          </w:tcPr>
          <w:p>
            <w:pPr>
              <w:pStyle w:val="Compact"/>
              <w:jc w:val="left"/>
            </w:pPr>
            <w:r>
              <w:rPr>
                <w:b w:val="0"/>
              </w:rPr>
              <w:t>qwen3:8b_baseline</w:t>
            </w:r>
          </w:p>
        </w:tc>
        <w:tc>
          <w:tcPr>
            <w:tcW w:type="dxa" w:w="3194"/>
          </w:tcPr>
          <w:p>
            <w:pPr>
              <w:pStyle w:val="Compact"/>
              <w:jc w:val="left"/>
            </w:pPr>
            <w:r>
              <w:rPr>
                <w:b w:val="0"/>
              </w:rPr>
              <w:t>-0.0076</w:t>
            </w:r>
          </w:p>
        </w:tc>
        <w:tc>
          <w:tcPr>
            <w:tcW w:type="dxa" w:w="2663"/>
          </w:tcPr>
          <w:p>
            <w:pPr>
              <w:pStyle w:val="Compact"/>
              <w:jc w:val="left"/>
            </w:pPr>
            <w:r>
              <w:rPr>
                <w:b w:val="0"/>
              </w:rPr>
              <w:t>-0.1359</w:t>
            </w:r>
          </w:p>
        </w:tc>
      </w:tr>
      <w:tr>
        <w:tc>
          <w:tcPr>
            <w:tcW w:type="dxa" w:w="2981"/>
          </w:tcPr>
          <w:p>
            <w:pPr>
              <w:pStyle w:val="Compact"/>
              <w:jc w:val="left"/>
            </w:pPr>
            <w:r>
              <w:rPr>
                <w:b w:val="0"/>
              </w:rPr>
              <w:t>deepseek-r1:1.5b_baseline</w:t>
            </w:r>
          </w:p>
        </w:tc>
        <w:tc>
          <w:tcPr>
            <w:tcW w:type="dxa" w:w="3194"/>
          </w:tcPr>
          <w:p>
            <w:pPr>
              <w:pStyle w:val="Compact"/>
              <w:jc w:val="left"/>
            </w:pPr>
            <w:r>
              <w:rPr>
                <w:b w:val="0"/>
              </w:rPr>
              <w:t>-0.0124</w:t>
            </w:r>
          </w:p>
        </w:tc>
        <w:tc>
          <w:tcPr>
            <w:tcW w:type="dxa" w:w="2663"/>
          </w:tcPr>
          <w:p>
            <w:pPr>
              <w:pStyle w:val="Compact"/>
              <w:jc w:val="left"/>
            </w:pPr>
            <w:r>
              <w:rPr>
                <w:b w:val="0"/>
              </w:rPr>
              <w:t>+0.0028</w:t>
            </w:r>
          </w:p>
        </w:tc>
      </w:tr>
      <w:tr>
        <w:tc>
          <w:tcPr>
            <w:tcW w:type="dxa" w:w="2981"/>
          </w:tcPr>
          <w:p>
            <w:pPr>
              <w:pStyle w:val="Compact"/>
              <w:jc w:val="left"/>
            </w:pPr>
            <w:r>
              <w:rPr>
                <w:b w:val="0"/>
              </w:rPr>
              <w:t>nemotron-mini:4b_baseline</w:t>
            </w:r>
          </w:p>
        </w:tc>
        <w:tc>
          <w:tcPr>
            <w:tcW w:type="dxa" w:w="3194"/>
          </w:tcPr>
          <w:p>
            <w:pPr>
              <w:pStyle w:val="Compact"/>
              <w:jc w:val="left"/>
            </w:pPr>
            <w:r>
              <w:rPr>
                <w:b w:val="0"/>
              </w:rPr>
              <w:t>-0.0477</w:t>
            </w:r>
          </w:p>
        </w:tc>
        <w:tc>
          <w:tcPr>
            <w:tcW w:type="dxa" w:w="2663"/>
          </w:tcPr>
          <w:p>
            <w:pPr>
              <w:pStyle w:val="Compact"/>
              <w:jc w:val="left"/>
            </w:pPr>
            <w:r>
              <w:rPr>
                <w:b w:val="0"/>
              </w:rPr>
              <w:t>-0.1942</w:t>
            </w:r>
          </w:p>
        </w:tc>
      </w:tr>
      <w:tr>
        <w:tc>
          <w:tcPr>
            <w:tcW w:type="dxa" w:w="2981"/>
          </w:tcPr>
          <w:p>
            <w:pPr>
              <w:pStyle w:val="Compact"/>
              <w:jc w:val="left"/>
            </w:pPr>
            <w:r>
              <w:rPr>
                <w:b w:val="0"/>
              </w:rPr>
              <w:t>deepseek-r1:1.5b_kb_rag</w:t>
            </w:r>
          </w:p>
        </w:tc>
        <w:tc>
          <w:tcPr>
            <w:tcW w:type="dxa" w:w="3194"/>
          </w:tcPr>
          <w:p>
            <w:pPr>
              <w:pStyle w:val="Compact"/>
              <w:jc w:val="left"/>
            </w:pPr>
            <w:r>
              <w:rPr>
                <w:b w:val="0"/>
              </w:rPr>
              <w:t>-0.0717</w:t>
            </w:r>
          </w:p>
        </w:tc>
        <w:tc>
          <w:tcPr>
            <w:tcW w:type="dxa" w:w="2663"/>
          </w:tcPr>
          <w:p>
            <w:pPr>
              <w:pStyle w:val="Compact"/>
              <w:jc w:val="left"/>
            </w:pPr>
            <w:r>
              <w:rPr>
                <w:b w:val="0"/>
              </w:rPr>
              <w:t>-0.1796</w:t>
            </w:r>
          </w:p>
        </w:tc>
      </w:tr>
      <w:tr>
        <w:tc>
          <w:tcPr>
            <w:tcW w:type="dxa" w:w="2981"/>
          </w:tcPr>
          <w:p>
            <w:pPr>
              <w:pStyle w:val="Compact"/>
              <w:jc w:val="left"/>
            </w:pPr>
            <w:r>
              <w:rPr>
                <w:b w:val="0"/>
              </w:rPr>
              <w:t>llama3.2:latest_baseline</w:t>
            </w:r>
          </w:p>
        </w:tc>
        <w:tc>
          <w:tcPr>
            <w:tcW w:type="dxa" w:w="3194"/>
          </w:tcPr>
          <w:p>
            <w:pPr>
              <w:pStyle w:val="Compact"/>
              <w:jc w:val="left"/>
            </w:pPr>
            <w:r>
              <w:rPr>
                <w:b w:val="0"/>
              </w:rPr>
              <w:t>-0.0816</w:t>
            </w:r>
          </w:p>
        </w:tc>
        <w:tc>
          <w:tcPr>
            <w:tcW w:type="dxa" w:w="2663"/>
          </w:tcPr>
          <w:p>
            <w:pPr>
              <w:pStyle w:val="Compact"/>
              <w:jc w:val="left"/>
            </w:pPr>
            <w:r>
              <w:rPr>
                <w:b w:val="0"/>
              </w:rPr>
              <w:t>-0.2665</w:t>
            </w:r>
          </w:p>
        </w:tc>
      </w:tr>
    </w:tbl>
    <w:p>
      <w:pPr>
        <w:numPr>
          <w:ilvl w:val="0"/>
          <w:numId w:val="0"/>
        </w:numPr>
        <w:pStyle w:val="Normal"/>
      </w:pPr>
      <w:r>
        <w:t xml:space="preserve">Los dos criterios apuntan en direcciones opuestas y de forma sistemática: </w:t>
      </w:r>
      <w:r>
        <w:rPr>
          <w:b/>
        </w:rPr>
        <w:t>veintiuna de las veintiséis configuraciones puntúan mejor</w:t>
      </w:r>
      <w:r>
        <w:t xml:space="preserve"> en los artículos cuya anotación de referencia está corrompida, y </w:t>
      </w:r>
      <w:r>
        <w:rPr>
          <w:b/>
        </w:rPr>
        <w:t>veintitrés puntúan peor</w:t>
      </w:r>
      <w:r>
        <w:t xml:space="preserve"> en aquellos cuyo texto lo está. La lectura es coherente con el mecanismo del cotejo difuso. Cuando la corrupción está en la referencia, el corpus premia la transcripción literal de los bytes y penaliza al modelo que escribe el nombre correctamente, porque </w:t>
      </w:r>
      <w:r>
        <w:t>José Bono</w:t>
      </w:r>
      <w:r>
        <w:t xml:space="preserve"> no casa con </w:t>
      </w:r>
      <w:r>
        <w:t>JosÃ© Bono</w:t>
      </w:r>
      <w:r>
        <w:t>. Cuando está en el texto de entrada, en cambio, dificulta la extracción para todos.</w:t>
      </w:r>
    </w:p>
    <w:p>
      <w:pPr>
        <w:numPr>
          <w:ilvl w:val="0"/>
          <w:numId w:val="0"/>
        </w:numPr>
        <w:pStyle w:val="BodyText"/>
      </w:pPr>
      <w:r>
        <w:rPr>
          <w:b/>
        </w:rPr>
        <w:t>Cautela metodológica, y dos advertencias sobre versiones anteriores de esta tabla.</w:t>
      </w:r>
      <w:r>
        <w:t xml:space="preserve"> Los artículos afectados podrían ser además más largos o intrínsecamente más difíciles, lo que confundiría la magnitud absoluta de cada diferencia; el sentido del efecto, sin embargo, es consistente dentro de cada criterio. Una primera versión declaraba una partición de 88 artículos afectados y 31 no —cuya suma es 119 y no 120— y unas diferencias que no se reproducen con ninguno de los dos criterios. Una segunda tomaba para </w:t>
      </w:r>
      <w:r>
        <w:t>gemma4:12b-mlx</w:t>
      </w:r>
      <w:r>
        <w:t xml:space="preserve"> la corrida averiada por el modo de razonamiento, y de ahí salía un valor extremo de +0,1795 por criterio de texto que era artefacto de configuración y no efecto de la codificación. Con la corrida sana, el máximo por ese criterio baja a +0.0152. Se conservan estas notas para que ambas correcciones queden trazables.</w:t>
      </w:r>
    </w:p>
    <w:p>
      <w:pPr>
        <w:numPr>
          <w:ilvl w:val="0"/>
          <w:numId w:val="0"/>
        </w:numPr>
        <w:pStyle w:val="Heading3"/>
      </w:pPr>
      <w:r>
        <w:t>H.4 Cómo debe repararse</w:t>
      </w:r>
    </w:p>
    <w:p>
      <w:pPr>
        <w:numPr>
          <w:ilvl w:val="0"/>
          <w:numId w:val="0"/>
        </w:numPr>
        <w:pStyle w:val="BodyText"/>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Normal"/>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(§5.3.1) y como línea de trabajo futuro (§7.2, punto 7).</w:t>
      </w:r>
    </w:p>
    <w:p>
      <w:pPr>
        <w:numPr>
          <w:ilvl w:val="0"/>
          <w:numId w:val="0"/>
        </w:numPr>
        <w:pStyle w:val="Heading3"/>
      </w:pPr>
      <w:r>
        <w:t>H.5 Implicaciones para la evaluación de sistemas NER</w:t>
      </w:r>
    </w:p>
    <w:p>
      <w:pPr>
        <w:numPr>
          <w:ilvl w:val="0"/>
          <w:numId w:val="0"/>
        </w:numPr>
        <w:pStyle w:val="BodyText"/>
      </w:pPr>
      <w:r>
        <w:rPr>
          <w:b/>
        </w:rPr>
        <w:t>Verificar la codificación de la entrada, no solo la de la referencia.</w:t>
      </w:r>
      <w:r>
        <w:t xml:space="preserve"> Un defecto presente en ambas no se comporta como el mismo defecto presente en una sola.</w:t>
      </w:r>
    </w:p>
    <w:p>
      <w:pPr>
        <w:numPr>
          <w:ilvl w:val="0"/>
          <w:numId w:val="0"/>
        </w:numPr>
        <w:pStyle w:val="BodyText"/>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BodyText"/>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BodyText"/>
      </w:pPr>
      <w:r>
        <w:rPr>
          <w:b/>
        </w:rPr>
        <w:t>Aplicar toda corrección de forma uniforme.</w:t>
      </w:r>
      <w:r>
        <w:t xml:space="preserve"> Reparar el corpus para un solo modelo lo mediría con una vara distinta de la del resto e invalidaría la comparación.</w:t>
      </w:r>
    </w:p>
    <w:p>
      <w:pPr>
        <w:numPr>
          <w:ilvl w:val="0"/>
          <w:numId w:val="0"/>
        </w:numPr>
        <w:pStyle w:val="Normal"/>
      </w:pPr>
      <w:r>
        <w:rPr>
          <w:i/>
        </w:rPr>
        <w:t>Informe Final de Tesina — Magíster en Tecnologías de la Información (MTI)</w:t>
      </w:r>
      <w:r>
        <w:t xml:space="preserve"> </w:t>
      </w:r>
      <w:r>
        <w:rPr>
          <w:i/>
        </w:rPr>
        <w:t>Universidad Técnica Federico Santa María — Valparaíso, Chile</w:t>
      </w:r>
      <w:r>
        <w:t xml:space="preserve"> </w:t>
      </w:r>
      <w:r>
        <w:rPr>
          <w:i/>
        </w:rPr>
        <w:t>Septiembre de 2026</w:t>
      </w:r>
    </w:p>
    <w:p>
      <w:pPr>
        <w:numPr>
          <w:ilvl w:val="0"/>
          <w:numId w:val="0"/>
        </w:numPr>
        <w:pStyle w:val="Heading2"/>
      </w:pPr>
      <w:r>
        <w:t>Anexo I — Medición restringida a las categorías anotadas por el corpus</w:t>
      </w:r>
    </w:p>
    <w:p>
      <w:pPr>
        <w:numPr>
          <w:ilvl w:val="0"/>
          <w:numId w:val="0"/>
        </w:numPr>
        <w:pStyle w:val="BodyText"/>
      </w:pPr>
      <w:r>
        <w:t xml:space="preserve">Los prompts solicitan tres categorías de entidad y los corpus anotan dos, de modo que toda localización extraída se contabiliza como falso positivo (§3.3). Esta tabla acompaña cada cifra publicada de su equivalente restringido a las categorías que el corpus efectivamente anota. Se obtuvo reagregando los desgloses por tipo ya almacenados en los resultados por corrida, </w:t>
      </w:r>
      <w:r>
        <w:rPr>
          <w:b/>
        </w:rPr>
        <w:t>sin repetir la inferencia</w:t>
      </w:r>
      <w:r>
        <w:t>, tomando por configuración la corrida más reciente que aporta exactamente 120 registros. La exhaustividad es idéntica en ambas columnas porque el corpus no anota localizaciones y, por tanto, tampoco puede omitirlas: la corrección afecta solo a la precisión. La Tabla 19 acompaña cada cifra publicada de su equivalente restringido.</w:t>
      </w:r>
    </w:p>
    <w:p>
      <w:pPr>
        <w:numPr>
          <w:ilvl w:val="0"/>
          <w:numId w:val="0"/>
        </w:numPr>
        <w:pStyle w:val="TableCaption"/>
      </w:pPr>
      <w:r>
        <w:t>Tabla 19. Desempeño publicado y desempeño restringido a personas y organizaciones (N=120, 42 configuraciones)</w:t>
      </w:r>
    </w:p>
    <w:tbl>
      <w:tblPr>
        <w:tblStyle w:val="Table"/>
        <w:tblW w:type="pct" w:w="5000.0"/>
        <w:tblLook w:firstRow="1"/>
      </w:tblPr>
      <w:tblGrid>
        <w:gridCol w:w="2322"/>
        <w:gridCol w:w="1116"/>
        <w:gridCol w:w="900"/>
        <w:gridCol w:w="900"/>
        <w:gridCol w:w="900"/>
        <w:gridCol w:w="900"/>
        <w:gridCol w:w="900"/>
        <w:gridCol w:w="900"/>
      </w:tblGrid>
      <w:tr>
        <w:trPr>
          <w:cnfStyle w:firstRow="1"/>
        </w:trPr>
        <w:tc>
          <w:tcPr>
            <w:tcW w:type="dxa" w:w="2322"/>
            <w:tcBorders>
              <w:bottom w:val="single"/>
            </w:tcBorders>
            <w:vAlign w:val="bottom"/>
          </w:tcPr>
          <w:p>
            <w:pPr>
              <w:pStyle w:val="Compact"/>
              <w:jc w:val="left"/>
            </w:pPr>
            <w:r>
              <w:rPr>
                <w:b/>
              </w:rPr>
              <w:t>Configuración</w:t>
            </w:r>
          </w:p>
        </w:tc>
        <w:tc>
          <w:tcPr>
            <w:tcW w:type="dxa" w:w="1116"/>
            <w:tcBorders>
              <w:bottom w:val="single"/>
            </w:tcBorders>
            <w:vAlign w:val="bottom"/>
          </w:tcPr>
          <w:p>
            <w:pPr>
              <w:pStyle w:val="Compact"/>
              <w:jc w:val="left"/>
            </w:pPr>
            <w:r>
              <w:rPr>
                <w:b/>
              </w:rPr>
              <w:t>Corrida</w:t>
            </w:r>
          </w:p>
        </w:tc>
        <w:tc>
          <w:tcPr>
            <w:tcW w:type="dxa" w:w="900"/>
            <w:tcBorders>
              <w:bottom w:val="single"/>
            </w:tcBorders>
            <w:vAlign w:val="bottom"/>
          </w:tcPr>
          <w:p>
            <w:pPr>
              <w:pStyle w:val="Compact"/>
              <w:jc w:val="left"/>
            </w:pPr>
            <w:r>
              <w:rPr>
                <w:b/>
              </w:rPr>
              <w:t>P</w:t>
            </w:r>
          </w:p>
        </w:tc>
        <w:tc>
          <w:tcPr>
            <w:tcW w:type="dxa" w:w="900"/>
            <w:tcBorders>
              <w:bottom w:val="single"/>
            </w:tcBorders>
            <w:vAlign w:val="bottom"/>
          </w:tcPr>
          <w:p>
            <w:pPr>
              <w:pStyle w:val="Compact"/>
              <w:jc w:val="center"/>
            </w:pPr>
            <w:r>
              <w:rPr>
                <w:b/>
              </w:rPr>
              <w:t>R</w:t>
            </w:r>
          </w:p>
        </w:tc>
        <w:tc>
          <w:tcPr>
            <w:tcW w:type="dxa" w:w="900"/>
            <w:tcBorders>
              <w:bottom w:val="single"/>
            </w:tcBorders>
            <w:vAlign w:val="bottom"/>
          </w:tcPr>
          <w:p>
            <w:pPr>
              <w:pStyle w:val="Compact"/>
              <w:jc w:val="center"/>
            </w:pPr>
            <w:r>
              <w:rPr>
                <w:b/>
              </w:rPr>
              <w:t>F1</w:t>
            </w:r>
          </w:p>
        </w:tc>
        <w:tc>
          <w:tcPr>
            <w:tcW w:type="dxa" w:w="900"/>
            <w:tcBorders>
              <w:bottom w:val="single"/>
            </w:tcBorders>
            <w:vAlign w:val="bottom"/>
          </w:tcPr>
          <w:p>
            <w:pPr>
              <w:pStyle w:val="Compact"/>
              <w:jc w:val="left"/>
            </w:pPr>
            <w:r>
              <w:rPr>
                <w:b/>
              </w:rPr>
              <w:t>P restr.</w:t>
            </w:r>
          </w:p>
        </w:tc>
        <w:tc>
          <w:tcPr>
            <w:tcW w:type="dxa" w:w="900"/>
            <w:tcBorders>
              <w:bottom w:val="single"/>
            </w:tcBorders>
            <w:vAlign w:val="bottom"/>
          </w:tcPr>
          <w:p>
            <w:pPr>
              <w:pStyle w:val="Compact"/>
              <w:jc w:val="left"/>
            </w:pPr>
            <w:r>
              <w:rPr>
                <w:b/>
              </w:rPr>
              <w:t>F1 restr.</w:t>
            </w:r>
          </w:p>
        </w:tc>
        <w:tc>
          <w:tcPr>
            <w:tcW w:type="dxa" w:w="900"/>
            <w:tcBorders>
              <w:bottom w:val="single"/>
            </w:tcBorders>
            <w:vAlign w:val="bottom"/>
          </w:tcPr>
          <w:p>
            <w:pPr>
              <w:pStyle w:val="Compact"/>
              <w:jc w:val="left"/>
            </w:pPr>
            <w:r>
              <w:rPr>
                <w:b/>
              </w:rPr>
              <w:t>Δ F1</w:t>
            </w:r>
          </w:p>
        </w:tc>
      </w:tr>
      <w:tr>
        <w:tc>
          <w:tcPr>
            <w:tcW w:type="dxa" w:w="2322"/>
          </w:tcPr>
          <w:p>
            <w:pPr>
              <w:pStyle w:val="Compact"/>
              <w:jc w:val="left"/>
            </w:pPr>
            <w:r>
              <w:rPr>
                <w:b w:val="0"/>
              </w:rPr>
              <w:t>gemma4:31b-cloud_baseline</w:t>
            </w:r>
          </w:p>
        </w:tc>
        <w:tc>
          <w:tcPr>
            <w:tcW w:type="dxa" w:w="1116"/>
          </w:tcPr>
          <w:p>
            <w:pPr>
              <w:pStyle w:val="Compact"/>
              <w:jc w:val="left"/>
            </w:pPr>
            <w:r>
              <w:rPr>
                <w:b w:val="0"/>
              </w:rPr>
              <w:t>gemma4_31b_cloud_n120_REMOTO</w:t>
            </w:r>
          </w:p>
        </w:tc>
        <w:tc>
          <w:tcPr>
            <w:tcW w:type="dxa" w:w="900"/>
          </w:tcPr>
          <w:p>
            <w:pPr>
              <w:pStyle w:val="Compact"/>
              <w:jc w:val="left"/>
            </w:pPr>
            <w:r>
              <w:rPr>
                <w:b w:val="0"/>
              </w:rPr>
              <w:t>55.80</w:t>
            </w:r>
          </w:p>
        </w:tc>
        <w:tc>
          <w:tcPr>
            <w:tcW w:type="dxa" w:w="900"/>
          </w:tcPr>
          <w:p>
            <w:pPr>
              <w:pStyle w:val="Compact"/>
              <w:jc w:val="center"/>
            </w:pPr>
            <w:r>
              <w:rPr>
                <w:b w:val="0"/>
              </w:rPr>
              <w:t>75.30</w:t>
            </w:r>
          </w:p>
        </w:tc>
        <w:tc>
          <w:tcPr>
            <w:tcW w:type="dxa" w:w="900"/>
          </w:tcPr>
          <w:p>
            <w:pPr>
              <w:pStyle w:val="Compact"/>
              <w:jc w:val="center"/>
            </w:pPr>
            <w:r>
              <w:rPr>
                <w:b w:val="0"/>
              </w:rPr>
              <w:t>62.38</w:t>
            </w:r>
          </w:p>
        </w:tc>
        <w:tc>
          <w:tcPr>
            <w:tcW w:type="dxa" w:w="900"/>
          </w:tcPr>
          <w:p>
            <w:pPr>
              <w:pStyle w:val="Compact"/>
              <w:jc w:val="left"/>
            </w:pPr>
            <w:r>
              <w:rPr>
                <w:b w:val="0"/>
              </w:rPr>
              <w:t>85.51</w:t>
            </w:r>
          </w:p>
        </w:tc>
        <w:tc>
          <w:tcPr>
            <w:tcW w:type="dxa" w:w="900"/>
          </w:tcPr>
          <w:p>
            <w:pPr>
              <w:pStyle w:val="Compact"/>
              <w:jc w:val="left"/>
            </w:pPr>
            <w:r>
              <w:rPr>
                <w:b w:val="0"/>
              </w:rPr>
              <w:t>80.42</w:t>
            </w:r>
          </w:p>
        </w:tc>
        <w:tc>
          <w:tcPr>
            <w:tcW w:type="dxa" w:w="900"/>
          </w:tcPr>
          <w:p>
            <w:pPr>
              <w:pStyle w:val="Compact"/>
              <w:jc w:val="left"/>
            </w:pPr>
            <w:r>
              <w:rPr>
                <w:b w:val="0"/>
              </w:rPr>
              <w:t>+18.03</w:t>
            </w:r>
          </w:p>
        </w:tc>
      </w:tr>
      <w:tr>
        <w:tc>
          <w:tcPr>
            <w:tcW w:type="dxa" w:w="2322"/>
          </w:tcPr>
          <w:p>
            <w:pPr>
              <w:pStyle w:val="Compact"/>
              <w:jc w:val="left"/>
            </w:pPr>
            <w:r>
              <w:rPr>
                <w:b w:val="0"/>
              </w:rPr>
              <w:t>gemma4:31b-cloud_kb_rag</w:t>
            </w:r>
          </w:p>
        </w:tc>
        <w:tc>
          <w:tcPr>
            <w:tcW w:type="dxa" w:w="1116"/>
          </w:tcPr>
          <w:p>
            <w:pPr>
              <w:pStyle w:val="Compact"/>
              <w:jc w:val="left"/>
            </w:pPr>
            <w:r>
              <w:rPr>
                <w:b w:val="0"/>
              </w:rPr>
              <w:t>gemma4_31b_cloud_n120_REMOTO</w:t>
            </w:r>
          </w:p>
        </w:tc>
        <w:tc>
          <w:tcPr>
            <w:tcW w:type="dxa" w:w="900"/>
          </w:tcPr>
          <w:p>
            <w:pPr>
              <w:pStyle w:val="Compact"/>
              <w:jc w:val="left"/>
            </w:pPr>
            <w:r>
              <w:rPr>
                <w:b w:val="0"/>
              </w:rPr>
              <w:t>54.92</w:t>
            </w:r>
          </w:p>
        </w:tc>
        <w:tc>
          <w:tcPr>
            <w:tcW w:type="dxa" w:w="900"/>
          </w:tcPr>
          <w:p>
            <w:pPr>
              <w:pStyle w:val="Compact"/>
              <w:jc w:val="center"/>
            </w:pPr>
            <w:r>
              <w:rPr>
                <w:b w:val="0"/>
              </w:rPr>
              <w:t>75.11</w:t>
            </w:r>
          </w:p>
        </w:tc>
        <w:tc>
          <w:tcPr>
            <w:tcW w:type="dxa" w:w="900"/>
          </w:tcPr>
          <w:p>
            <w:pPr>
              <w:pStyle w:val="Compact"/>
              <w:jc w:val="center"/>
            </w:pPr>
            <w:r>
              <w:rPr>
                <w:b w:val="0"/>
              </w:rPr>
              <w:t>61.85</w:t>
            </w:r>
          </w:p>
        </w:tc>
        <w:tc>
          <w:tcPr>
            <w:tcW w:type="dxa" w:w="900"/>
          </w:tcPr>
          <w:p>
            <w:pPr>
              <w:pStyle w:val="Compact"/>
              <w:jc w:val="left"/>
            </w:pPr>
            <w:r>
              <w:rPr>
                <w:b w:val="0"/>
              </w:rPr>
              <w:t>82.40</w:t>
            </w:r>
          </w:p>
        </w:tc>
        <w:tc>
          <w:tcPr>
            <w:tcW w:type="dxa" w:w="900"/>
          </w:tcPr>
          <w:p>
            <w:pPr>
              <w:pStyle w:val="Compact"/>
              <w:jc w:val="left"/>
            </w:pPr>
            <w:r>
              <w:rPr>
                <w:b w:val="0"/>
              </w:rPr>
              <w:t>78.89</w:t>
            </w:r>
          </w:p>
        </w:tc>
        <w:tc>
          <w:tcPr>
            <w:tcW w:type="dxa" w:w="900"/>
          </w:tcPr>
          <w:p>
            <w:pPr>
              <w:pStyle w:val="Compact"/>
              <w:jc w:val="left"/>
            </w:pPr>
            <w:r>
              <w:rPr>
                <w:b w:val="0"/>
              </w:rPr>
              <w:t>+17.05</w:t>
            </w:r>
          </w:p>
        </w:tc>
      </w:tr>
      <w:tr>
        <w:tc>
          <w:tcPr>
            <w:tcW w:type="dxa" w:w="2322"/>
          </w:tcPr>
          <w:p>
            <w:pPr>
              <w:pStyle w:val="Compact"/>
              <w:jc w:val="left"/>
            </w:pPr>
            <w:r>
              <w:rPr>
                <w:b w:val="0"/>
              </w:rPr>
              <w:t>gemma4:31b-mlx_baseline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52.89</w:t>
            </w:r>
          </w:p>
        </w:tc>
        <w:tc>
          <w:tcPr>
            <w:tcW w:type="dxa" w:w="900"/>
          </w:tcPr>
          <w:p>
            <w:pPr>
              <w:pStyle w:val="Compact"/>
              <w:jc w:val="center"/>
            </w:pPr>
            <w:r>
              <w:rPr>
                <w:b w:val="0"/>
              </w:rPr>
              <w:t>72.35</w:t>
            </w:r>
          </w:p>
        </w:tc>
        <w:tc>
          <w:tcPr>
            <w:tcW w:type="dxa" w:w="900"/>
          </w:tcPr>
          <w:p>
            <w:pPr>
              <w:pStyle w:val="Compact"/>
              <w:jc w:val="center"/>
            </w:pPr>
            <w:r>
              <w:rPr>
                <w:b w:val="0"/>
              </w:rPr>
              <w:t>59.25</w:t>
            </w:r>
          </w:p>
        </w:tc>
        <w:tc>
          <w:tcPr>
            <w:tcW w:type="dxa" w:w="900"/>
          </w:tcPr>
          <w:p>
            <w:pPr>
              <w:pStyle w:val="Compact"/>
              <w:jc w:val="left"/>
            </w:pPr>
            <w:r>
              <w:rPr>
                <w:b w:val="0"/>
              </w:rPr>
              <w:t>80.85</w:t>
            </w:r>
          </w:p>
        </w:tc>
        <w:tc>
          <w:tcPr>
            <w:tcW w:type="dxa" w:w="900"/>
          </w:tcPr>
          <w:p>
            <w:pPr>
              <w:pStyle w:val="Compact"/>
              <w:jc w:val="left"/>
            </w:pPr>
            <w:r>
              <w:rPr>
                <w:b w:val="0"/>
              </w:rPr>
              <w:t>76.55</w:t>
            </w:r>
          </w:p>
        </w:tc>
        <w:tc>
          <w:tcPr>
            <w:tcW w:type="dxa" w:w="900"/>
          </w:tcPr>
          <w:p>
            <w:pPr>
              <w:pStyle w:val="Compact"/>
              <w:jc w:val="left"/>
            </w:pPr>
            <w:r>
              <w:rPr>
                <w:b w:val="0"/>
              </w:rPr>
              <w:t>+17.30</w:t>
            </w:r>
          </w:p>
        </w:tc>
      </w:tr>
      <w:tr>
        <w:tc>
          <w:tcPr>
            <w:tcW w:type="dxa" w:w="2322"/>
          </w:tcPr>
          <w:p>
            <w:pPr>
              <w:pStyle w:val="Compact"/>
              <w:jc w:val="left"/>
            </w:pPr>
            <w:r>
              <w:rPr>
                <w:b w:val="0"/>
              </w:rPr>
              <w:t>gemma4:31b-mlx_kb_rag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51.67</w:t>
            </w:r>
          </w:p>
        </w:tc>
        <w:tc>
          <w:tcPr>
            <w:tcW w:type="dxa" w:w="900"/>
          </w:tcPr>
          <w:p>
            <w:pPr>
              <w:pStyle w:val="Compact"/>
              <w:jc w:val="center"/>
            </w:pPr>
            <w:r>
              <w:rPr>
                <w:b w:val="0"/>
              </w:rPr>
              <w:t>73.59</w:t>
            </w:r>
          </w:p>
        </w:tc>
        <w:tc>
          <w:tcPr>
            <w:tcW w:type="dxa" w:w="900"/>
          </w:tcPr>
          <w:p>
            <w:pPr>
              <w:pStyle w:val="Compact"/>
              <w:jc w:val="center"/>
            </w:pPr>
            <w:r>
              <w:rPr>
                <w:b w:val="0"/>
              </w:rPr>
              <w:t>59.07</w:t>
            </w:r>
          </w:p>
        </w:tc>
        <w:tc>
          <w:tcPr>
            <w:tcW w:type="dxa" w:w="900"/>
          </w:tcPr>
          <w:p>
            <w:pPr>
              <w:pStyle w:val="Compact"/>
              <w:jc w:val="left"/>
            </w:pPr>
            <w:r>
              <w:rPr>
                <w:b w:val="0"/>
              </w:rPr>
              <w:t>77.11</w:t>
            </w:r>
          </w:p>
        </w:tc>
        <w:tc>
          <w:tcPr>
            <w:tcW w:type="dxa" w:w="900"/>
          </w:tcPr>
          <w:p>
            <w:pPr>
              <w:pStyle w:val="Compact"/>
              <w:jc w:val="left"/>
            </w:pPr>
            <w:r>
              <w:rPr>
                <w:b w:val="0"/>
              </w:rPr>
              <w:t>75.63</w:t>
            </w:r>
          </w:p>
        </w:tc>
        <w:tc>
          <w:tcPr>
            <w:tcW w:type="dxa" w:w="900"/>
          </w:tcPr>
          <w:p>
            <w:pPr>
              <w:pStyle w:val="Compact"/>
              <w:jc w:val="left"/>
            </w:pPr>
            <w:r>
              <w:rPr>
                <w:b w:val="0"/>
              </w:rPr>
              <w:t>+16.55</w:t>
            </w:r>
          </w:p>
        </w:tc>
      </w:tr>
      <w:tr>
        <w:tc>
          <w:tcPr>
            <w:tcW w:type="dxa" w:w="2322"/>
          </w:tcPr>
          <w:p>
            <w:pPr>
              <w:pStyle w:val="Compact"/>
              <w:jc w:val="left"/>
            </w:pPr>
            <w:r>
              <w:rPr>
                <w:b w:val="0"/>
              </w:rPr>
              <w:t>gemma4:31b-mlx_rag_enhanced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52.09</w:t>
            </w:r>
          </w:p>
        </w:tc>
        <w:tc>
          <w:tcPr>
            <w:tcW w:type="dxa" w:w="900"/>
          </w:tcPr>
          <w:p>
            <w:pPr>
              <w:pStyle w:val="Compact"/>
              <w:jc w:val="center"/>
            </w:pPr>
            <w:r>
              <w:rPr>
                <w:b w:val="0"/>
              </w:rPr>
              <w:t>69.18</w:t>
            </w:r>
          </w:p>
        </w:tc>
        <w:tc>
          <w:tcPr>
            <w:tcW w:type="dxa" w:w="900"/>
          </w:tcPr>
          <w:p>
            <w:pPr>
              <w:pStyle w:val="Compact"/>
              <w:jc w:val="center"/>
            </w:pPr>
            <w:r>
              <w:rPr>
                <w:b w:val="0"/>
              </w:rPr>
              <w:t>57.85</w:t>
            </w:r>
          </w:p>
        </w:tc>
        <w:tc>
          <w:tcPr>
            <w:tcW w:type="dxa" w:w="900"/>
          </w:tcPr>
          <w:p>
            <w:pPr>
              <w:pStyle w:val="Compact"/>
              <w:jc w:val="left"/>
            </w:pPr>
            <w:r>
              <w:rPr>
                <w:b w:val="0"/>
              </w:rPr>
              <w:t>80.34</w:t>
            </w:r>
          </w:p>
        </w:tc>
        <w:tc>
          <w:tcPr>
            <w:tcW w:type="dxa" w:w="900"/>
          </w:tcPr>
          <w:p>
            <w:pPr>
              <w:pStyle w:val="Compact"/>
              <w:jc w:val="left"/>
            </w:pPr>
            <w:r>
              <w:rPr>
                <w:b w:val="0"/>
              </w:rPr>
              <w:t>74.66</w:t>
            </w:r>
          </w:p>
        </w:tc>
        <w:tc>
          <w:tcPr>
            <w:tcW w:type="dxa" w:w="900"/>
          </w:tcPr>
          <w:p>
            <w:pPr>
              <w:pStyle w:val="Compact"/>
              <w:jc w:val="left"/>
            </w:pPr>
            <w:r>
              <w:rPr>
                <w:b w:val="0"/>
              </w:rPr>
              <w:t>+16.81</w:t>
            </w:r>
          </w:p>
        </w:tc>
      </w:tr>
      <w:tr>
        <w:tc>
          <w:tcPr>
            <w:tcW w:type="dxa" w:w="2322"/>
          </w:tcPr>
          <w:p>
            <w:pPr>
              <w:pStyle w:val="Compact"/>
              <w:jc w:val="left"/>
            </w:pPr>
            <w:r>
              <w:rPr>
                <w:b w:val="0"/>
              </w:rPr>
              <w:t>zs-es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51.90</w:t>
            </w:r>
          </w:p>
        </w:tc>
        <w:tc>
          <w:tcPr>
            <w:tcW w:type="dxa" w:w="900"/>
          </w:tcPr>
          <w:p>
            <w:pPr>
              <w:pStyle w:val="Compact"/>
              <w:jc w:val="center"/>
            </w:pPr>
            <w:r>
              <w:rPr>
                <w:b w:val="0"/>
              </w:rPr>
              <w:t>67.86</w:t>
            </w:r>
          </w:p>
        </w:tc>
        <w:tc>
          <w:tcPr>
            <w:tcW w:type="dxa" w:w="900"/>
          </w:tcPr>
          <w:p>
            <w:pPr>
              <w:pStyle w:val="Compact"/>
              <w:jc w:val="center"/>
            </w:pPr>
            <w:r>
              <w:rPr>
                <w:b w:val="0"/>
              </w:rPr>
              <w:t>55.62</w:t>
            </w:r>
          </w:p>
        </w:tc>
        <w:tc>
          <w:tcPr>
            <w:tcW w:type="dxa" w:w="900"/>
          </w:tcPr>
          <w:p>
            <w:pPr>
              <w:pStyle w:val="Compact"/>
              <w:jc w:val="left"/>
            </w:pPr>
            <w:r>
              <w:rPr>
                <w:b w:val="0"/>
              </w:rPr>
              <w:t>79.49</w:t>
            </w:r>
          </w:p>
        </w:tc>
        <w:tc>
          <w:tcPr>
            <w:tcW w:type="dxa" w:w="900"/>
          </w:tcPr>
          <w:p>
            <w:pPr>
              <w:pStyle w:val="Compact"/>
              <w:jc w:val="left"/>
            </w:pPr>
            <w:r>
              <w:rPr>
                <w:b w:val="0"/>
              </w:rPr>
              <w:t>71.07</w:t>
            </w:r>
          </w:p>
        </w:tc>
        <w:tc>
          <w:tcPr>
            <w:tcW w:type="dxa" w:w="900"/>
          </w:tcPr>
          <w:p>
            <w:pPr>
              <w:pStyle w:val="Compact"/>
              <w:jc w:val="left"/>
            </w:pPr>
            <w:r>
              <w:rPr>
                <w:b w:val="0"/>
              </w:rPr>
              <w:t>+15.45</w:t>
            </w:r>
          </w:p>
        </w:tc>
      </w:tr>
      <w:tr>
        <w:tc>
          <w:tcPr>
            <w:tcW w:type="dxa" w:w="2322"/>
          </w:tcPr>
          <w:p>
            <w:pPr>
              <w:pStyle w:val="Compact"/>
              <w:jc w:val="left"/>
            </w:pPr>
            <w:r>
              <w:rPr>
                <w:b w:val="0"/>
              </w:rPr>
              <w:t>gpt-oss:20b_kb_rag</w:t>
            </w:r>
          </w:p>
        </w:tc>
        <w:tc>
          <w:tcPr>
            <w:tcW w:type="dxa" w:w="1116"/>
          </w:tcPr>
          <w:p>
            <w:pPr>
              <w:pStyle w:val="Compact"/>
              <w:jc w:val="left"/>
            </w:pPr>
            <w:r>
              <w:rPr>
                <w:b w:val="0"/>
              </w:rPr>
              <w:t>gptoss_rerun_REMOTO</w:t>
            </w:r>
          </w:p>
        </w:tc>
        <w:tc>
          <w:tcPr>
            <w:tcW w:type="dxa" w:w="900"/>
          </w:tcPr>
          <w:p>
            <w:pPr>
              <w:pStyle w:val="Compact"/>
              <w:jc w:val="left"/>
            </w:pPr>
            <w:r>
              <w:rPr>
                <w:b w:val="0"/>
              </w:rPr>
              <w:t>49.18</w:t>
            </w:r>
          </w:p>
        </w:tc>
        <w:tc>
          <w:tcPr>
            <w:tcW w:type="dxa" w:w="900"/>
          </w:tcPr>
          <w:p>
            <w:pPr>
              <w:pStyle w:val="Compact"/>
              <w:jc w:val="center"/>
            </w:pPr>
            <w:r>
              <w:rPr>
                <w:b w:val="0"/>
              </w:rPr>
              <w:t>69.09</w:t>
            </w:r>
          </w:p>
        </w:tc>
        <w:tc>
          <w:tcPr>
            <w:tcW w:type="dxa" w:w="900"/>
          </w:tcPr>
          <w:p>
            <w:pPr>
              <w:pStyle w:val="Compact"/>
              <w:jc w:val="center"/>
            </w:pPr>
            <w:r>
              <w:rPr>
                <w:b w:val="0"/>
              </w:rPr>
              <w:t>55.67</w:t>
            </w:r>
          </w:p>
        </w:tc>
        <w:tc>
          <w:tcPr>
            <w:tcW w:type="dxa" w:w="900"/>
          </w:tcPr>
          <w:p>
            <w:pPr>
              <w:pStyle w:val="Compact"/>
              <w:jc w:val="left"/>
            </w:pPr>
            <w:r>
              <w:rPr>
                <w:b w:val="0"/>
              </w:rPr>
              <w:t>75.40</w:t>
            </w:r>
          </w:p>
        </w:tc>
        <w:tc>
          <w:tcPr>
            <w:tcW w:type="dxa" w:w="900"/>
          </w:tcPr>
          <w:p>
            <w:pPr>
              <w:pStyle w:val="Compact"/>
              <w:jc w:val="left"/>
            </w:pPr>
            <w:r>
              <w:rPr>
                <w:b w:val="0"/>
              </w:rPr>
              <w:t>71.99</w:t>
            </w:r>
          </w:p>
        </w:tc>
        <w:tc>
          <w:tcPr>
            <w:tcW w:type="dxa" w:w="900"/>
          </w:tcPr>
          <w:p>
            <w:pPr>
              <w:pStyle w:val="Compact"/>
              <w:jc w:val="left"/>
            </w:pPr>
            <w:r>
              <w:rPr>
                <w:b w:val="0"/>
              </w:rPr>
              <w:t>+16.32</w:t>
            </w:r>
          </w:p>
        </w:tc>
      </w:tr>
      <w:tr>
        <w:tc>
          <w:tcPr>
            <w:tcW w:type="dxa" w:w="2322"/>
          </w:tcPr>
          <w:p>
            <w:pPr>
              <w:pStyle w:val="Compact"/>
              <w:jc w:val="left"/>
            </w:pPr>
            <w:r>
              <w:rPr>
                <w:b w:val="0"/>
              </w:rPr>
              <w:t>gemma4:latest_baseline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52.91</w:t>
            </w:r>
          </w:p>
        </w:tc>
        <w:tc>
          <w:tcPr>
            <w:tcW w:type="dxa" w:w="900"/>
          </w:tcPr>
          <w:p>
            <w:pPr>
              <w:pStyle w:val="Compact"/>
              <w:jc w:val="center"/>
            </w:pPr>
            <w:r>
              <w:rPr>
                <w:b w:val="0"/>
              </w:rPr>
              <w:t>63.87</w:t>
            </w:r>
          </w:p>
        </w:tc>
        <w:tc>
          <w:tcPr>
            <w:tcW w:type="dxa" w:w="900"/>
          </w:tcPr>
          <w:p>
            <w:pPr>
              <w:pStyle w:val="Compact"/>
              <w:jc w:val="center"/>
            </w:pPr>
            <w:r>
              <w:rPr>
                <w:b w:val="0"/>
              </w:rPr>
              <w:t>55.91</w:t>
            </w:r>
          </w:p>
        </w:tc>
        <w:tc>
          <w:tcPr>
            <w:tcW w:type="dxa" w:w="900"/>
          </w:tcPr>
          <w:p>
            <w:pPr>
              <w:pStyle w:val="Compact"/>
              <w:jc w:val="left"/>
            </w:pPr>
            <w:r>
              <w:rPr>
                <w:b w:val="0"/>
              </w:rPr>
              <w:t>78.81</w:t>
            </w:r>
          </w:p>
        </w:tc>
        <w:tc>
          <w:tcPr>
            <w:tcW w:type="dxa" w:w="900"/>
          </w:tcPr>
          <w:p>
            <w:pPr>
              <w:pStyle w:val="Compact"/>
              <w:jc w:val="left"/>
            </w:pPr>
            <w:r>
              <w:rPr>
                <w:b w:val="0"/>
              </w:rPr>
              <w:t>70.52</w:t>
            </w:r>
          </w:p>
        </w:tc>
        <w:tc>
          <w:tcPr>
            <w:tcW w:type="dxa" w:w="900"/>
          </w:tcPr>
          <w:p>
            <w:pPr>
              <w:pStyle w:val="Compact"/>
              <w:jc w:val="left"/>
            </w:pPr>
            <w:r>
              <w:rPr>
                <w:b w:val="0"/>
              </w:rPr>
              <w:t>+14.61</w:t>
            </w:r>
          </w:p>
        </w:tc>
      </w:tr>
      <w:tr>
        <w:tc>
          <w:tcPr>
            <w:tcW w:type="dxa" w:w="2322"/>
          </w:tcPr>
          <w:p>
            <w:pPr>
              <w:pStyle w:val="Compact"/>
              <w:jc w:val="left"/>
            </w:pPr>
            <w:r>
              <w:rPr>
                <w:b w:val="0"/>
              </w:rPr>
              <w:t>gemma4:latest_kb_rag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51.29</w:t>
            </w:r>
          </w:p>
        </w:tc>
        <w:tc>
          <w:tcPr>
            <w:tcW w:type="dxa" w:w="900"/>
          </w:tcPr>
          <w:p>
            <w:pPr>
              <w:pStyle w:val="Compact"/>
              <w:jc w:val="center"/>
            </w:pPr>
            <w:r>
              <w:rPr>
                <w:b w:val="0"/>
              </w:rPr>
              <w:t>62.76</w:t>
            </w:r>
          </w:p>
        </w:tc>
        <w:tc>
          <w:tcPr>
            <w:tcW w:type="dxa" w:w="900"/>
          </w:tcPr>
          <w:p>
            <w:pPr>
              <w:pStyle w:val="Compact"/>
              <w:jc w:val="center"/>
            </w:pPr>
            <w:r>
              <w:rPr>
                <w:b w:val="0"/>
              </w:rPr>
              <w:t>54.74</w:t>
            </w:r>
          </w:p>
        </w:tc>
        <w:tc>
          <w:tcPr>
            <w:tcW w:type="dxa" w:w="900"/>
          </w:tcPr>
          <w:p>
            <w:pPr>
              <w:pStyle w:val="Compact"/>
              <w:jc w:val="left"/>
            </w:pPr>
            <w:r>
              <w:rPr>
                <w:b w:val="0"/>
              </w:rPr>
              <w:t>79.72</w:t>
            </w:r>
          </w:p>
        </w:tc>
        <w:tc>
          <w:tcPr>
            <w:tcW w:type="dxa" w:w="900"/>
          </w:tcPr>
          <w:p>
            <w:pPr>
              <w:pStyle w:val="Compact"/>
              <w:jc w:val="left"/>
            </w:pPr>
            <w:r>
              <w:rPr>
                <w:b w:val="0"/>
              </w:rPr>
              <w:t>70.34</w:t>
            </w:r>
          </w:p>
        </w:tc>
        <w:tc>
          <w:tcPr>
            <w:tcW w:type="dxa" w:w="900"/>
          </w:tcPr>
          <w:p>
            <w:pPr>
              <w:pStyle w:val="Compact"/>
              <w:jc w:val="left"/>
            </w:pPr>
            <w:r>
              <w:rPr>
                <w:b w:val="0"/>
              </w:rPr>
              <w:t>+15.59</w:t>
            </w:r>
          </w:p>
        </w:tc>
      </w:tr>
      <w:tr>
        <w:tc>
          <w:tcPr>
            <w:tcW w:type="dxa" w:w="2322"/>
          </w:tcPr>
          <w:p>
            <w:pPr>
              <w:pStyle w:val="Compact"/>
              <w:jc w:val="left"/>
            </w:pPr>
            <w:r>
              <w:rPr>
                <w:b w:val="0"/>
              </w:rPr>
              <w:t>zs-en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52.47</w:t>
            </w:r>
          </w:p>
        </w:tc>
        <w:tc>
          <w:tcPr>
            <w:tcW w:type="dxa" w:w="900"/>
          </w:tcPr>
          <w:p>
            <w:pPr>
              <w:pStyle w:val="Compact"/>
              <w:jc w:val="center"/>
            </w:pPr>
            <w:r>
              <w:rPr>
                <w:b w:val="0"/>
              </w:rPr>
              <w:t>65.39</w:t>
            </w:r>
          </w:p>
        </w:tc>
        <w:tc>
          <w:tcPr>
            <w:tcW w:type="dxa" w:w="900"/>
          </w:tcPr>
          <w:p>
            <w:pPr>
              <w:pStyle w:val="Compact"/>
              <w:jc w:val="center"/>
            </w:pPr>
            <w:r>
              <w:rPr>
                <w:b w:val="0"/>
              </w:rPr>
              <w:t>54.46</w:t>
            </w:r>
          </w:p>
        </w:tc>
        <w:tc>
          <w:tcPr>
            <w:tcW w:type="dxa" w:w="900"/>
          </w:tcPr>
          <w:p>
            <w:pPr>
              <w:pStyle w:val="Compact"/>
              <w:jc w:val="left"/>
            </w:pPr>
            <w:r>
              <w:rPr>
                <w:b w:val="0"/>
              </w:rPr>
              <w:t>77.93</w:t>
            </w:r>
          </w:p>
        </w:tc>
        <w:tc>
          <w:tcPr>
            <w:tcW w:type="dxa" w:w="900"/>
          </w:tcPr>
          <w:p>
            <w:pPr>
              <w:pStyle w:val="Compact"/>
              <w:jc w:val="left"/>
            </w:pPr>
            <w:r>
              <w:rPr>
                <w:b w:val="0"/>
              </w:rPr>
              <w:t>69.06</w:t>
            </w:r>
          </w:p>
        </w:tc>
        <w:tc>
          <w:tcPr>
            <w:tcW w:type="dxa" w:w="900"/>
          </w:tcPr>
          <w:p>
            <w:pPr>
              <w:pStyle w:val="Compact"/>
              <w:jc w:val="left"/>
            </w:pPr>
            <w:r>
              <w:rPr>
                <w:b w:val="0"/>
              </w:rPr>
              <w:t>+14.60</w:t>
            </w:r>
          </w:p>
        </w:tc>
      </w:tr>
      <w:tr>
        <w:tc>
          <w:tcPr>
            <w:tcW w:type="dxa" w:w="2322"/>
          </w:tcPr>
          <w:p>
            <w:pPr>
              <w:pStyle w:val="Compact"/>
              <w:jc w:val="left"/>
            </w:pPr>
            <w:r>
              <w:rPr>
                <w:b w:val="0"/>
              </w:rPr>
              <w:t>fs-es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51.35</w:t>
            </w:r>
          </w:p>
        </w:tc>
        <w:tc>
          <w:tcPr>
            <w:tcW w:type="dxa" w:w="900"/>
          </w:tcPr>
          <w:p>
            <w:pPr>
              <w:pStyle w:val="Compact"/>
              <w:jc w:val="center"/>
            </w:pPr>
            <w:r>
              <w:rPr>
                <w:b w:val="0"/>
              </w:rPr>
              <w:t>64.59</w:t>
            </w:r>
          </w:p>
        </w:tc>
        <w:tc>
          <w:tcPr>
            <w:tcW w:type="dxa" w:w="900"/>
          </w:tcPr>
          <w:p>
            <w:pPr>
              <w:pStyle w:val="Compact"/>
              <w:jc w:val="center"/>
            </w:pPr>
            <w:r>
              <w:rPr>
                <w:b w:val="0"/>
              </w:rPr>
              <w:t>54.02</w:t>
            </w:r>
          </w:p>
        </w:tc>
        <w:tc>
          <w:tcPr>
            <w:tcW w:type="dxa" w:w="900"/>
          </w:tcPr>
          <w:p>
            <w:pPr>
              <w:pStyle w:val="Compact"/>
              <w:jc w:val="left"/>
            </w:pPr>
            <w:r>
              <w:rPr>
                <w:b w:val="0"/>
              </w:rPr>
              <w:t>80.76</w:t>
            </w:r>
          </w:p>
        </w:tc>
        <w:tc>
          <w:tcPr>
            <w:tcW w:type="dxa" w:w="900"/>
          </w:tcPr>
          <w:p>
            <w:pPr>
              <w:pStyle w:val="Compact"/>
              <w:jc w:val="left"/>
            </w:pPr>
            <w:r>
              <w:rPr>
                <w:b w:val="0"/>
              </w:rPr>
              <w:t>69.89</w:t>
            </w:r>
          </w:p>
        </w:tc>
        <w:tc>
          <w:tcPr>
            <w:tcW w:type="dxa" w:w="900"/>
          </w:tcPr>
          <w:p>
            <w:pPr>
              <w:pStyle w:val="Compact"/>
              <w:jc w:val="left"/>
            </w:pPr>
            <w:r>
              <w:rPr>
                <w:b w:val="0"/>
              </w:rPr>
              <w:t>+15.86</w:t>
            </w:r>
          </w:p>
        </w:tc>
      </w:tr>
      <w:tr>
        <w:tc>
          <w:tcPr>
            <w:tcW w:type="dxa" w:w="2322"/>
          </w:tcPr>
          <w:p>
            <w:pPr>
              <w:pStyle w:val="Compact"/>
              <w:jc w:val="left"/>
            </w:pPr>
            <w:r>
              <w:rPr>
                <w:b w:val="0"/>
              </w:rPr>
              <w:t>fs-en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51.61</w:t>
            </w:r>
          </w:p>
        </w:tc>
        <w:tc>
          <w:tcPr>
            <w:tcW w:type="dxa" w:w="900"/>
          </w:tcPr>
          <w:p>
            <w:pPr>
              <w:pStyle w:val="Compact"/>
              <w:jc w:val="center"/>
            </w:pPr>
            <w:r>
              <w:rPr>
                <w:b w:val="0"/>
              </w:rPr>
              <w:t>65.28</w:t>
            </w:r>
          </w:p>
        </w:tc>
        <w:tc>
          <w:tcPr>
            <w:tcW w:type="dxa" w:w="900"/>
          </w:tcPr>
          <w:p>
            <w:pPr>
              <w:pStyle w:val="Compact"/>
              <w:jc w:val="center"/>
            </w:pPr>
            <w:r>
              <w:rPr>
                <w:b w:val="0"/>
              </w:rPr>
              <w:t>54.50</w:t>
            </w:r>
          </w:p>
        </w:tc>
        <w:tc>
          <w:tcPr>
            <w:tcW w:type="dxa" w:w="900"/>
          </w:tcPr>
          <w:p>
            <w:pPr>
              <w:pStyle w:val="Compact"/>
              <w:jc w:val="left"/>
            </w:pPr>
            <w:r>
              <w:rPr>
                <w:b w:val="0"/>
              </w:rPr>
              <w:t>80.26</w:t>
            </w:r>
          </w:p>
        </w:tc>
        <w:tc>
          <w:tcPr>
            <w:tcW w:type="dxa" w:w="900"/>
          </w:tcPr>
          <w:p>
            <w:pPr>
              <w:pStyle w:val="Compact"/>
              <w:jc w:val="left"/>
            </w:pPr>
            <w:r>
              <w:rPr>
                <w:b w:val="0"/>
              </w:rPr>
              <w:t>70.23</w:t>
            </w:r>
          </w:p>
        </w:tc>
        <w:tc>
          <w:tcPr>
            <w:tcW w:type="dxa" w:w="900"/>
          </w:tcPr>
          <w:p>
            <w:pPr>
              <w:pStyle w:val="Compact"/>
              <w:jc w:val="left"/>
            </w:pPr>
            <w:r>
              <w:rPr>
                <w:b w:val="0"/>
              </w:rPr>
              <w:t>+15.72</w:t>
            </w:r>
          </w:p>
        </w:tc>
      </w:tr>
      <w:tr>
        <w:tc>
          <w:tcPr>
            <w:tcW w:type="dxa" w:w="2322"/>
          </w:tcPr>
          <w:p>
            <w:pPr>
              <w:pStyle w:val="Compact"/>
              <w:jc w:val="left"/>
            </w:pPr>
            <w:r>
              <w:rPr>
                <w:b w:val="0"/>
              </w:rPr>
              <w:t>gemma4:latest_rag_enhanced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50.61</w:t>
            </w:r>
          </w:p>
        </w:tc>
        <w:tc>
          <w:tcPr>
            <w:tcW w:type="dxa" w:w="900"/>
          </w:tcPr>
          <w:p>
            <w:pPr>
              <w:pStyle w:val="Compact"/>
              <w:jc w:val="center"/>
            </w:pPr>
            <w:r>
              <w:rPr>
                <w:b w:val="0"/>
              </w:rPr>
              <w:t>58.82</w:t>
            </w:r>
          </w:p>
        </w:tc>
        <w:tc>
          <w:tcPr>
            <w:tcW w:type="dxa" w:w="900"/>
          </w:tcPr>
          <w:p>
            <w:pPr>
              <w:pStyle w:val="Compact"/>
              <w:jc w:val="center"/>
            </w:pPr>
            <w:r>
              <w:rPr>
                <w:b w:val="0"/>
              </w:rPr>
              <w:t>52.57</w:t>
            </w:r>
          </w:p>
        </w:tc>
        <w:tc>
          <w:tcPr>
            <w:tcW w:type="dxa" w:w="900"/>
          </w:tcPr>
          <w:p>
            <w:pPr>
              <w:pStyle w:val="Compact"/>
              <w:jc w:val="left"/>
            </w:pPr>
            <w:r>
              <w:rPr>
                <w:b w:val="0"/>
              </w:rPr>
              <w:t>78.80</w:t>
            </w:r>
          </w:p>
        </w:tc>
        <w:tc>
          <w:tcPr>
            <w:tcW w:type="dxa" w:w="900"/>
          </w:tcPr>
          <w:p>
            <w:pPr>
              <w:pStyle w:val="Compact"/>
              <w:jc w:val="left"/>
            </w:pPr>
            <w:r>
              <w:rPr>
                <w:b w:val="0"/>
              </w:rPr>
              <w:t>67.22</w:t>
            </w:r>
          </w:p>
        </w:tc>
        <w:tc>
          <w:tcPr>
            <w:tcW w:type="dxa" w:w="900"/>
          </w:tcPr>
          <w:p>
            <w:pPr>
              <w:pStyle w:val="Compact"/>
              <w:jc w:val="left"/>
            </w:pPr>
            <w:r>
              <w:rPr>
                <w:b w:val="0"/>
              </w:rPr>
              <w:t>+14.65</w:t>
            </w:r>
          </w:p>
        </w:tc>
      </w:tr>
      <w:tr>
        <w:tc>
          <w:tcPr>
            <w:tcW w:type="dxa" w:w="2322"/>
          </w:tcPr>
          <w:p>
            <w:pPr>
              <w:pStyle w:val="Compact"/>
              <w:jc w:val="left"/>
            </w:pPr>
            <w:r>
              <w:rPr>
                <w:b w:val="0"/>
              </w:rPr>
              <w:t>gpt-oss:20b_baseline</w:t>
            </w:r>
          </w:p>
        </w:tc>
        <w:tc>
          <w:tcPr>
            <w:tcW w:type="dxa" w:w="1116"/>
          </w:tcPr>
          <w:p>
            <w:pPr>
              <w:pStyle w:val="Compact"/>
              <w:jc w:val="left"/>
            </w:pPr>
            <w:r>
              <w:rPr>
                <w:b w:val="0"/>
              </w:rPr>
              <w:t>gptoss_rerun_REMOTO</w:t>
            </w:r>
          </w:p>
        </w:tc>
        <w:tc>
          <w:tcPr>
            <w:tcW w:type="dxa" w:w="900"/>
          </w:tcPr>
          <w:p>
            <w:pPr>
              <w:pStyle w:val="Compact"/>
              <w:jc w:val="left"/>
            </w:pPr>
            <w:r>
              <w:rPr>
                <w:b w:val="0"/>
              </w:rPr>
              <w:t>46.49</w:t>
            </w:r>
          </w:p>
        </w:tc>
        <w:tc>
          <w:tcPr>
            <w:tcW w:type="dxa" w:w="900"/>
          </w:tcPr>
          <w:p>
            <w:pPr>
              <w:pStyle w:val="Compact"/>
              <w:jc w:val="center"/>
            </w:pPr>
            <w:r>
              <w:rPr>
                <w:b w:val="0"/>
              </w:rPr>
              <w:t>64.40</w:t>
            </w:r>
          </w:p>
        </w:tc>
        <w:tc>
          <w:tcPr>
            <w:tcW w:type="dxa" w:w="900"/>
          </w:tcPr>
          <w:p>
            <w:pPr>
              <w:pStyle w:val="Compact"/>
              <w:jc w:val="center"/>
            </w:pPr>
            <w:r>
              <w:rPr>
                <w:b w:val="0"/>
              </w:rPr>
              <w:t>52.39</w:t>
            </w:r>
          </w:p>
        </w:tc>
        <w:tc>
          <w:tcPr>
            <w:tcW w:type="dxa" w:w="900"/>
          </w:tcPr>
          <w:p>
            <w:pPr>
              <w:pStyle w:val="Compact"/>
              <w:jc w:val="left"/>
            </w:pPr>
            <w:r>
              <w:rPr>
                <w:b w:val="0"/>
              </w:rPr>
              <w:t>73.69</w:t>
            </w:r>
          </w:p>
        </w:tc>
        <w:tc>
          <w:tcPr>
            <w:tcW w:type="dxa" w:w="900"/>
          </w:tcPr>
          <w:p>
            <w:pPr>
              <w:pStyle w:val="Compact"/>
              <w:jc w:val="left"/>
            </w:pPr>
            <w:r>
              <w:rPr>
                <w:b w:val="0"/>
              </w:rPr>
              <w:t>68.89</w:t>
            </w:r>
          </w:p>
        </w:tc>
        <w:tc>
          <w:tcPr>
            <w:tcW w:type="dxa" w:w="900"/>
          </w:tcPr>
          <w:p>
            <w:pPr>
              <w:pStyle w:val="Compact"/>
              <w:jc w:val="left"/>
            </w:pPr>
            <w:r>
              <w:rPr>
                <w:b w:val="0"/>
              </w:rPr>
              <w:t>+16.50</w:t>
            </w:r>
          </w:p>
        </w:tc>
      </w:tr>
      <w:tr>
        <w:tc>
          <w:tcPr>
            <w:tcW w:type="dxa" w:w="2322"/>
          </w:tcPr>
          <w:p>
            <w:pPr>
              <w:pStyle w:val="Compact"/>
              <w:jc w:val="left"/>
            </w:pPr>
            <w:r>
              <w:rPr>
                <w:b w:val="0"/>
              </w:rPr>
              <w:t>qwen2.5:14b_kb_rag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55.48</w:t>
            </w:r>
          </w:p>
        </w:tc>
        <w:tc>
          <w:tcPr>
            <w:tcW w:type="dxa" w:w="900"/>
          </w:tcPr>
          <w:p>
            <w:pPr>
              <w:pStyle w:val="Compact"/>
              <w:jc w:val="center"/>
            </w:pPr>
            <w:r>
              <w:rPr>
                <w:b w:val="0"/>
              </w:rPr>
              <w:t>58.74</w:t>
            </w:r>
          </w:p>
        </w:tc>
        <w:tc>
          <w:tcPr>
            <w:tcW w:type="dxa" w:w="900"/>
          </w:tcPr>
          <w:p>
            <w:pPr>
              <w:pStyle w:val="Compact"/>
              <w:jc w:val="center"/>
            </w:pPr>
            <w:r>
              <w:rPr>
                <w:b w:val="0"/>
              </w:rPr>
              <w:t>54.84</w:t>
            </w:r>
          </w:p>
        </w:tc>
        <w:tc>
          <w:tcPr>
            <w:tcW w:type="dxa" w:w="900"/>
          </w:tcPr>
          <w:p>
            <w:pPr>
              <w:pStyle w:val="Compact"/>
              <w:jc w:val="left"/>
            </w:pPr>
            <w:r>
              <w:rPr>
                <w:b w:val="0"/>
              </w:rPr>
              <w:t>82.69</w:t>
            </w:r>
          </w:p>
        </w:tc>
        <w:tc>
          <w:tcPr>
            <w:tcW w:type="dxa" w:w="900"/>
          </w:tcPr>
          <w:p>
            <w:pPr>
              <w:pStyle w:val="Compact"/>
              <w:jc w:val="left"/>
            </w:pPr>
            <w:r>
              <w:rPr>
                <w:b w:val="0"/>
              </w:rPr>
              <w:t>68.11</w:t>
            </w:r>
          </w:p>
        </w:tc>
        <w:tc>
          <w:tcPr>
            <w:tcW w:type="dxa" w:w="900"/>
          </w:tcPr>
          <w:p>
            <w:pPr>
              <w:pStyle w:val="Compact"/>
              <w:jc w:val="left"/>
            </w:pPr>
            <w:r>
              <w:rPr>
                <w:b w:val="0"/>
              </w:rPr>
              <w:t>+13.27</w:t>
            </w:r>
          </w:p>
        </w:tc>
      </w:tr>
      <w:tr>
        <w:tc>
          <w:tcPr>
            <w:tcW w:type="dxa" w:w="2322"/>
          </w:tcPr>
          <w:p>
            <w:pPr>
              <w:pStyle w:val="Compact"/>
              <w:jc w:val="left"/>
            </w:pPr>
            <w:r>
              <w:rPr>
                <w:b w:val="0"/>
              </w:rPr>
              <w:t>qwen2.5:14b_baseline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50.29</w:t>
            </w:r>
          </w:p>
        </w:tc>
        <w:tc>
          <w:tcPr>
            <w:tcW w:type="dxa" w:w="900"/>
          </w:tcPr>
          <w:p>
            <w:pPr>
              <w:pStyle w:val="Compact"/>
              <w:jc w:val="center"/>
            </w:pPr>
            <w:r>
              <w:rPr>
                <w:b w:val="0"/>
              </w:rPr>
              <w:t>54.02</w:t>
            </w:r>
          </w:p>
        </w:tc>
        <w:tc>
          <w:tcPr>
            <w:tcW w:type="dxa" w:w="900"/>
          </w:tcPr>
          <w:p>
            <w:pPr>
              <w:pStyle w:val="Compact"/>
              <w:jc w:val="center"/>
            </w:pPr>
            <w:r>
              <w:rPr>
                <w:b w:val="0"/>
              </w:rPr>
              <w:t>50.22</w:t>
            </w:r>
          </w:p>
        </w:tc>
        <w:tc>
          <w:tcPr>
            <w:tcW w:type="dxa" w:w="900"/>
          </w:tcPr>
          <w:p>
            <w:pPr>
              <w:pStyle w:val="Compact"/>
              <w:jc w:val="left"/>
            </w:pPr>
            <w:r>
              <w:rPr>
                <w:b w:val="0"/>
              </w:rPr>
              <w:t>83.40</w:t>
            </w:r>
          </w:p>
        </w:tc>
        <w:tc>
          <w:tcPr>
            <w:tcW w:type="dxa" w:w="900"/>
          </w:tcPr>
          <w:p>
            <w:pPr>
              <w:pStyle w:val="Compact"/>
              <w:jc w:val="left"/>
            </w:pPr>
            <w:r>
              <w:rPr>
                <w:b w:val="0"/>
              </w:rPr>
              <w:t>66.11</w:t>
            </w:r>
          </w:p>
        </w:tc>
        <w:tc>
          <w:tcPr>
            <w:tcW w:type="dxa" w:w="900"/>
          </w:tcPr>
          <w:p>
            <w:pPr>
              <w:pStyle w:val="Compact"/>
              <w:jc w:val="left"/>
            </w:pPr>
            <w:r>
              <w:rPr>
                <w:b w:val="0"/>
              </w:rPr>
              <w:t>+15.89</w:t>
            </w:r>
          </w:p>
        </w:tc>
      </w:tr>
      <w:tr>
        <w:tc>
          <w:tcPr>
            <w:tcW w:type="dxa" w:w="2322"/>
          </w:tcPr>
          <w:p>
            <w:pPr>
              <w:pStyle w:val="Compact"/>
              <w:jc w:val="left"/>
            </w:pPr>
            <w:r>
              <w:rPr>
                <w:b w:val="0"/>
              </w:rPr>
              <w:t>llama3.1:8b_baseline</w:t>
            </w:r>
          </w:p>
        </w:tc>
        <w:tc>
          <w:tcPr>
            <w:tcW w:type="dxa" w:w="1116"/>
          </w:tcPr>
          <w:p>
            <w:pPr>
              <w:pStyle w:val="Compact"/>
              <w:jc w:val="left"/>
            </w:pPr>
            <w:r>
              <w:rPr>
                <w:b w:val="0"/>
              </w:rPr>
              <w:t>benchmark_n120_REMOTO</w:t>
            </w:r>
          </w:p>
        </w:tc>
        <w:tc>
          <w:tcPr>
            <w:tcW w:type="dxa" w:w="900"/>
          </w:tcPr>
          <w:p>
            <w:pPr>
              <w:pStyle w:val="Compact"/>
              <w:jc w:val="left"/>
            </w:pPr>
            <w:r>
              <w:rPr>
                <w:b w:val="0"/>
              </w:rPr>
              <w:t>47.37</w:t>
            </w:r>
          </w:p>
        </w:tc>
        <w:tc>
          <w:tcPr>
            <w:tcW w:type="dxa" w:w="900"/>
          </w:tcPr>
          <w:p>
            <w:pPr>
              <w:pStyle w:val="Compact"/>
              <w:jc w:val="center"/>
            </w:pPr>
            <w:r>
              <w:rPr>
                <w:b w:val="0"/>
              </w:rPr>
              <w:t>54.91</w:t>
            </w:r>
          </w:p>
        </w:tc>
        <w:tc>
          <w:tcPr>
            <w:tcW w:type="dxa" w:w="900"/>
          </w:tcPr>
          <w:p>
            <w:pPr>
              <w:pStyle w:val="Compact"/>
              <w:jc w:val="center"/>
            </w:pPr>
            <w:r>
              <w:rPr>
                <w:b w:val="0"/>
              </w:rPr>
              <w:t>48.76</w:t>
            </w:r>
          </w:p>
        </w:tc>
        <w:tc>
          <w:tcPr>
            <w:tcW w:type="dxa" w:w="900"/>
          </w:tcPr>
          <w:p>
            <w:pPr>
              <w:pStyle w:val="Compact"/>
              <w:jc w:val="left"/>
            </w:pPr>
            <w:r>
              <w:rPr>
                <w:b w:val="0"/>
              </w:rPr>
              <w:t>80.52</w:t>
            </w:r>
          </w:p>
        </w:tc>
        <w:tc>
          <w:tcPr>
            <w:tcW w:type="dxa" w:w="900"/>
          </w:tcPr>
          <w:p>
            <w:pPr>
              <w:pStyle w:val="Compact"/>
              <w:jc w:val="left"/>
            </w:pPr>
            <w:r>
              <w:rPr>
                <w:b w:val="0"/>
              </w:rPr>
              <w:t>64.53</w:t>
            </w:r>
          </w:p>
        </w:tc>
        <w:tc>
          <w:tcPr>
            <w:tcW w:type="dxa" w:w="900"/>
          </w:tcPr>
          <w:p>
            <w:pPr>
              <w:pStyle w:val="Compact"/>
              <w:jc w:val="left"/>
            </w:pPr>
            <w:r>
              <w:rPr>
                <w:b w:val="0"/>
              </w:rPr>
              <w:t>+15.77</w:t>
            </w:r>
          </w:p>
        </w:tc>
      </w:tr>
      <w:tr>
        <w:tc>
          <w:tcPr>
            <w:tcW w:type="dxa" w:w="2322"/>
          </w:tcPr>
          <w:p>
            <w:pPr>
              <w:pStyle w:val="Compact"/>
              <w:jc w:val="left"/>
            </w:pPr>
            <w:r>
              <w:rPr>
                <w:b w:val="0"/>
              </w:rPr>
              <w:t>llama3.1:8b_kb_rag</w:t>
            </w:r>
          </w:p>
        </w:tc>
        <w:tc>
          <w:tcPr>
            <w:tcW w:type="dxa" w:w="1116"/>
          </w:tcPr>
          <w:p>
            <w:pPr>
              <w:pStyle w:val="Compact"/>
              <w:jc w:val="left"/>
            </w:pPr>
            <w:r>
              <w:rPr>
                <w:b w:val="0"/>
              </w:rPr>
              <w:t>benchmark_n120_REMOTO</w:t>
            </w:r>
          </w:p>
        </w:tc>
        <w:tc>
          <w:tcPr>
            <w:tcW w:type="dxa" w:w="900"/>
          </w:tcPr>
          <w:p>
            <w:pPr>
              <w:pStyle w:val="Compact"/>
              <w:jc w:val="left"/>
            </w:pPr>
            <w:r>
              <w:rPr>
                <w:b w:val="0"/>
              </w:rPr>
              <w:t>50.85</w:t>
            </w:r>
          </w:p>
        </w:tc>
        <w:tc>
          <w:tcPr>
            <w:tcW w:type="dxa" w:w="900"/>
          </w:tcPr>
          <w:p>
            <w:pPr>
              <w:pStyle w:val="Compact"/>
              <w:jc w:val="center"/>
            </w:pPr>
            <w:r>
              <w:rPr>
                <w:b w:val="0"/>
              </w:rPr>
              <w:t>55.23</w:t>
            </w:r>
          </w:p>
        </w:tc>
        <w:tc>
          <w:tcPr>
            <w:tcW w:type="dxa" w:w="900"/>
          </w:tcPr>
          <w:p>
            <w:pPr>
              <w:pStyle w:val="Compact"/>
              <w:jc w:val="center"/>
            </w:pPr>
            <w:r>
              <w:rPr>
                <w:b w:val="0"/>
              </w:rPr>
              <w:t>50.75</w:t>
            </w:r>
          </w:p>
        </w:tc>
        <w:tc>
          <w:tcPr>
            <w:tcW w:type="dxa" w:w="900"/>
          </w:tcPr>
          <w:p>
            <w:pPr>
              <w:pStyle w:val="Compact"/>
              <w:jc w:val="left"/>
            </w:pPr>
            <w:r>
              <w:rPr>
                <w:b w:val="0"/>
              </w:rPr>
              <w:t>76.28</w:t>
            </w:r>
          </w:p>
        </w:tc>
        <w:tc>
          <w:tcPr>
            <w:tcW w:type="dxa" w:w="900"/>
          </w:tcPr>
          <w:p>
            <w:pPr>
              <w:pStyle w:val="Compact"/>
              <w:jc w:val="left"/>
            </w:pPr>
            <w:r>
              <w:rPr>
                <w:b w:val="0"/>
              </w:rPr>
              <w:t>63.62</w:t>
            </w:r>
          </w:p>
        </w:tc>
        <w:tc>
          <w:tcPr>
            <w:tcW w:type="dxa" w:w="900"/>
          </w:tcPr>
          <w:p>
            <w:pPr>
              <w:pStyle w:val="Compact"/>
              <w:jc w:val="left"/>
            </w:pPr>
            <w:r>
              <w:rPr>
                <w:b w:val="0"/>
              </w:rPr>
              <w:t>+12.87</w:t>
            </w:r>
          </w:p>
        </w:tc>
      </w:tr>
      <w:tr>
        <w:tc>
          <w:tcPr>
            <w:tcW w:type="dxa" w:w="2322"/>
          </w:tcPr>
          <w:p>
            <w:pPr>
              <w:pStyle w:val="Compact"/>
              <w:jc w:val="left"/>
            </w:pPr>
            <w:r>
              <w:rPr>
                <w:b w:val="0"/>
              </w:rPr>
              <w:t>qwen3:8b_kb_rag</w:t>
            </w:r>
          </w:p>
        </w:tc>
        <w:tc>
          <w:tcPr>
            <w:tcW w:type="dxa" w:w="1116"/>
          </w:tcPr>
          <w:p>
            <w:pPr>
              <w:pStyle w:val="Compact"/>
              <w:jc w:val="left"/>
            </w:pPr>
            <w:r>
              <w:rPr>
                <w:b w:val="0"/>
              </w:rPr>
              <w:t>qwen3_nothink_n120_REMOTO</w:t>
            </w:r>
          </w:p>
        </w:tc>
        <w:tc>
          <w:tcPr>
            <w:tcW w:type="dxa" w:w="900"/>
          </w:tcPr>
          <w:p>
            <w:pPr>
              <w:pStyle w:val="Compact"/>
              <w:jc w:val="left"/>
            </w:pPr>
            <w:r>
              <w:rPr>
                <w:b w:val="0"/>
              </w:rPr>
              <w:t>48.51</w:t>
            </w:r>
          </w:p>
        </w:tc>
        <w:tc>
          <w:tcPr>
            <w:tcW w:type="dxa" w:w="900"/>
          </w:tcPr>
          <w:p>
            <w:pPr>
              <w:pStyle w:val="Compact"/>
              <w:jc w:val="center"/>
            </w:pPr>
            <w:r>
              <w:rPr>
                <w:b w:val="0"/>
              </w:rPr>
              <w:t>59.68</w:t>
            </w:r>
          </w:p>
        </w:tc>
        <w:tc>
          <w:tcPr>
            <w:tcW w:type="dxa" w:w="900"/>
          </w:tcPr>
          <w:p>
            <w:pPr>
              <w:pStyle w:val="Compact"/>
              <w:jc w:val="center"/>
            </w:pPr>
            <w:r>
              <w:rPr>
                <w:b w:val="0"/>
              </w:rPr>
              <w:t>51.46</w:t>
            </w:r>
          </w:p>
        </w:tc>
        <w:tc>
          <w:tcPr>
            <w:tcW w:type="dxa" w:w="900"/>
          </w:tcPr>
          <w:p>
            <w:pPr>
              <w:pStyle w:val="Compact"/>
              <w:jc w:val="left"/>
            </w:pPr>
            <w:r>
              <w:rPr>
                <w:b w:val="0"/>
              </w:rPr>
              <w:t>72.59</w:t>
            </w:r>
          </w:p>
        </w:tc>
        <w:tc>
          <w:tcPr>
            <w:tcW w:type="dxa" w:w="900"/>
          </w:tcPr>
          <w:p>
            <w:pPr>
              <w:pStyle w:val="Compact"/>
              <w:jc w:val="left"/>
            </w:pPr>
            <w:r>
              <w:rPr>
                <w:b w:val="0"/>
              </w:rPr>
              <w:t>64.87</w:t>
            </w:r>
          </w:p>
        </w:tc>
        <w:tc>
          <w:tcPr>
            <w:tcW w:type="dxa" w:w="900"/>
          </w:tcPr>
          <w:p>
            <w:pPr>
              <w:pStyle w:val="Compact"/>
              <w:jc w:val="left"/>
            </w:pPr>
            <w:r>
              <w:rPr>
                <w:b w:val="0"/>
              </w:rPr>
              <w:t>+13.41</w:t>
            </w:r>
          </w:p>
        </w:tc>
      </w:tr>
      <w:tr>
        <w:tc>
          <w:tcPr>
            <w:tcW w:type="dxa" w:w="2322"/>
          </w:tcPr>
          <w:p>
            <w:pPr>
              <w:pStyle w:val="Compact"/>
              <w:jc w:val="left"/>
            </w:pPr>
            <w:r>
              <w:rPr>
                <w:b w:val="0"/>
              </w:rPr>
              <w:t>qwen3:8b_baseline</w:t>
            </w:r>
          </w:p>
        </w:tc>
        <w:tc>
          <w:tcPr>
            <w:tcW w:type="dxa" w:w="1116"/>
          </w:tcPr>
          <w:p>
            <w:pPr>
              <w:pStyle w:val="Compact"/>
              <w:jc w:val="left"/>
            </w:pPr>
            <w:r>
              <w:rPr>
                <w:b w:val="0"/>
              </w:rPr>
              <w:t>qwen3_nothink_n120_REMOTO</w:t>
            </w:r>
          </w:p>
        </w:tc>
        <w:tc>
          <w:tcPr>
            <w:tcW w:type="dxa" w:w="900"/>
          </w:tcPr>
          <w:p>
            <w:pPr>
              <w:pStyle w:val="Compact"/>
              <w:jc w:val="left"/>
            </w:pPr>
            <w:r>
              <w:rPr>
                <w:b w:val="0"/>
              </w:rPr>
              <w:t>46.25</w:t>
            </w:r>
          </w:p>
        </w:tc>
        <w:tc>
          <w:tcPr>
            <w:tcW w:type="dxa" w:w="900"/>
          </w:tcPr>
          <w:p>
            <w:pPr>
              <w:pStyle w:val="Compact"/>
              <w:jc w:val="center"/>
            </w:pPr>
            <w:r>
              <w:rPr>
                <w:b w:val="0"/>
              </w:rPr>
              <w:t>55.02</w:t>
            </w:r>
          </w:p>
        </w:tc>
        <w:tc>
          <w:tcPr>
            <w:tcW w:type="dxa" w:w="900"/>
          </w:tcPr>
          <w:p>
            <w:pPr>
              <w:pStyle w:val="Compact"/>
              <w:jc w:val="center"/>
            </w:pPr>
            <w:r>
              <w:rPr>
                <w:b w:val="0"/>
              </w:rPr>
              <w:t>48.21</w:t>
            </w:r>
          </w:p>
        </w:tc>
        <w:tc>
          <w:tcPr>
            <w:tcW w:type="dxa" w:w="900"/>
          </w:tcPr>
          <w:p>
            <w:pPr>
              <w:pStyle w:val="Compact"/>
              <w:jc w:val="left"/>
            </w:pPr>
            <w:r>
              <w:rPr>
                <w:b w:val="0"/>
              </w:rPr>
              <w:t>75.27</w:t>
            </w:r>
          </w:p>
        </w:tc>
        <w:tc>
          <w:tcPr>
            <w:tcW w:type="dxa" w:w="900"/>
          </w:tcPr>
          <w:p>
            <w:pPr>
              <w:pStyle w:val="Compact"/>
              <w:jc w:val="left"/>
            </w:pPr>
            <w:r>
              <w:rPr>
                <w:b w:val="0"/>
              </w:rPr>
              <w:t>63.05</w:t>
            </w:r>
          </w:p>
        </w:tc>
        <w:tc>
          <w:tcPr>
            <w:tcW w:type="dxa" w:w="900"/>
          </w:tcPr>
          <w:p>
            <w:pPr>
              <w:pStyle w:val="Compact"/>
              <w:jc w:val="left"/>
            </w:pPr>
            <w:r>
              <w:rPr>
                <w:b w:val="0"/>
              </w:rPr>
              <w:t>+14.84</w:t>
            </w:r>
          </w:p>
        </w:tc>
      </w:tr>
      <w:tr>
        <w:tc>
          <w:tcPr>
            <w:tcW w:type="dxa" w:w="2322"/>
          </w:tcPr>
          <w:p>
            <w:pPr>
              <w:pStyle w:val="Compact"/>
              <w:jc w:val="left"/>
            </w:pPr>
            <w:r>
              <w:rPr>
                <w:b w:val="0"/>
              </w:rPr>
              <w:t>qwen2.5:14b_rag_enhanced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50.99</w:t>
            </w:r>
          </w:p>
        </w:tc>
        <w:tc>
          <w:tcPr>
            <w:tcW w:type="dxa" w:w="900"/>
          </w:tcPr>
          <w:p>
            <w:pPr>
              <w:pStyle w:val="Compact"/>
              <w:jc w:val="center"/>
            </w:pPr>
            <w:r>
              <w:rPr>
                <w:b w:val="0"/>
              </w:rPr>
              <w:t>51.31</w:t>
            </w:r>
          </w:p>
        </w:tc>
        <w:tc>
          <w:tcPr>
            <w:tcW w:type="dxa" w:w="900"/>
          </w:tcPr>
          <w:p>
            <w:pPr>
              <w:pStyle w:val="Compact"/>
              <w:jc w:val="center"/>
            </w:pPr>
            <w:r>
              <w:rPr>
                <w:b w:val="0"/>
              </w:rPr>
              <w:t>49.05</w:t>
            </w:r>
          </w:p>
        </w:tc>
        <w:tc>
          <w:tcPr>
            <w:tcW w:type="dxa" w:w="900"/>
          </w:tcPr>
          <w:p>
            <w:pPr>
              <w:pStyle w:val="Compact"/>
              <w:jc w:val="left"/>
            </w:pPr>
            <w:r>
              <w:rPr>
                <w:b w:val="0"/>
              </w:rPr>
              <w:t>85.30</w:t>
            </w:r>
          </w:p>
        </w:tc>
        <w:tc>
          <w:tcPr>
            <w:tcW w:type="dxa" w:w="900"/>
          </w:tcPr>
          <w:p>
            <w:pPr>
              <w:pStyle w:val="Compact"/>
              <w:jc w:val="left"/>
            </w:pPr>
            <w:r>
              <w:rPr>
                <w:b w:val="0"/>
              </w:rPr>
              <w:t>63.64</w:t>
            </w:r>
          </w:p>
        </w:tc>
        <w:tc>
          <w:tcPr>
            <w:tcW w:type="dxa" w:w="900"/>
          </w:tcPr>
          <w:p>
            <w:pPr>
              <w:pStyle w:val="Compact"/>
              <w:jc w:val="left"/>
            </w:pPr>
            <w:r>
              <w:rPr>
                <w:b w:val="0"/>
              </w:rPr>
              <w:t>+14.59</w:t>
            </w:r>
          </w:p>
        </w:tc>
      </w:tr>
      <w:tr>
        <w:tc>
          <w:tcPr>
            <w:tcW w:type="dxa" w:w="2322"/>
          </w:tcPr>
          <w:p>
            <w:pPr>
              <w:pStyle w:val="Compact"/>
              <w:jc w:val="left"/>
            </w:pPr>
            <w:r>
              <w:rPr>
                <w:b w:val="0"/>
              </w:rPr>
              <w:t>llama3.2:latest_kb_rag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48.92</w:t>
            </w:r>
          </w:p>
        </w:tc>
        <w:tc>
          <w:tcPr>
            <w:tcW w:type="dxa" w:w="900"/>
          </w:tcPr>
          <w:p>
            <w:pPr>
              <w:pStyle w:val="Compact"/>
              <w:jc w:val="center"/>
            </w:pPr>
            <w:r>
              <w:rPr>
                <w:b w:val="0"/>
              </w:rPr>
              <w:t>51.81</w:t>
            </w:r>
          </w:p>
        </w:tc>
        <w:tc>
          <w:tcPr>
            <w:tcW w:type="dxa" w:w="900"/>
          </w:tcPr>
          <w:p>
            <w:pPr>
              <w:pStyle w:val="Compact"/>
              <w:jc w:val="center"/>
            </w:pPr>
            <w:r>
              <w:rPr>
                <w:b w:val="0"/>
              </w:rPr>
              <w:t>46.93</w:t>
            </w:r>
          </w:p>
        </w:tc>
        <w:tc>
          <w:tcPr>
            <w:tcW w:type="dxa" w:w="900"/>
          </w:tcPr>
          <w:p>
            <w:pPr>
              <w:pStyle w:val="Compact"/>
              <w:jc w:val="left"/>
            </w:pPr>
            <w:r>
              <w:rPr>
                <w:b w:val="0"/>
              </w:rPr>
              <w:t>75.45</w:t>
            </w:r>
          </w:p>
        </w:tc>
        <w:tc>
          <w:tcPr>
            <w:tcW w:type="dxa" w:w="900"/>
          </w:tcPr>
          <w:p>
            <w:pPr>
              <w:pStyle w:val="Compact"/>
              <w:jc w:val="left"/>
            </w:pPr>
            <w:r>
              <w:rPr>
                <w:b w:val="0"/>
              </w:rPr>
              <w:t>59.86</w:t>
            </w:r>
          </w:p>
        </w:tc>
        <w:tc>
          <w:tcPr>
            <w:tcW w:type="dxa" w:w="900"/>
          </w:tcPr>
          <w:p>
            <w:pPr>
              <w:pStyle w:val="Compact"/>
              <w:jc w:val="left"/>
            </w:pPr>
            <w:r>
              <w:rPr>
                <w:b w:val="0"/>
              </w:rPr>
              <w:t>+12.92</w:t>
            </w:r>
          </w:p>
        </w:tc>
      </w:tr>
      <w:tr>
        <w:tc>
          <w:tcPr>
            <w:tcW w:type="dxa" w:w="2322"/>
          </w:tcPr>
          <w:p>
            <w:pPr>
              <w:pStyle w:val="Compact"/>
              <w:jc w:val="left"/>
            </w:pPr>
            <w:r>
              <w:rPr>
                <w:b w:val="0"/>
              </w:rPr>
              <w:t>llama3.1:8b_rag_enhanced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47.02</w:t>
            </w:r>
          </w:p>
        </w:tc>
        <w:tc>
          <w:tcPr>
            <w:tcW w:type="dxa" w:w="900"/>
          </w:tcPr>
          <w:p>
            <w:pPr>
              <w:pStyle w:val="Compact"/>
              <w:jc w:val="center"/>
            </w:pPr>
            <w:r>
              <w:rPr>
                <w:b w:val="0"/>
              </w:rPr>
              <w:t>46.98</w:t>
            </w:r>
          </w:p>
        </w:tc>
        <w:tc>
          <w:tcPr>
            <w:tcW w:type="dxa" w:w="900"/>
          </w:tcPr>
          <w:p>
            <w:pPr>
              <w:pStyle w:val="Compact"/>
              <w:jc w:val="center"/>
            </w:pPr>
            <w:r>
              <w:rPr>
                <w:b w:val="0"/>
              </w:rPr>
              <w:t>44.56</w:t>
            </w:r>
          </w:p>
        </w:tc>
        <w:tc>
          <w:tcPr>
            <w:tcW w:type="dxa" w:w="900"/>
          </w:tcPr>
          <w:p>
            <w:pPr>
              <w:pStyle w:val="Compact"/>
              <w:jc w:val="left"/>
            </w:pPr>
            <w:r>
              <w:rPr>
                <w:b w:val="0"/>
              </w:rPr>
              <w:t>87.02</w:t>
            </w:r>
          </w:p>
        </w:tc>
        <w:tc>
          <w:tcPr>
            <w:tcW w:type="dxa" w:w="900"/>
          </w:tcPr>
          <w:p>
            <w:pPr>
              <w:pStyle w:val="Compact"/>
              <w:jc w:val="left"/>
            </w:pPr>
            <w:r>
              <w:rPr>
                <w:b w:val="0"/>
              </w:rPr>
              <w:t>59.25</w:t>
            </w:r>
          </w:p>
        </w:tc>
        <w:tc>
          <w:tcPr>
            <w:tcW w:type="dxa" w:w="900"/>
          </w:tcPr>
          <w:p>
            <w:pPr>
              <w:pStyle w:val="Compact"/>
              <w:jc w:val="left"/>
            </w:pPr>
            <w:r>
              <w:rPr>
                <w:b w:val="0"/>
              </w:rPr>
              <w:t>+14.69</w:t>
            </w:r>
          </w:p>
        </w:tc>
      </w:tr>
      <w:tr>
        <w:tc>
          <w:tcPr>
            <w:tcW w:type="dxa" w:w="2322"/>
          </w:tcPr>
          <w:p>
            <w:pPr>
              <w:pStyle w:val="Compact"/>
              <w:jc w:val="left"/>
            </w:pPr>
            <w:r>
              <w:rPr>
                <w:b w:val="0"/>
              </w:rPr>
              <w:t>gemma:latest_kb_rag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52.31</w:t>
            </w:r>
          </w:p>
        </w:tc>
        <w:tc>
          <w:tcPr>
            <w:tcW w:type="dxa" w:w="900"/>
          </w:tcPr>
          <w:p>
            <w:pPr>
              <w:pStyle w:val="Compact"/>
              <w:jc w:val="center"/>
            </w:pPr>
            <w:r>
              <w:rPr>
                <w:b w:val="0"/>
              </w:rPr>
              <w:t>56.62</w:t>
            </w:r>
          </w:p>
        </w:tc>
        <w:tc>
          <w:tcPr>
            <w:tcW w:type="dxa" w:w="900"/>
          </w:tcPr>
          <w:p>
            <w:pPr>
              <w:pStyle w:val="Compact"/>
              <w:jc w:val="center"/>
            </w:pPr>
            <w:r>
              <w:rPr>
                <w:b w:val="0"/>
              </w:rPr>
              <w:t>51.36</w:t>
            </w:r>
          </w:p>
        </w:tc>
        <w:tc>
          <w:tcPr>
            <w:tcW w:type="dxa" w:w="900"/>
          </w:tcPr>
          <w:p>
            <w:pPr>
              <w:pStyle w:val="Compact"/>
              <w:jc w:val="left"/>
            </w:pPr>
            <w:r>
              <w:rPr>
                <w:b w:val="0"/>
              </w:rPr>
              <w:t>61.48</w:t>
            </w:r>
          </w:p>
        </w:tc>
        <w:tc>
          <w:tcPr>
            <w:tcW w:type="dxa" w:w="900"/>
          </w:tcPr>
          <w:p>
            <w:pPr>
              <w:pStyle w:val="Compact"/>
              <w:jc w:val="left"/>
            </w:pPr>
            <w:r>
              <w:rPr>
                <w:b w:val="0"/>
              </w:rPr>
              <w:t>56.37</w:t>
            </w:r>
          </w:p>
        </w:tc>
        <w:tc>
          <w:tcPr>
            <w:tcW w:type="dxa" w:w="900"/>
          </w:tcPr>
          <w:p>
            <w:pPr>
              <w:pStyle w:val="Compact"/>
              <w:jc w:val="left"/>
            </w:pPr>
            <w:r>
              <w:rPr>
                <w:b w:val="0"/>
              </w:rPr>
              <w:t>+5.01</w:t>
            </w:r>
          </w:p>
        </w:tc>
      </w:tr>
      <w:tr>
        <w:tc>
          <w:tcPr>
            <w:tcW w:type="dxa" w:w="2322"/>
          </w:tcPr>
          <w:p>
            <w:pPr>
              <w:pStyle w:val="Compact"/>
              <w:jc w:val="left"/>
            </w:pPr>
            <w:r>
              <w:rPr>
                <w:b w:val="0"/>
              </w:rPr>
              <w:t>mistral-nemo:latest_baseline</w:t>
            </w:r>
          </w:p>
        </w:tc>
        <w:tc>
          <w:tcPr>
            <w:tcW w:type="dxa" w:w="1116"/>
          </w:tcPr>
          <w:p>
            <w:pPr>
              <w:pStyle w:val="Compact"/>
              <w:jc w:val="left"/>
            </w:pPr>
            <w:r>
              <w:rPr>
                <w:b w:val="0"/>
              </w:rPr>
              <w:t>benchmark_n120_REMOTO</w:t>
            </w:r>
          </w:p>
        </w:tc>
        <w:tc>
          <w:tcPr>
            <w:tcW w:type="dxa" w:w="900"/>
          </w:tcPr>
          <w:p>
            <w:pPr>
              <w:pStyle w:val="Compact"/>
              <w:jc w:val="left"/>
            </w:pPr>
            <w:r>
              <w:rPr>
                <w:b w:val="0"/>
              </w:rPr>
              <w:t>52.39</w:t>
            </w:r>
          </w:p>
        </w:tc>
        <w:tc>
          <w:tcPr>
            <w:tcW w:type="dxa" w:w="900"/>
          </w:tcPr>
          <w:p>
            <w:pPr>
              <w:pStyle w:val="Compact"/>
              <w:jc w:val="center"/>
            </w:pPr>
            <w:r>
              <w:rPr>
                <w:b w:val="0"/>
              </w:rPr>
              <w:t>41.09</w:t>
            </w:r>
          </w:p>
        </w:tc>
        <w:tc>
          <w:tcPr>
            <w:tcW w:type="dxa" w:w="900"/>
          </w:tcPr>
          <w:p>
            <w:pPr>
              <w:pStyle w:val="Compact"/>
              <w:jc w:val="center"/>
            </w:pPr>
            <w:r>
              <w:rPr>
                <w:b w:val="0"/>
              </w:rPr>
              <w:t>43.38</w:t>
            </w:r>
          </w:p>
        </w:tc>
        <w:tc>
          <w:tcPr>
            <w:tcW w:type="dxa" w:w="900"/>
          </w:tcPr>
          <w:p>
            <w:pPr>
              <w:pStyle w:val="Compact"/>
              <w:jc w:val="left"/>
            </w:pPr>
            <w:r>
              <w:rPr>
                <w:b w:val="0"/>
              </w:rPr>
              <w:t>82.24</w:t>
            </w:r>
          </w:p>
        </w:tc>
        <w:tc>
          <w:tcPr>
            <w:tcW w:type="dxa" w:w="900"/>
          </w:tcPr>
          <w:p>
            <w:pPr>
              <w:pStyle w:val="Compact"/>
              <w:jc w:val="left"/>
            </w:pPr>
            <w:r>
              <w:rPr>
                <w:b w:val="0"/>
              </w:rPr>
              <w:t>54.09</w:t>
            </w:r>
          </w:p>
        </w:tc>
        <w:tc>
          <w:tcPr>
            <w:tcW w:type="dxa" w:w="900"/>
          </w:tcPr>
          <w:p>
            <w:pPr>
              <w:pStyle w:val="Compact"/>
              <w:jc w:val="left"/>
            </w:pPr>
            <w:r>
              <w:rPr>
                <w:b w:val="0"/>
              </w:rPr>
              <w:t>+10.70</w:t>
            </w:r>
          </w:p>
        </w:tc>
      </w:tr>
      <w:tr>
        <w:tc>
          <w:tcPr>
            <w:tcW w:type="dxa" w:w="2322"/>
          </w:tcPr>
          <w:p>
            <w:pPr>
              <w:pStyle w:val="Compact"/>
              <w:jc w:val="left"/>
            </w:pPr>
            <w:r>
              <w:rPr>
                <w:b w:val="0"/>
              </w:rPr>
              <w:t>qwen3:8b_rag_enhanced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43.47</w:t>
            </w:r>
          </w:p>
        </w:tc>
        <w:tc>
          <w:tcPr>
            <w:tcW w:type="dxa" w:w="900"/>
          </w:tcPr>
          <w:p>
            <w:pPr>
              <w:pStyle w:val="Compact"/>
              <w:jc w:val="center"/>
            </w:pPr>
            <w:r>
              <w:rPr>
                <w:b w:val="0"/>
              </w:rPr>
              <w:t>45.28</w:t>
            </w:r>
          </w:p>
        </w:tc>
        <w:tc>
          <w:tcPr>
            <w:tcW w:type="dxa" w:w="900"/>
          </w:tcPr>
          <w:p>
            <w:pPr>
              <w:pStyle w:val="Compact"/>
              <w:jc w:val="center"/>
            </w:pPr>
            <w:r>
              <w:rPr>
                <w:b w:val="0"/>
              </w:rPr>
              <w:t>43.17</w:t>
            </w:r>
          </w:p>
        </w:tc>
        <w:tc>
          <w:tcPr>
            <w:tcW w:type="dxa" w:w="900"/>
          </w:tcPr>
          <w:p>
            <w:pPr>
              <w:pStyle w:val="Compact"/>
              <w:jc w:val="left"/>
            </w:pPr>
            <w:r>
              <w:rPr>
                <w:b w:val="0"/>
              </w:rPr>
              <w:t>71.66</w:t>
            </w:r>
          </w:p>
        </w:tc>
        <w:tc>
          <w:tcPr>
            <w:tcW w:type="dxa" w:w="900"/>
          </w:tcPr>
          <w:p>
            <w:pPr>
              <w:pStyle w:val="Compact"/>
              <w:jc w:val="left"/>
            </w:pPr>
            <w:r>
              <w:rPr>
                <w:b w:val="0"/>
              </w:rPr>
              <w:t>56.00</w:t>
            </w:r>
          </w:p>
        </w:tc>
        <w:tc>
          <w:tcPr>
            <w:tcW w:type="dxa" w:w="900"/>
          </w:tcPr>
          <w:p>
            <w:pPr>
              <w:pStyle w:val="Compact"/>
              <w:jc w:val="left"/>
            </w:pPr>
            <w:r>
              <w:rPr>
                <w:b w:val="0"/>
              </w:rPr>
              <w:t>+12.83</w:t>
            </w:r>
          </w:p>
        </w:tc>
      </w:tr>
      <w:tr>
        <w:tc>
          <w:tcPr>
            <w:tcW w:type="dxa" w:w="2322"/>
          </w:tcPr>
          <w:p>
            <w:pPr>
              <w:pStyle w:val="Compact"/>
              <w:jc w:val="left"/>
            </w:pPr>
            <w:r>
              <w:rPr>
                <w:b w:val="0"/>
              </w:rPr>
              <w:t>mistral-nemo:latest_kb_rag</w:t>
            </w:r>
          </w:p>
        </w:tc>
        <w:tc>
          <w:tcPr>
            <w:tcW w:type="dxa" w:w="1116"/>
          </w:tcPr>
          <w:p>
            <w:pPr>
              <w:pStyle w:val="Compact"/>
              <w:jc w:val="left"/>
            </w:pPr>
            <w:r>
              <w:rPr>
                <w:b w:val="0"/>
              </w:rPr>
              <w:t>benchmark_n120_REMOTO</w:t>
            </w:r>
          </w:p>
        </w:tc>
        <w:tc>
          <w:tcPr>
            <w:tcW w:type="dxa" w:w="900"/>
          </w:tcPr>
          <w:p>
            <w:pPr>
              <w:pStyle w:val="Compact"/>
              <w:jc w:val="left"/>
            </w:pPr>
            <w:r>
              <w:rPr>
                <w:b w:val="0"/>
              </w:rPr>
              <w:t>57.59</w:t>
            </w:r>
          </w:p>
        </w:tc>
        <w:tc>
          <w:tcPr>
            <w:tcW w:type="dxa" w:w="900"/>
          </w:tcPr>
          <w:p>
            <w:pPr>
              <w:pStyle w:val="Compact"/>
              <w:jc w:val="center"/>
            </w:pPr>
            <w:r>
              <w:rPr>
                <w:b w:val="0"/>
              </w:rPr>
              <w:t>41.91</w:t>
            </w:r>
          </w:p>
        </w:tc>
        <w:tc>
          <w:tcPr>
            <w:tcW w:type="dxa" w:w="900"/>
          </w:tcPr>
          <w:p>
            <w:pPr>
              <w:pStyle w:val="Compact"/>
              <w:jc w:val="center"/>
            </w:pPr>
            <w:r>
              <w:rPr>
                <w:b w:val="0"/>
              </w:rPr>
              <w:t>45.76</w:t>
            </w:r>
          </w:p>
        </w:tc>
        <w:tc>
          <w:tcPr>
            <w:tcW w:type="dxa" w:w="900"/>
          </w:tcPr>
          <w:p>
            <w:pPr>
              <w:pStyle w:val="Compact"/>
              <w:jc w:val="left"/>
            </w:pPr>
            <w:r>
              <w:rPr>
                <w:b w:val="0"/>
              </w:rPr>
              <w:t>80.15</w:t>
            </w:r>
          </w:p>
        </w:tc>
        <w:tc>
          <w:tcPr>
            <w:tcW w:type="dxa" w:w="900"/>
          </w:tcPr>
          <w:p>
            <w:pPr>
              <w:pStyle w:val="Compact"/>
              <w:jc w:val="left"/>
            </w:pPr>
            <w:r>
              <w:rPr>
                <w:b w:val="0"/>
              </w:rPr>
              <w:t>53.07</w:t>
            </w:r>
          </w:p>
        </w:tc>
        <w:tc>
          <w:tcPr>
            <w:tcW w:type="dxa" w:w="900"/>
          </w:tcPr>
          <w:p>
            <w:pPr>
              <w:pStyle w:val="Compact"/>
              <w:jc w:val="left"/>
            </w:pPr>
            <w:r>
              <w:rPr>
                <w:b w:val="0"/>
              </w:rPr>
              <w:t>+7.31</w:t>
            </w:r>
          </w:p>
        </w:tc>
      </w:tr>
      <w:tr>
        <w:tc>
          <w:tcPr>
            <w:tcW w:type="dxa" w:w="2322"/>
          </w:tcPr>
          <w:p>
            <w:pPr>
              <w:pStyle w:val="Compact"/>
              <w:jc w:val="left"/>
            </w:pPr>
            <w:r>
              <w:rPr>
                <w:b w:val="0"/>
              </w:rPr>
              <w:t>gemma:latest_baseline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49.00</w:t>
            </w:r>
          </w:p>
        </w:tc>
        <w:tc>
          <w:tcPr>
            <w:tcW w:type="dxa" w:w="900"/>
          </w:tcPr>
          <w:p>
            <w:pPr>
              <w:pStyle w:val="Compact"/>
              <w:jc w:val="center"/>
            </w:pPr>
            <w:r>
              <w:rPr>
                <w:b w:val="0"/>
              </w:rPr>
              <w:t>44.97</w:t>
            </w:r>
          </w:p>
        </w:tc>
        <w:tc>
          <w:tcPr>
            <w:tcW w:type="dxa" w:w="900"/>
          </w:tcPr>
          <w:p>
            <w:pPr>
              <w:pStyle w:val="Compact"/>
              <w:jc w:val="center"/>
            </w:pPr>
            <w:r>
              <w:rPr>
                <w:b w:val="0"/>
              </w:rPr>
              <w:t>44.00</w:t>
            </w:r>
          </w:p>
        </w:tc>
        <w:tc>
          <w:tcPr>
            <w:tcW w:type="dxa" w:w="900"/>
          </w:tcPr>
          <w:p>
            <w:pPr>
              <w:pStyle w:val="Compact"/>
              <w:jc w:val="left"/>
            </w:pPr>
            <w:r>
              <w:rPr>
                <w:b w:val="0"/>
              </w:rPr>
              <w:t>65.23</w:t>
            </w:r>
          </w:p>
        </w:tc>
        <w:tc>
          <w:tcPr>
            <w:tcW w:type="dxa" w:w="900"/>
          </w:tcPr>
          <w:p>
            <w:pPr>
              <w:pStyle w:val="Compact"/>
              <w:jc w:val="left"/>
            </w:pPr>
            <w:r>
              <w:rPr>
                <w:b w:val="0"/>
              </w:rPr>
              <w:t>51.85</w:t>
            </w:r>
          </w:p>
        </w:tc>
        <w:tc>
          <w:tcPr>
            <w:tcW w:type="dxa" w:w="900"/>
          </w:tcPr>
          <w:p>
            <w:pPr>
              <w:pStyle w:val="Compact"/>
              <w:jc w:val="left"/>
            </w:pPr>
            <w:r>
              <w:rPr>
                <w:b w:val="0"/>
              </w:rPr>
              <w:t>+7.85</w:t>
            </w:r>
          </w:p>
        </w:tc>
      </w:tr>
      <w:tr>
        <w:tc>
          <w:tcPr>
            <w:tcW w:type="dxa" w:w="2322"/>
          </w:tcPr>
          <w:p>
            <w:pPr>
              <w:pStyle w:val="Compact"/>
              <w:jc w:val="left"/>
            </w:pPr>
            <w:r>
              <w:rPr>
                <w:b w:val="0"/>
              </w:rPr>
              <w:t>llama3.2:latest_baseline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llama3.2:latest</w:t>
            </w:r>
          </w:p>
        </w:tc>
        <w:tc>
          <w:tcPr>
            <w:tcW w:type="dxa" w:w="1116"/>
          </w:tcPr>
          <w:p>
            <w:pPr>
              <w:pStyle w:val="Compact"/>
              <w:jc w:val="left"/>
            </w:pPr>
            <w:r>
              <w:rPr>
                <w:b w:val="0"/>
              </w:rPr>
              <w:t>benchmark_balanced_120_20260824_173017</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gemma:latest_rag_enhanced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46.09</w:t>
            </w:r>
          </w:p>
        </w:tc>
        <w:tc>
          <w:tcPr>
            <w:tcW w:type="dxa" w:w="900"/>
          </w:tcPr>
          <w:p>
            <w:pPr>
              <w:pStyle w:val="Compact"/>
              <w:jc w:val="center"/>
            </w:pPr>
            <w:r>
              <w:rPr>
                <w:b w:val="0"/>
              </w:rPr>
              <w:t>39.74</w:t>
            </w:r>
          </w:p>
        </w:tc>
        <w:tc>
          <w:tcPr>
            <w:tcW w:type="dxa" w:w="900"/>
          </w:tcPr>
          <w:p>
            <w:pPr>
              <w:pStyle w:val="Compact"/>
              <w:jc w:val="center"/>
            </w:pPr>
            <w:r>
              <w:rPr>
                <w:b w:val="0"/>
              </w:rPr>
              <w:t>40.09</w:t>
            </w:r>
          </w:p>
        </w:tc>
        <w:tc>
          <w:tcPr>
            <w:tcW w:type="dxa" w:w="900"/>
          </w:tcPr>
          <w:p>
            <w:pPr>
              <w:pStyle w:val="Compact"/>
              <w:jc w:val="left"/>
            </w:pPr>
            <w:r>
              <w:rPr>
                <w:b w:val="0"/>
              </w:rPr>
              <w:t>63.27</w:t>
            </w:r>
          </w:p>
        </w:tc>
        <w:tc>
          <w:tcPr>
            <w:tcW w:type="dxa" w:w="900"/>
          </w:tcPr>
          <w:p>
            <w:pPr>
              <w:pStyle w:val="Compact"/>
              <w:jc w:val="left"/>
            </w:pPr>
            <w:r>
              <w:rPr>
                <w:b w:val="0"/>
              </w:rPr>
              <w:t>47.57</w:t>
            </w:r>
          </w:p>
        </w:tc>
        <w:tc>
          <w:tcPr>
            <w:tcW w:type="dxa" w:w="900"/>
          </w:tcPr>
          <w:p>
            <w:pPr>
              <w:pStyle w:val="Compact"/>
              <w:jc w:val="left"/>
            </w:pPr>
            <w:r>
              <w:rPr>
                <w:b w:val="0"/>
              </w:rPr>
              <w:t>+7.48</w:t>
            </w:r>
          </w:p>
        </w:tc>
      </w:tr>
      <w:tr>
        <w:tc>
          <w:tcPr>
            <w:tcW w:type="dxa" w:w="2322"/>
          </w:tcPr>
          <w:p>
            <w:pPr>
              <w:pStyle w:val="Compact"/>
              <w:jc w:val="left"/>
            </w:pPr>
            <w:r>
              <w:rPr>
                <w:b w:val="0"/>
              </w:rPr>
              <w:t>nemotron-mini:4b_kb_rag</w:t>
            </w:r>
          </w:p>
        </w:tc>
        <w:tc>
          <w:tcPr>
            <w:tcW w:type="dxa" w:w="1116"/>
          </w:tcPr>
          <w:p>
            <w:pPr>
              <w:pStyle w:val="Compact"/>
              <w:jc w:val="left"/>
            </w:pPr>
            <w:r>
              <w:rPr>
                <w:b w:val="0"/>
              </w:rPr>
              <w:t>nemotron_rerun_n120_REMOTO</w:t>
            </w:r>
          </w:p>
        </w:tc>
        <w:tc>
          <w:tcPr>
            <w:tcW w:type="dxa" w:w="900"/>
          </w:tcPr>
          <w:p>
            <w:pPr>
              <w:pStyle w:val="Compact"/>
              <w:jc w:val="left"/>
            </w:pPr>
            <w:r>
              <w:rPr>
                <w:b w:val="0"/>
              </w:rPr>
              <w:t>44.80</w:t>
            </w:r>
          </w:p>
        </w:tc>
        <w:tc>
          <w:tcPr>
            <w:tcW w:type="dxa" w:w="900"/>
          </w:tcPr>
          <w:p>
            <w:pPr>
              <w:pStyle w:val="Compact"/>
              <w:jc w:val="center"/>
            </w:pPr>
            <w:r>
              <w:rPr>
                <w:b w:val="0"/>
              </w:rPr>
              <w:t>36.62</w:t>
            </w:r>
          </w:p>
        </w:tc>
        <w:tc>
          <w:tcPr>
            <w:tcW w:type="dxa" w:w="900"/>
          </w:tcPr>
          <w:p>
            <w:pPr>
              <w:pStyle w:val="Compact"/>
              <w:jc w:val="center"/>
            </w:pPr>
            <w:r>
              <w:rPr>
                <w:b w:val="0"/>
              </w:rPr>
              <w:t>37.12</w:t>
            </w:r>
          </w:p>
        </w:tc>
        <w:tc>
          <w:tcPr>
            <w:tcW w:type="dxa" w:w="900"/>
          </w:tcPr>
          <w:p>
            <w:pPr>
              <w:pStyle w:val="Compact"/>
              <w:jc w:val="left"/>
            </w:pPr>
            <w:r>
              <w:rPr>
                <w:b w:val="0"/>
              </w:rPr>
              <w:t>55.19</w:t>
            </w:r>
          </w:p>
        </w:tc>
        <w:tc>
          <w:tcPr>
            <w:tcW w:type="dxa" w:w="900"/>
          </w:tcPr>
          <w:p>
            <w:pPr>
              <w:pStyle w:val="Compact"/>
              <w:jc w:val="left"/>
            </w:pPr>
            <w:r>
              <w:rPr>
                <w:b w:val="0"/>
              </w:rPr>
              <w:t>40.77</w:t>
            </w:r>
          </w:p>
        </w:tc>
        <w:tc>
          <w:tcPr>
            <w:tcW w:type="dxa" w:w="900"/>
          </w:tcPr>
          <w:p>
            <w:pPr>
              <w:pStyle w:val="Compact"/>
              <w:jc w:val="left"/>
            </w:pPr>
            <w:r>
              <w:rPr>
                <w:b w:val="0"/>
              </w:rPr>
              <w:t>+3.65</w:t>
            </w:r>
          </w:p>
        </w:tc>
      </w:tr>
      <w:tr>
        <w:tc>
          <w:tcPr>
            <w:tcW w:type="dxa" w:w="2322"/>
          </w:tcPr>
          <w:p>
            <w:pPr>
              <w:pStyle w:val="Compact"/>
              <w:jc w:val="left"/>
            </w:pPr>
            <w:r>
              <w:rPr>
                <w:b w:val="0"/>
              </w:rPr>
              <w:t>llama3.2:latest_rag_enhanced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38.78</w:t>
            </w:r>
          </w:p>
        </w:tc>
        <w:tc>
          <w:tcPr>
            <w:tcW w:type="dxa" w:w="900"/>
          </w:tcPr>
          <w:p>
            <w:pPr>
              <w:pStyle w:val="Compact"/>
              <w:jc w:val="center"/>
            </w:pPr>
            <w:r>
              <w:rPr>
                <w:b w:val="0"/>
              </w:rPr>
              <w:t>30.41</w:t>
            </w:r>
          </w:p>
        </w:tc>
        <w:tc>
          <w:tcPr>
            <w:tcW w:type="dxa" w:w="900"/>
          </w:tcPr>
          <w:p>
            <w:pPr>
              <w:pStyle w:val="Compact"/>
              <w:jc w:val="center"/>
            </w:pPr>
            <w:r>
              <w:rPr>
                <w:b w:val="0"/>
              </w:rPr>
              <w:t>31.13</w:t>
            </w:r>
          </w:p>
        </w:tc>
        <w:tc>
          <w:tcPr>
            <w:tcW w:type="dxa" w:w="900"/>
          </w:tcPr>
          <w:p>
            <w:pPr>
              <w:pStyle w:val="Compact"/>
              <w:jc w:val="left"/>
            </w:pPr>
            <w:r>
              <w:rPr>
                <w:b w:val="0"/>
              </w:rPr>
              <w:t>70.58</w:t>
            </w:r>
          </w:p>
        </w:tc>
        <w:tc>
          <w:tcPr>
            <w:tcW w:type="dxa" w:w="900"/>
          </w:tcPr>
          <w:p>
            <w:pPr>
              <w:pStyle w:val="Compact"/>
              <w:jc w:val="left"/>
            </w:pPr>
            <w:r>
              <w:rPr>
                <w:b w:val="0"/>
              </w:rPr>
              <w:t>38.90</w:t>
            </w:r>
          </w:p>
        </w:tc>
        <w:tc>
          <w:tcPr>
            <w:tcW w:type="dxa" w:w="900"/>
          </w:tcPr>
          <w:p>
            <w:pPr>
              <w:pStyle w:val="Compact"/>
              <w:jc w:val="left"/>
            </w:pPr>
            <w:r>
              <w:rPr>
                <w:b w:val="0"/>
              </w:rPr>
              <w:t>+7.77</w:t>
            </w:r>
          </w:p>
        </w:tc>
      </w:tr>
      <w:tr>
        <w:tc>
          <w:tcPr>
            <w:tcW w:type="dxa" w:w="2322"/>
          </w:tcPr>
          <w:p>
            <w:pPr>
              <w:pStyle w:val="Compact"/>
              <w:jc w:val="left"/>
            </w:pPr>
            <w:r>
              <w:rPr>
                <w:b w:val="0"/>
              </w:rPr>
              <w:t>gemma4:12b-mlx_baseline</w:t>
            </w:r>
          </w:p>
        </w:tc>
        <w:tc>
          <w:tcPr>
            <w:tcW w:type="dxa" w:w="1116"/>
          </w:tcPr>
          <w:p>
            <w:pPr>
              <w:pStyle w:val="Compact"/>
              <w:jc w:val="left"/>
            </w:pPr>
            <w:r>
              <w:rPr>
                <w:b w:val="0"/>
              </w:rPr>
              <w:t>afectados_thinking_n120_REMOTO</w:t>
            </w:r>
          </w:p>
        </w:tc>
        <w:tc>
          <w:tcPr>
            <w:tcW w:type="dxa" w:w="900"/>
          </w:tcPr>
          <w:p>
            <w:pPr>
              <w:pStyle w:val="Compact"/>
              <w:jc w:val="left"/>
            </w:pPr>
            <w:r>
              <w:rPr>
                <w:b w:val="0"/>
              </w:rPr>
              <w:t>51.91</w:t>
            </w:r>
          </w:p>
        </w:tc>
        <w:tc>
          <w:tcPr>
            <w:tcW w:type="dxa" w:w="900"/>
          </w:tcPr>
          <w:p>
            <w:pPr>
              <w:pStyle w:val="Compact"/>
              <w:jc w:val="center"/>
            </w:pPr>
            <w:r>
              <w:rPr>
                <w:b w:val="0"/>
              </w:rPr>
              <w:t>66.05</w:t>
            </w:r>
          </w:p>
        </w:tc>
        <w:tc>
          <w:tcPr>
            <w:tcW w:type="dxa" w:w="900"/>
          </w:tcPr>
          <w:p>
            <w:pPr>
              <w:pStyle w:val="Compact"/>
              <w:jc w:val="center"/>
            </w:pPr>
            <w:r>
              <w:rPr>
                <w:b w:val="0"/>
              </w:rPr>
              <w:t>56.18</w:t>
            </w:r>
          </w:p>
        </w:tc>
        <w:tc>
          <w:tcPr>
            <w:tcW w:type="dxa" w:w="900"/>
          </w:tcPr>
          <w:p>
            <w:pPr>
              <w:pStyle w:val="Compact"/>
              <w:jc w:val="left"/>
            </w:pPr>
            <w:r>
              <w:rPr>
                <w:b w:val="0"/>
              </w:rPr>
              <w:t>83.26</w:t>
            </w:r>
          </w:p>
        </w:tc>
        <w:tc>
          <w:tcPr>
            <w:tcW w:type="dxa" w:w="900"/>
          </w:tcPr>
          <w:p>
            <w:pPr>
              <w:pStyle w:val="Compact"/>
              <w:jc w:val="left"/>
            </w:pPr>
            <w:r>
              <w:rPr>
                <w:b w:val="0"/>
              </w:rPr>
              <w:t>73.81</w:t>
            </w:r>
          </w:p>
        </w:tc>
        <w:tc>
          <w:tcPr>
            <w:tcW w:type="dxa" w:w="900"/>
          </w:tcPr>
          <w:p>
            <w:pPr>
              <w:pStyle w:val="Compact"/>
              <w:jc w:val="left"/>
            </w:pPr>
            <w:r>
              <w:rPr>
                <w:b w:val="0"/>
              </w:rPr>
              <w:t>+17.63</w:t>
            </w:r>
          </w:p>
        </w:tc>
      </w:tr>
      <w:tr>
        <w:tc>
          <w:tcPr>
            <w:tcW w:type="dxa" w:w="2322"/>
          </w:tcPr>
          <w:p>
            <w:pPr>
              <w:pStyle w:val="Compact"/>
              <w:jc w:val="left"/>
            </w:pPr>
            <w:r>
              <w:rPr>
                <w:b w:val="0"/>
              </w:rPr>
              <w:t>mistral-nemo:latest_rag_enhanced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42.99</w:t>
            </w:r>
          </w:p>
        </w:tc>
        <w:tc>
          <w:tcPr>
            <w:tcW w:type="dxa" w:w="900"/>
          </w:tcPr>
          <w:p>
            <w:pPr>
              <w:pStyle w:val="Compact"/>
              <w:jc w:val="center"/>
            </w:pPr>
            <w:r>
              <w:rPr>
                <w:b w:val="0"/>
              </w:rPr>
              <w:t>24.38</w:t>
            </w:r>
          </w:p>
        </w:tc>
        <w:tc>
          <w:tcPr>
            <w:tcW w:type="dxa" w:w="900"/>
          </w:tcPr>
          <w:p>
            <w:pPr>
              <w:pStyle w:val="Compact"/>
              <w:jc w:val="center"/>
            </w:pPr>
            <w:r>
              <w:rPr>
                <w:b w:val="0"/>
              </w:rPr>
              <w:t>28.52</w:t>
            </w:r>
          </w:p>
        </w:tc>
        <w:tc>
          <w:tcPr>
            <w:tcW w:type="dxa" w:w="900"/>
          </w:tcPr>
          <w:p>
            <w:pPr>
              <w:pStyle w:val="Compact"/>
              <w:jc w:val="left"/>
            </w:pPr>
            <w:r>
              <w:rPr>
                <w:b w:val="0"/>
              </w:rPr>
              <w:t>79.85</w:t>
            </w:r>
          </w:p>
        </w:tc>
        <w:tc>
          <w:tcPr>
            <w:tcW w:type="dxa" w:w="900"/>
          </w:tcPr>
          <w:p>
            <w:pPr>
              <w:pStyle w:val="Compact"/>
              <w:jc w:val="left"/>
            </w:pPr>
            <w:r>
              <w:rPr>
                <w:b w:val="0"/>
              </w:rPr>
              <w:t>36.18</w:t>
            </w:r>
          </w:p>
        </w:tc>
        <w:tc>
          <w:tcPr>
            <w:tcW w:type="dxa" w:w="900"/>
          </w:tcPr>
          <w:p>
            <w:pPr>
              <w:pStyle w:val="Compact"/>
              <w:jc w:val="left"/>
            </w:pPr>
            <w:r>
              <w:rPr>
                <w:b w:val="0"/>
              </w:rPr>
              <w:t>+7.66</w:t>
            </w:r>
          </w:p>
        </w:tc>
      </w:tr>
      <w:tr>
        <w:tc>
          <w:tcPr>
            <w:tcW w:type="dxa" w:w="2322"/>
          </w:tcPr>
          <w:p>
            <w:pPr>
              <w:pStyle w:val="Compact"/>
              <w:jc w:val="left"/>
            </w:pPr>
            <w:r>
              <w:rPr>
                <w:b w:val="0"/>
              </w:rPr>
              <w:t>gemma4:31b-cloud_rag_enhanced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16.96</w:t>
            </w:r>
          </w:p>
        </w:tc>
        <w:tc>
          <w:tcPr>
            <w:tcW w:type="dxa" w:w="900"/>
          </w:tcPr>
          <w:p>
            <w:pPr>
              <w:pStyle w:val="Compact"/>
              <w:jc w:val="center"/>
            </w:pPr>
            <w:r>
              <w:rPr>
                <w:b w:val="0"/>
              </w:rPr>
              <w:t>21.11</w:t>
            </w:r>
          </w:p>
        </w:tc>
        <w:tc>
          <w:tcPr>
            <w:tcW w:type="dxa" w:w="900"/>
          </w:tcPr>
          <w:p>
            <w:pPr>
              <w:pStyle w:val="Compact"/>
              <w:jc w:val="center"/>
            </w:pPr>
            <w:r>
              <w:rPr>
                <w:b w:val="0"/>
              </w:rPr>
              <w:t>18.52</w:t>
            </w:r>
          </w:p>
        </w:tc>
        <w:tc>
          <w:tcPr>
            <w:tcW w:type="dxa" w:w="900"/>
          </w:tcPr>
          <w:p>
            <w:pPr>
              <w:pStyle w:val="Compact"/>
              <w:jc w:val="left"/>
            </w:pPr>
            <w:r>
              <w:rPr>
                <w:b w:val="0"/>
              </w:rPr>
              <w:t>24.56</w:t>
            </w:r>
          </w:p>
        </w:tc>
        <w:tc>
          <w:tcPr>
            <w:tcW w:type="dxa" w:w="900"/>
          </w:tcPr>
          <w:p>
            <w:pPr>
              <w:pStyle w:val="Compact"/>
              <w:jc w:val="left"/>
            </w:pPr>
            <w:r>
              <w:rPr>
                <w:b w:val="0"/>
              </w:rPr>
              <w:t>23.04</w:t>
            </w:r>
          </w:p>
        </w:tc>
        <w:tc>
          <w:tcPr>
            <w:tcW w:type="dxa" w:w="900"/>
          </w:tcPr>
          <w:p>
            <w:pPr>
              <w:pStyle w:val="Compact"/>
              <w:jc w:val="left"/>
            </w:pPr>
            <w:r>
              <w:rPr>
                <w:b w:val="0"/>
              </w:rPr>
              <w:t>+4.51</w:t>
            </w:r>
          </w:p>
        </w:tc>
      </w:tr>
      <w:tr>
        <w:tc>
          <w:tcPr>
            <w:tcW w:type="dxa" w:w="2322"/>
          </w:tcPr>
          <w:p>
            <w:pPr>
              <w:pStyle w:val="Compact"/>
              <w:jc w:val="left"/>
            </w:pPr>
            <w:r>
              <w:rPr>
                <w:b w:val="0"/>
              </w:rPr>
              <w:t>deepseek-r1:1.5b_baseline</w:t>
            </w:r>
          </w:p>
        </w:tc>
        <w:tc>
          <w:tcPr>
            <w:tcW w:type="dxa" w:w="1116"/>
          </w:tcPr>
          <w:p>
            <w:pPr>
              <w:pStyle w:val="Compact"/>
              <w:jc w:val="left"/>
            </w:pPr>
            <w:r>
              <w:rPr>
                <w:b w:val="0"/>
              </w:rPr>
              <w:t>benchmark_n120_REMOTO</w:t>
            </w:r>
          </w:p>
        </w:tc>
        <w:tc>
          <w:tcPr>
            <w:tcW w:type="dxa" w:w="900"/>
          </w:tcPr>
          <w:p>
            <w:pPr>
              <w:pStyle w:val="Compact"/>
              <w:jc w:val="left"/>
            </w:pPr>
            <w:r>
              <w:rPr>
                <w:b w:val="0"/>
              </w:rPr>
              <w:t>29.96</w:t>
            </w:r>
          </w:p>
        </w:tc>
        <w:tc>
          <w:tcPr>
            <w:tcW w:type="dxa" w:w="900"/>
          </w:tcPr>
          <w:p>
            <w:pPr>
              <w:pStyle w:val="Compact"/>
              <w:jc w:val="center"/>
            </w:pPr>
            <w:r>
              <w:rPr>
                <w:b w:val="0"/>
              </w:rPr>
              <w:t>24.72</w:t>
            </w:r>
          </w:p>
        </w:tc>
        <w:tc>
          <w:tcPr>
            <w:tcW w:type="dxa" w:w="900"/>
          </w:tcPr>
          <w:p>
            <w:pPr>
              <w:pStyle w:val="Compact"/>
              <w:jc w:val="center"/>
            </w:pPr>
            <w:r>
              <w:rPr>
                <w:b w:val="0"/>
              </w:rPr>
              <w:t>24.83</w:t>
            </w:r>
          </w:p>
        </w:tc>
        <w:tc>
          <w:tcPr>
            <w:tcW w:type="dxa" w:w="900"/>
          </w:tcPr>
          <w:p>
            <w:pPr>
              <w:pStyle w:val="Compact"/>
              <w:jc w:val="left"/>
            </w:pPr>
            <w:r>
              <w:rPr>
                <w:b w:val="0"/>
              </w:rPr>
              <w:t>43.27</w:t>
            </w:r>
          </w:p>
        </w:tc>
        <w:tc>
          <w:tcPr>
            <w:tcW w:type="dxa" w:w="900"/>
          </w:tcPr>
          <w:p>
            <w:pPr>
              <w:pStyle w:val="Compact"/>
              <w:jc w:val="left"/>
            </w:pPr>
            <w:r>
              <w:rPr>
                <w:b w:val="0"/>
              </w:rPr>
              <w:t>29.34</w:t>
            </w:r>
          </w:p>
        </w:tc>
        <w:tc>
          <w:tcPr>
            <w:tcW w:type="dxa" w:w="900"/>
          </w:tcPr>
          <w:p>
            <w:pPr>
              <w:pStyle w:val="Compact"/>
              <w:jc w:val="left"/>
            </w:pPr>
            <w:r>
              <w:rPr>
                <w:b w:val="0"/>
              </w:rPr>
              <w:t>+4.50</w:t>
            </w:r>
          </w:p>
        </w:tc>
      </w:tr>
      <w:tr>
        <w:tc>
          <w:tcPr>
            <w:tcW w:type="dxa" w:w="2322"/>
          </w:tcPr>
          <w:p>
            <w:pPr>
              <w:pStyle w:val="Compact"/>
              <w:jc w:val="left"/>
            </w:pPr>
            <w:r>
              <w:rPr>
                <w:b w:val="0"/>
              </w:rPr>
              <w:t>deepseek-r1:1.5b_kb_rag</w:t>
            </w:r>
          </w:p>
        </w:tc>
        <w:tc>
          <w:tcPr>
            <w:tcW w:type="dxa" w:w="1116"/>
          </w:tcPr>
          <w:p>
            <w:pPr>
              <w:pStyle w:val="Compact"/>
              <w:jc w:val="left"/>
            </w:pPr>
            <w:r>
              <w:rPr>
                <w:b w:val="0"/>
              </w:rPr>
              <w:t>benchmark_n120_REMOTO</w:t>
            </w:r>
          </w:p>
        </w:tc>
        <w:tc>
          <w:tcPr>
            <w:tcW w:type="dxa" w:w="900"/>
          </w:tcPr>
          <w:p>
            <w:pPr>
              <w:pStyle w:val="Compact"/>
              <w:jc w:val="left"/>
            </w:pPr>
            <w:r>
              <w:rPr>
                <w:b w:val="0"/>
              </w:rPr>
              <w:t>28.35</w:t>
            </w:r>
          </w:p>
        </w:tc>
        <w:tc>
          <w:tcPr>
            <w:tcW w:type="dxa" w:w="900"/>
          </w:tcPr>
          <w:p>
            <w:pPr>
              <w:pStyle w:val="Compact"/>
              <w:jc w:val="center"/>
            </w:pPr>
            <w:r>
              <w:rPr>
                <w:b w:val="0"/>
              </w:rPr>
              <w:t>24.71</w:t>
            </w:r>
          </w:p>
        </w:tc>
        <w:tc>
          <w:tcPr>
            <w:tcW w:type="dxa" w:w="900"/>
          </w:tcPr>
          <w:p>
            <w:pPr>
              <w:pStyle w:val="Compact"/>
              <w:jc w:val="center"/>
            </w:pPr>
            <w:r>
              <w:rPr>
                <w:b w:val="0"/>
              </w:rPr>
              <w:t>23.94</w:t>
            </w:r>
          </w:p>
        </w:tc>
        <w:tc>
          <w:tcPr>
            <w:tcW w:type="dxa" w:w="900"/>
          </w:tcPr>
          <w:p>
            <w:pPr>
              <w:pStyle w:val="Compact"/>
              <w:jc w:val="left"/>
            </w:pPr>
            <w:r>
              <w:rPr>
                <w:b w:val="0"/>
              </w:rPr>
              <w:t>36.13</w:t>
            </w:r>
          </w:p>
        </w:tc>
        <w:tc>
          <w:tcPr>
            <w:tcW w:type="dxa" w:w="900"/>
          </w:tcPr>
          <w:p>
            <w:pPr>
              <w:pStyle w:val="Compact"/>
              <w:jc w:val="left"/>
            </w:pPr>
            <w:r>
              <w:rPr>
                <w:b w:val="0"/>
              </w:rPr>
              <w:t>26.91</w:t>
            </w:r>
          </w:p>
        </w:tc>
        <w:tc>
          <w:tcPr>
            <w:tcW w:type="dxa" w:w="900"/>
          </w:tcPr>
          <w:p>
            <w:pPr>
              <w:pStyle w:val="Compact"/>
              <w:jc w:val="left"/>
            </w:pPr>
            <w:r>
              <w:rPr>
                <w:b w:val="0"/>
              </w:rPr>
              <w:t>+2.97</w:t>
            </w:r>
          </w:p>
        </w:tc>
      </w:tr>
      <w:tr>
        <w:tc>
          <w:tcPr>
            <w:tcW w:type="dxa" w:w="2322"/>
          </w:tcPr>
          <w:p>
            <w:pPr>
              <w:pStyle w:val="Compact"/>
              <w:jc w:val="left"/>
            </w:pPr>
            <w:r>
              <w:rPr>
                <w:b w:val="0"/>
              </w:rPr>
              <w:t>nemotron-mini:4b_baseline</w:t>
            </w:r>
          </w:p>
        </w:tc>
        <w:tc>
          <w:tcPr>
            <w:tcW w:type="dxa" w:w="1116"/>
          </w:tcPr>
          <w:p>
            <w:pPr>
              <w:pStyle w:val="Compact"/>
              <w:jc w:val="left"/>
            </w:pPr>
            <w:r>
              <w:rPr>
                <w:b w:val="0"/>
              </w:rPr>
              <w:t>nemotron_rerun_n120_REMOTO</w:t>
            </w:r>
          </w:p>
        </w:tc>
        <w:tc>
          <w:tcPr>
            <w:tcW w:type="dxa" w:w="900"/>
          </w:tcPr>
          <w:p>
            <w:pPr>
              <w:pStyle w:val="Compact"/>
              <w:jc w:val="left"/>
            </w:pPr>
            <w:r>
              <w:rPr>
                <w:b w:val="0"/>
              </w:rPr>
              <w:t>34.50</w:t>
            </w:r>
          </w:p>
        </w:tc>
        <w:tc>
          <w:tcPr>
            <w:tcW w:type="dxa" w:w="900"/>
          </w:tcPr>
          <w:p>
            <w:pPr>
              <w:pStyle w:val="Compact"/>
              <w:jc w:val="center"/>
            </w:pPr>
            <w:r>
              <w:rPr>
                <w:b w:val="0"/>
              </w:rPr>
              <w:t>21.20</w:t>
            </w:r>
          </w:p>
        </w:tc>
        <w:tc>
          <w:tcPr>
            <w:tcW w:type="dxa" w:w="900"/>
          </w:tcPr>
          <w:p>
            <w:pPr>
              <w:pStyle w:val="Compact"/>
              <w:jc w:val="center"/>
            </w:pPr>
            <w:r>
              <w:rPr>
                <w:b w:val="0"/>
              </w:rPr>
              <w:t>22.59</w:t>
            </w:r>
          </w:p>
        </w:tc>
        <w:tc>
          <w:tcPr>
            <w:tcW w:type="dxa" w:w="900"/>
          </w:tcPr>
          <w:p>
            <w:pPr>
              <w:pStyle w:val="Compact"/>
              <w:jc w:val="left"/>
            </w:pPr>
            <w:r>
              <w:rPr>
                <w:b w:val="0"/>
              </w:rPr>
              <w:t>46.59</w:t>
            </w:r>
          </w:p>
        </w:tc>
        <w:tc>
          <w:tcPr>
            <w:tcW w:type="dxa" w:w="900"/>
          </w:tcPr>
          <w:p>
            <w:pPr>
              <w:pStyle w:val="Compact"/>
              <w:jc w:val="left"/>
            </w:pPr>
            <w:r>
              <w:rPr>
                <w:b w:val="0"/>
              </w:rPr>
              <w:t>25.28</w:t>
            </w:r>
          </w:p>
        </w:tc>
        <w:tc>
          <w:tcPr>
            <w:tcW w:type="dxa" w:w="900"/>
          </w:tcPr>
          <w:p>
            <w:pPr>
              <w:pStyle w:val="Compact"/>
              <w:jc w:val="left"/>
            </w:pPr>
            <w:r>
              <w:rPr>
                <w:b w:val="0"/>
              </w:rPr>
              <w:t>+2.68</w:t>
            </w:r>
          </w:p>
        </w:tc>
      </w:tr>
      <w:tr>
        <w:tc>
          <w:tcPr>
            <w:tcW w:type="dxa" w:w="2322"/>
          </w:tcPr>
          <w:p>
            <w:pPr>
              <w:pStyle w:val="Compact"/>
              <w:jc w:val="left"/>
            </w:pPr>
            <w:r>
              <w:rPr>
                <w:b w:val="0"/>
              </w:rPr>
              <w:t>nemotron-mini:4b_rag_enhanced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35.16</w:t>
            </w:r>
          </w:p>
        </w:tc>
        <w:tc>
          <w:tcPr>
            <w:tcW w:type="dxa" w:w="900"/>
          </w:tcPr>
          <w:p>
            <w:pPr>
              <w:pStyle w:val="Compact"/>
              <w:jc w:val="center"/>
            </w:pPr>
            <w:r>
              <w:rPr>
                <w:b w:val="0"/>
              </w:rPr>
              <w:t>16.39</w:t>
            </w:r>
          </w:p>
        </w:tc>
        <w:tc>
          <w:tcPr>
            <w:tcW w:type="dxa" w:w="900"/>
          </w:tcPr>
          <w:p>
            <w:pPr>
              <w:pStyle w:val="Compact"/>
              <w:jc w:val="center"/>
            </w:pPr>
            <w:r>
              <w:rPr>
                <w:b w:val="0"/>
              </w:rPr>
              <w:t>19.54</w:t>
            </w:r>
          </w:p>
        </w:tc>
        <w:tc>
          <w:tcPr>
            <w:tcW w:type="dxa" w:w="900"/>
          </w:tcPr>
          <w:p>
            <w:pPr>
              <w:pStyle w:val="Compact"/>
              <w:jc w:val="left"/>
            </w:pPr>
            <w:r>
              <w:rPr>
                <w:b w:val="0"/>
              </w:rPr>
              <w:t>40.45</w:t>
            </w:r>
          </w:p>
        </w:tc>
        <w:tc>
          <w:tcPr>
            <w:tcW w:type="dxa" w:w="900"/>
          </w:tcPr>
          <w:p>
            <w:pPr>
              <w:pStyle w:val="Compact"/>
              <w:jc w:val="left"/>
            </w:pPr>
            <w:r>
              <w:rPr>
                <w:b w:val="0"/>
              </w:rPr>
              <w:t>21.26</w:t>
            </w:r>
          </w:p>
        </w:tc>
        <w:tc>
          <w:tcPr>
            <w:tcW w:type="dxa" w:w="900"/>
          </w:tcPr>
          <w:p>
            <w:pPr>
              <w:pStyle w:val="Compact"/>
              <w:jc w:val="left"/>
            </w:pPr>
            <w:r>
              <w:rPr>
                <w:b w:val="0"/>
              </w:rPr>
              <w:t>+1.72</w:t>
            </w:r>
          </w:p>
        </w:tc>
      </w:tr>
      <w:tr>
        <w:tc>
          <w:tcPr>
            <w:tcW w:type="dxa" w:w="2322"/>
          </w:tcPr>
          <w:p>
            <w:pPr>
              <w:pStyle w:val="Compact"/>
              <w:jc w:val="left"/>
            </w:pPr>
            <w:r>
              <w:rPr>
                <w:b w:val="0"/>
              </w:rPr>
              <w:t>deepseek-r1:1.5b_rag_enhanced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22.28</w:t>
            </w:r>
          </w:p>
        </w:tc>
        <w:tc>
          <w:tcPr>
            <w:tcW w:type="dxa" w:w="900"/>
          </w:tcPr>
          <w:p>
            <w:pPr>
              <w:pStyle w:val="Compact"/>
              <w:jc w:val="center"/>
            </w:pPr>
            <w:r>
              <w:rPr>
                <w:b w:val="0"/>
              </w:rPr>
              <w:t>17.41</w:t>
            </w:r>
          </w:p>
        </w:tc>
        <w:tc>
          <w:tcPr>
            <w:tcW w:type="dxa" w:w="900"/>
          </w:tcPr>
          <w:p>
            <w:pPr>
              <w:pStyle w:val="Compact"/>
              <w:jc w:val="center"/>
            </w:pPr>
            <w:r>
              <w:rPr>
                <w:b w:val="0"/>
              </w:rPr>
              <w:t>16.82</w:t>
            </w:r>
          </w:p>
        </w:tc>
        <w:tc>
          <w:tcPr>
            <w:tcW w:type="dxa" w:w="900"/>
          </w:tcPr>
          <w:p>
            <w:pPr>
              <w:pStyle w:val="Compact"/>
              <w:jc w:val="left"/>
            </w:pPr>
            <w:r>
              <w:rPr>
                <w:b w:val="0"/>
              </w:rPr>
              <w:t>30.80</w:t>
            </w:r>
          </w:p>
        </w:tc>
        <w:tc>
          <w:tcPr>
            <w:tcW w:type="dxa" w:w="900"/>
          </w:tcPr>
          <w:p>
            <w:pPr>
              <w:pStyle w:val="Compact"/>
              <w:jc w:val="left"/>
            </w:pPr>
            <w:r>
              <w:rPr>
                <w:b w:val="0"/>
              </w:rPr>
              <w:t>20.11</w:t>
            </w:r>
          </w:p>
        </w:tc>
        <w:tc>
          <w:tcPr>
            <w:tcW w:type="dxa" w:w="900"/>
          </w:tcPr>
          <w:p>
            <w:pPr>
              <w:pStyle w:val="Compact"/>
              <w:jc w:val="left"/>
            </w:pPr>
            <w:r>
              <w:rPr>
                <w:b w:val="0"/>
              </w:rPr>
              <w:t>+3.29</w:t>
            </w:r>
          </w:p>
        </w:tc>
      </w:tr>
      <w:tr>
        <w:tc>
          <w:tcPr>
            <w:tcW w:type="dxa" w:w="2322"/>
          </w:tcPr>
          <w:p>
            <w:pPr>
              <w:pStyle w:val="Compact"/>
              <w:jc w:val="left"/>
            </w:pPr>
            <w:r>
              <w:rPr>
                <w:b w:val="0"/>
              </w:rPr>
              <w:t>gemma4:12b-mlx_kb_rag</w:t>
            </w:r>
          </w:p>
        </w:tc>
        <w:tc>
          <w:tcPr>
            <w:tcW w:type="dxa" w:w="1116"/>
          </w:tcPr>
          <w:p>
            <w:pPr>
              <w:pStyle w:val="Compact"/>
              <w:jc w:val="left"/>
            </w:pPr>
            <w:r>
              <w:rPr>
                <w:b w:val="0"/>
              </w:rPr>
              <w:t>afectados_thinking_n120_REMOTO</w:t>
            </w:r>
          </w:p>
        </w:tc>
        <w:tc>
          <w:tcPr>
            <w:tcW w:type="dxa" w:w="900"/>
          </w:tcPr>
          <w:p>
            <w:pPr>
              <w:pStyle w:val="Compact"/>
              <w:jc w:val="left"/>
            </w:pPr>
            <w:r>
              <w:rPr>
                <w:b w:val="0"/>
              </w:rPr>
              <w:t>53.29</w:t>
            </w:r>
          </w:p>
        </w:tc>
        <w:tc>
          <w:tcPr>
            <w:tcW w:type="dxa" w:w="900"/>
          </w:tcPr>
          <w:p>
            <w:pPr>
              <w:pStyle w:val="Compact"/>
              <w:jc w:val="center"/>
            </w:pPr>
            <w:r>
              <w:rPr>
                <w:b w:val="0"/>
              </w:rPr>
              <w:t>68.33</w:t>
            </w:r>
          </w:p>
        </w:tc>
        <w:tc>
          <w:tcPr>
            <w:tcW w:type="dxa" w:w="900"/>
          </w:tcPr>
          <w:p>
            <w:pPr>
              <w:pStyle w:val="Compact"/>
              <w:jc w:val="center"/>
            </w:pPr>
            <w:r>
              <w:rPr>
                <w:b w:val="0"/>
              </w:rPr>
              <w:t>58.46</w:t>
            </w:r>
          </w:p>
        </w:tc>
        <w:tc>
          <w:tcPr>
            <w:tcW w:type="dxa" w:w="900"/>
          </w:tcPr>
          <w:p>
            <w:pPr>
              <w:pStyle w:val="Compact"/>
              <w:jc w:val="left"/>
            </w:pPr>
            <w:r>
              <w:rPr>
                <w:b w:val="0"/>
              </w:rPr>
              <w:t>80.50</w:t>
            </w:r>
          </w:p>
        </w:tc>
        <w:tc>
          <w:tcPr>
            <w:tcW w:type="dxa" w:w="900"/>
          </w:tcPr>
          <w:p>
            <w:pPr>
              <w:pStyle w:val="Compact"/>
              <w:jc w:val="left"/>
            </w:pPr>
            <w:r>
              <w:rPr>
                <w:b w:val="0"/>
              </w:rPr>
              <w:t>74.30</w:t>
            </w:r>
          </w:p>
        </w:tc>
        <w:tc>
          <w:tcPr>
            <w:tcW w:type="dxa" w:w="900"/>
          </w:tcPr>
          <w:p>
            <w:pPr>
              <w:pStyle w:val="Compact"/>
              <w:jc w:val="left"/>
            </w:pPr>
            <w:r>
              <w:rPr>
                <w:b w:val="0"/>
              </w:rPr>
              <w:t>+15.84</w:t>
            </w:r>
          </w:p>
        </w:tc>
      </w:tr>
    </w:tbl>
    <w:p>
      <w:pPr>
        <w:numPr>
          <w:ilvl w:val="0"/>
          <w:numId w:val="0"/>
        </w:numPr>
        <w:pStyle w:val="Heading3"/>
      </w:pPr>
      <w:r>
        <w:t>Corridas múltiples del mismo modelo, y cuál se toma como referencia</w:t>
      </w:r>
    </w:p>
    <w:p>
      <w:pPr>
        <w:numPr>
          <w:ilvl w:val="0"/>
          <w:numId w:val="0"/>
        </w:numPr>
        <w:pStyle w:val="BodyText"/>
      </w:pPr>
      <w:r>
        <w:rPr>
          <w:b/>
        </w:rPr>
        <w:t>Y una segunda escala de la misma declaración, previa a esta.</w:t>
      </w:r>
      <w:r>
        <w:t xml:space="preserve"> Antes de las ocho re-ejecuciones parciales que siguen, el estudio N=120 se corrió </w:t>
      </w:r>
      <w:r>
        <w:rPr>
          <w:b/>
        </w:rPr>
        <w:t>por completo dos veces</w:t>
      </w:r>
      <w:r>
        <w:t xml:space="preserve">: la primera reunió trece corridas heterogéneas —de fechas y configuraciones distintas, con las sustituciones que este apartado detalla— en </w:t>
      </w:r>
      <w:r>
        <w:t>results/ANALISIS_CONJUNTO_20260907/</w:t>
      </w:r>
      <w:r>
        <w:t xml:space="preserve">, y una segunda, el 8 de septiembre de 2026, ejecutó los trece modelos </w:t>
      </w:r>
      <w:r>
        <w:rPr>
          <w:b/>
        </w:rPr>
        <w:t>de una sola vez y con el mismo protocolo</w:t>
      </w:r>
      <w:r>
        <w:t xml:space="preserve"> (</w:t>
      </w:r>
      <w:r>
        <w:t>max_tokens=4096</w:t>
      </w:r>
      <w:r>
        <w:t xml:space="preserve">, </w:t>
      </w:r>
      <w:r>
        <w:t>rag_mode=kb_combined</w:t>
      </w:r>
      <w:r>
        <w:t xml:space="preserve">) en </w:t>
      </w:r>
      <w:r>
        <w:t>results/recorrida_20260908/</w:t>
      </w:r>
      <w:r>
        <w:t xml:space="preserve">, consolidada en </w:t>
      </w:r>
      <w:r>
        <w:t>results/ANALISIS_CONJUNTO_20260909_FIX/</w:t>
      </w:r>
      <w:r>
        <w:t xml:space="preserve">. Esta segunda corrida corrigió además un defecto de anotación del corpus —la categoría </w:t>
      </w:r>
      <w:r>
        <w:rPr>
          <w:i/>
        </w:rPr>
        <w:t>Locations</w:t>
      </w:r>
      <w:r>
        <w:t xml:space="preserve"> no tenía referencia, de modo que toda localización extraída se contabilizaba como falso positivo (Anexo H y este mismo Anexo, más abajo)— y por eso sus cifras de F1 son sustancialmente más altas.</w:t>
      </w:r>
    </w:p>
    <w:p>
      <w:pPr>
        <w:numPr>
          <w:ilvl w:val="0"/>
          <w:numId w:val="0"/>
        </w:numPr>
        <w:pStyle w:val="Normal"/>
      </w:pPr>
      <w:r>
        <w:rPr>
          <w:b/>
        </w:rPr>
        <w:t>La corrida del 8 de septiembre es la de referencia</w:t>
      </w:r>
      <w:r>
        <w:t xml:space="preserve"> y es la que cita la Tabla 7 y el cuerpo del informe desde §5.3.1. El consolidado del 7 de septiembre se conserva íntegro en su directorio, porque es el que sostuvo el trabajo hasta esa fecha y el que documenta, en el resto de este Anexo, el defecto de medición y su corrección.</w:t>
      </w:r>
    </w:p>
    <w:p>
      <w:pPr>
        <w:numPr>
          <w:ilvl w:val="0"/>
          <w:numId w:val="0"/>
        </w:numPr>
        <w:pStyle w:val="Normal"/>
      </w:pPr>
      <w:r>
        <w:t xml:space="preserve">Cuatro de los trece modelos se midieron </w:t>
      </w:r>
      <w:r>
        <w:rPr>
          <w:b/>
        </w:rPr>
        <w:t>más de una vez</w:t>
      </w:r>
      <w:r>
        <w:t xml:space="preserve"> sobre el corpus N=120. La columna «Corrida» de la tabla anterior indica cuál sostiene cada fila. Antes de la re-corrida completa, requirieron una re-ejecución parcial por motivos operativos, hoy resueltos: </w:t>
      </w:r>
      <w:r>
        <w:t>gemma4:12b-mlx</w:t>
      </w:r>
      <w:r>
        <w:t xml:space="preserve"> y </w:t>
      </w:r>
      <w:r>
        <w:t>qwen3:8b</w:t>
      </w:r>
      <w:r>
        <w:t xml:space="preserve"> sufrían un fallo del </w:t>
      </w:r>
      <w:r>
        <w:rPr>
          <w:b/>
        </w:rPr>
        <w:t>modo de razonamiento activo</w:t>
      </w:r>
      <w:r>
        <w:t xml:space="preserve">, que consumía el presupuesto de salida deliberando y devolvía una respuesta vacía —precisión y exhaustividad caían a cero a la vez, la firma de no haber contestado y no la de haberse equivocado—; en </w:t>
      </w:r>
      <w:r>
        <w:t>gemma4:12b-mlx</w:t>
      </w:r>
      <w:r>
        <w:t xml:space="preserve"> con KB RAG eso ocurrió en 98 de los 120 artículos de aquella corrida parcial. </w:t>
      </w:r>
      <w:r>
        <w:t>gpt-oss:20b</w:t>
      </w:r>
      <w:r>
        <w:t xml:space="preserve">, también un modelo de razonamiento, agotaba con 2048 tokens el presupuesto de salida antes de emitir el JSON. </w:t>
      </w:r>
      <w:r>
        <w:t>nemotron-mini:4b</w:t>
      </w:r>
      <w:r>
        <w:t xml:space="preserve"> requirió repetir el diagnóstico de un lote de respuestas vacías para confirmar que el defecto era del arnés y no del modelo; el criterio para preferir una corrida sobre otra fue siempre la validez de la medición y no su resultado, incluso cuando la corrida elegida dio una décima menos que la descartada.</w:t>
      </w:r>
    </w:p>
    <w:p>
      <w:pPr>
        <w:numPr>
          <w:ilvl w:val="0"/>
          <w:numId w:val="0"/>
        </w:numPr>
        <w:pStyle w:val="Normal"/>
      </w:pPr>
      <w:r>
        <w:t>Esas corridas parciales no describían el desempeño del modelo sino el de un arnés mal configurado, y sus cifras no se publican en ninguna parte de este informe: un número que no mide lo que dice medir no es un resultado, y ofrecerlo junto al vigente invitaría a leerlos como dos estimaciones entre las que se ha elegido. La re-corrida completa del 8 de septiembre de 2026, adoptada en §5.3.1, ejecutó los trece modelos de una sola vez con un presupuesto de salida uniforme de 4096 tokens, sin ninguno de estos tres defectos: las cifras vigentes de los cuatro modelos son las que publica la Tabla 7, sin reserva de comparabilidad pendiente.</w:t>
      </w:r>
    </w:p>
    <w:p>
      <w:pPr>
        <w:numPr>
          <w:ilvl w:val="0"/>
          <w:numId w:val="0"/>
        </w:numPr>
        <w:pStyle w:val="Normal"/>
      </w:pPr>
      <w:r>
        <w:t xml:space="preserve">Tres advertencias de lectura antes de las cifras. Las columnas publicadas se toman del campo almacenado por registro, que es lo que publican las tablas del cuerpo, y las restringidas se recalculan desde el desglose por tipo. En </w:t>
      </w:r>
      <w:r>
        <w:t>nemotron-mini:4b_baseline</w:t>
      </w:r>
      <w:r>
        <w:t xml:space="preserve"> los dos no cuadran en </w:t>
      </w:r>
      <w:r>
        <w:rPr>
          <w:b/>
        </w:rPr>
        <w:t>siete de sus ciento veinte registros</w:t>
      </w:r>
      <w:r>
        <w:t xml:space="preserve">, los que se reextrajeron fuera del arnés de lotes tras un fallo de contexto (§5.3.1), de modo que su columna restringida arrastra esa incoherencia y conviene leerla con esa reserva. Las dos primeras filas de </w:t>
      </w:r>
      <w:r>
        <w:t>llama3.2:latest</w:t>
      </w:r>
      <w:r>
        <w:t xml:space="preserve"> reproducen </w:t>
      </w:r>
      <w:r>
        <w:rPr>
          <w:b/>
        </w:rPr>
        <w:t>la misma medición</w:t>
      </w:r>
      <w:r>
        <w:t xml:space="preserve"> bajo dos etiquetas de corrida: coinciden en los siete valores y, comprobado registro a registro, en los aciertos y errores de los ciento veinte artículos, de modo que la tabla tiene cuarenta y dos filas pero cuarenta y una configuraciones distintas. Y las dos filas de </w:t>
      </w:r>
      <w:r>
        <w:t>gemma4:12b-mlx</w:t>
      </w:r>
      <w:r>
        <w:t xml:space="preserve"> proceden de </w:t>
      </w:r>
      <w:r>
        <w:t>afectados_thinking_n120_REMOTO</w:t>
      </w:r>
      <w:r>
        <w:t xml:space="preserve"> y no de </w:t>
      </w:r>
      <w:r>
        <w:t>benchmark_n120_REMOTO</w:t>
      </w:r>
      <w:r>
        <w:t>, porque esta última quedó averiada por el modo de razonamiento —sesenta y ocho y noventa y ocho de sus ciento veinte registros no recuperan ninguna entidad— y sus cifras no representan la capacidad del modelo.</w:t>
      </w:r>
    </w:p>
    <w:p>
      <w:pPr>
        <w:numPr>
          <w:ilvl w:val="0"/>
          <w:numId w:val="0"/>
        </w:numPr>
        <w:pStyle w:val="Normal"/>
      </w:pPr>
      <w:r>
        <w:t xml:space="preserve">En conjunto, 20 946 de los 32 201 falsos positivos de estas </w:t>
      </w:r>
      <w:r>
        <w:rPr>
          <w:b/>
        </w:rPr>
        <w:t>cuarenta y dos configuraciones</w:t>
      </w:r>
      <w:r>
        <w:t xml:space="preserve"> (65,0 %) proceden de la categoría no anotada. La cifra no coincide con el 66,0 % que da §3.3 porque cubre una población distinta: esta tabla incluye configuraciones que el estudio no publica, entre ellas corridas después sustituidas por inválidas. Ambas son ciertas sobre lo que dicen medir. El mejor modelo local sobre este corpus, </w:t>
      </w:r>
      <w:r>
        <w:t>gemma4:31b-mlx</w:t>
      </w:r>
      <w:r>
        <w:t xml:space="preserve">, pasa de 59,25 % a </w:t>
      </w:r>
      <w:r>
        <w:rPr>
          <w:b/>
        </w:rPr>
        <w:t>76,55 %</w:t>
      </w:r>
      <w:r>
        <w:t xml:space="preserve"> de F1 y supera el umbral de 70 % que fija la hipótesis sobre material periodístico mayoritariamente en español. La variante en la nube del mismo modelo conserva su ventaja (80,42 % frente a 76,55 %), de modo que la corrección </w:t>
      </w:r>
      <w:r>
        <w:rPr>
          <w:b/>
        </w:rPr>
        <w:t>no</w:t>
      </w:r>
      <w:r>
        <w:t xml:space="preserve"> altera la conclusión sobre la comparación entre ejecución local y alojada sobre el consolidado publicado. Sobre el consolidado de la re-corrida, adoptado en §5.3.1, la medición completa sin restringir —ya no necesaria, porque el corpus corregido anota Locations— da </w:t>
      </w:r>
      <w:r>
        <w:rPr>
          <w:b/>
        </w:rPr>
        <w:t>81,47 %</w:t>
      </w:r>
      <w:r>
        <w:t xml:space="preserve"> y </w:t>
      </w:r>
      <w:r>
        <w:rPr>
          <w:b/>
        </w:rPr>
        <w:t>82,13 %</w:t>
      </w:r>
      <w:r>
        <w:t>, por encima incluso de esta estimación restringida: era conservadora, no optimista.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line="228" w:lineRule="exact"/>
    </w:pPr>
    <w:name w:val="Normal"/>
    <w:qFormat/>
  </w:style>
  <w:style w:styleId="BodyText" w:type="paragraph">
    <w:name w:val="Body Text"/>
    <w:basedOn w:val="Normal"/>
    <w:link w:val="BodyTextChar"/>
    <w:qFormat/>
    <w:pPr>
      <w:spacing w:after="180" w:before="180" w:line="228" w:lineRule="exact"/>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6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0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2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spacing w:before="100" w:after="60"/>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170" w:lineRule="exact"/>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2026-09-03T15:24:31Z</dcterms:created>
  <dcterms:modified xsi:type="dcterms:W3CDTF">2026-09-03T15:24:31Z</dcterms:modified>
</cp:coreProperties>
</file>

<file path=docProps/custom.xml><?xml version="1.0" encoding="utf-8"?>
<Properties xmlns="http://schemas.openxmlformats.org/officeDocument/2006/custom-properties" xmlns:vt="http://schemas.openxmlformats.org/officeDocument/2006/docPropsVTypes"/>
</file>