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BodyText"/>
      </w:pPr>
      <w:r>
        <w:t xml:space="preserve">Las instituciones financieras sujetas a regulaciones AML/KYC deben vigilar grandes volúmenes de noticias no estructuradas en busca de entidades de riesgo. Hacerlo manualmente resulta costoso y no escala; delegarlo en APIs en la nube expone información sensible a terceros. Este trabajo evalúa un sistema soberano de reconocimiento de entidades nombradas (NER) con modelos de lenguaje grande de código abierto ejecutados en local mediante Ollama sobre hardware Apple Silicon. La validación comparó trece modelos sobre un corpus real de 120 artículos en español, contrastando la extracción directa frente a la generación aumentada por recuperación con base de conocimiento contextual, y evaluó las diferencias mediante ANOVA y pruebas post-hoc de Tukey HSD. El beneficio del RAG contextual resulta inversamente proporcional a la capacidad del modelo: alcanza significancia estadística solo en los dos modelos más débiles (+14,5 y +10,8 puntos de F1) y es nulo o adverso en los mayores. Redactar el prompt en español e incorporar ejemplos </w:t>
      </w:r>
      <w:r>
        <w:rPr>
          <w:i/>
        </w:rPr>
        <w:t>few-shot</w:t>
      </w:r>
      <w:r>
        <w:t xml:space="preserve"> aporta conjuntamente +11,1 puntos sobre el baseline en inglés, mejora que ninguno de los dos factores logra por separado. El sistema reduce el costo unitario de revisión y preserva íntegramente la confidencialidad de los datos.</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BodyText"/>
      </w:pPr>
      <w:r>
        <w:t>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numPr>
          <w:ilvl w:val="0"/>
          <w:numId w:val="0"/>
        </w:numPr>
        <w:pStyle w:val="BodyText"/>
      </w:pPr>
      <w:r>
        <w:t>The system incorporates a multithreading pub/sub processing architecture with an adaptive concurrency controller (AIMD) and a Factory/Facade layer unifying four model providers. Experimental validation was performed on the real financial sanctions dataset Kleptotrace/CoNLL-2002 (N=15 expert-annotated articles) and a statistically significant corpus of 30 short articles (N=30). The prompt-variant analysis demonstrates that combining Spanish-language localization with few-shot examples yields a +11.1 F1-point improvement over the English zero-shot baseline, and the best evaluated models reach an F1-Score of 80.57% on the domain corpus (N=30) with no failed extractions. The system reduces manual review operational costs by 60–80% while guaranteeing total data privacy.</w:t>
      </w:r>
    </w:p>
    <w:p>
      <w:pPr>
        <w:numPr>
          <w:ilvl w:val="0"/>
          <w:numId w:val="0"/>
        </w:numPr>
        <w:pStyle w:val="Abstract"/>
      </w:pPr>
      <w:r>
        <w:rPr>
          <w:b/>
        </w:rPr>
        <w:t>Keywords:</w:t>
      </w:r>
      <w:r>
        <w:t xml:space="preserve"> Named Entity Recognition (NER), Large Language Models (LLM), Regulatory Compliance (AML/KYC), Data Sovereignty, Prompt Engineering.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BodyText"/>
      </w:pPr>
      <w:r>
        <w:t>El proceso actual en instituciones como Austranet implica la revisión manual de cientos de artículos periodísticos diarios por analistas especializados, un proceso con un costo promedio estimado de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BodyText"/>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BodyText"/>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BodyText"/>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BodyText"/>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BodyText"/>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BodyText"/>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BodyText"/>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BodyText"/>
      </w:pPr>
      <w:r>
        <w:t>Las aproximaciones al problema pueden ordenarse por el tipo de conocimiento que requieren y por el coste de adaptarlas a un dominio nuevo.</w:t>
      </w:r>
    </w:p>
    <w:p>
      <w:pPr>
        <w:numPr>
          <w:ilvl w:val="0"/>
          <w:numId w:val="0"/>
        </w:numPr>
        <w:pStyle w:val="BodyText"/>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BodyText"/>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BodyText"/>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BodyText"/>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BodyText"/>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El problema y las familias de técnicas disponibles</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BodyText"/>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BodyText"/>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BodyText"/>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BodyText"/>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BodyText"/>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BodyText"/>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BodyText"/>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BodyText"/>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BodyText"/>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0"/>
        <w:tblLook w:firstRow="1"/>
      </w:tblPr>
      <w:tblGrid>
        <w:gridCol w:w="2092"/>
        <w:gridCol w:w="2964"/>
        <w:gridCol w:w="1394"/>
        <w:gridCol w:w="670"/>
        <w:gridCol w:w="1046"/>
        <w:gridCol w:w="672"/>
      </w:tblGrid>
      <w:tr>
        <w:trPr>
          <w:cnfStyle w:firstRow="1"/>
        </w:trPr>
        <w:tc>
          <w:tcPr>
            <w:tcW w:type="dxa" w:w="2092"/>
            <w:tcBorders>
              <w:bottom w:val="single"/>
            </w:tcBorders>
            <w:vAlign w:val="bottom"/>
          </w:tcPr>
          <w:p>
            <w:pPr>
              <w:pStyle w:val="Compact"/>
              <w:jc w:val="left"/>
            </w:pPr>
            <w:r>
              <w:rPr>
                <w:b/>
              </w:rPr>
              <w:t>Trabajo</w:t>
            </w:r>
          </w:p>
        </w:tc>
        <w:tc>
          <w:tcPr>
            <w:tcW w:type="dxa" w:w="2964"/>
            <w:tcBorders>
              <w:bottom w:val="single"/>
            </w:tcBorders>
            <w:vAlign w:val="bottom"/>
          </w:tcPr>
          <w:p>
            <w:pPr>
              <w:pStyle w:val="Compact"/>
              <w:jc w:val="left"/>
            </w:pPr>
            <w:r>
              <w:rPr>
                <w:b/>
              </w:rPr>
              <w:t>Dataset</w:t>
            </w:r>
          </w:p>
        </w:tc>
        <w:tc>
          <w:tcPr>
            <w:tcW w:type="dxa" w:w="1394"/>
            <w:tcBorders>
              <w:bottom w:val="single"/>
            </w:tcBorders>
            <w:vAlign w:val="bottom"/>
          </w:tcPr>
          <w:p>
            <w:pPr>
              <w:pStyle w:val="Compact"/>
              <w:jc w:val="left"/>
            </w:pPr>
            <w:r>
              <w:rPr>
                <w:b/>
              </w:rPr>
              <w:t>Modelo</w:t>
            </w:r>
          </w:p>
        </w:tc>
        <w:tc>
          <w:tcPr>
            <w:tcW w:type="dxa" w:w="670"/>
            <w:tcBorders>
              <w:bottom w:val="single"/>
            </w:tcBorders>
            <w:vAlign w:val="bottom"/>
          </w:tcPr>
          <w:p>
            <w:pPr>
              <w:pStyle w:val="Compact"/>
              <w:jc w:val="center"/>
            </w:pPr>
            <w:r>
              <w:rPr>
                <w:b/>
              </w:rPr>
              <w:t>F1</w:t>
            </w:r>
          </w:p>
        </w:tc>
        <w:tc>
          <w:tcPr>
            <w:tcW w:type="dxa" w:w="1046"/>
            <w:tcBorders>
              <w:bottom w:val="single"/>
            </w:tcBorders>
            <w:vAlign w:val="bottom"/>
          </w:tcPr>
          <w:p>
            <w:pPr>
              <w:pStyle w:val="Compact"/>
              <w:jc w:val="center"/>
            </w:pPr>
            <w:r>
              <w:rPr>
                <w:b/>
              </w:rPr>
              <w:t>Privacidad</w:t>
            </w:r>
          </w:p>
        </w:tc>
        <w:tc>
          <w:tcPr>
            <w:tcW w:type="dxa" w:w="672"/>
            <w:tcBorders>
              <w:bottom w:val="single"/>
            </w:tcBorders>
            <w:vAlign w:val="bottom"/>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BodyText"/>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BodyText"/>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BodyText"/>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BodyText"/>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BodyText"/>
      </w:pPr>
      <w:r>
        <w:t xml:space="preserve">El tercer criterio, operar sobre hardware de consumo, obliga a cuantizar a 4 bits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proveedores y orquestación</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BodyText"/>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BodyText"/>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BodyText"/>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BodyText"/>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BodyText"/>
      </w:pPr>
      <w:r>
        <w:t xml:space="preserve">El número de consumidores no es fijo, sino que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y suspenden el procesamiento durante 60 segundos. La asimetría entre el aumento prudente y el recorte agresivo es deliberada, pues el coste de saturar un servicio de inferencia —reintentos, respuestas truncadas, penalización por cuota— excede con mucho al de infrautilizarlo. Sobre Apple Silicon M4 con 16 GB, el sistema escaló de forma estable hasta nueve consumidores concurrentes para modelos de 8B parámetros.</w:t>
      </w:r>
    </w:p>
    <w:p>
      <w:pPr>
        <w:numPr>
          <w:ilvl w:val="0"/>
          <w:numId w:val="0"/>
        </w:numPr>
        <w:pStyle w:val="BodyText"/>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de hasta ~12B cuantizados a 4 bits ocupan entre 7 y 9 GB y caben con holgura; los de 31B alcanzan un footprint operativo de ~24,7 GB —unos 18,7 GB de pesos más la caché de claves y valores y el sobrecoste de inferencia— y </w:t>
      </w:r>
      <w:r>
        <w:rPr>
          <w:b/>
        </w:rPr>
        <w:t>no pueden cargarse en 16 GB ni siquiera de forma serial</w:t>
      </w:r>
      <w:r>
        <w:t>. La ejecución se organizó en consecuencia en dos escalones de hardware: 16 GB para los modelos de hasta ~12B y un equipo de 48 GB, con techo asignable de ~36 GB, para los de 31B y las variantes MLX de mayor tamaño.</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w:t>
      </w:r>
      <w:r>
        <w:t xml:space="preserve"> por similitud de tokens, aceptando como acierto toda coincidencia por encima de un umbral configurable, fijado en 85 sobre 100. La elección del umbral es un compromiso: por debajo admite falsos emparejamientos entre nombres distintos que comparten apellido; por encima rechaza variantes legítimas.</w:t>
      </w:r>
    </w:p>
    <w:p>
      <w:pPr>
        <w:numPr>
          <w:ilvl w:val="0"/>
          <w:numId w:val="0"/>
        </w:numPr>
        <w:pStyle w:val="BodyText"/>
      </w:pPr>
      <w:r>
        <w:t xml:space="preserve">Sobre esa base se calculan precisión, exhaustividad y F1 por artículo, que después se promedian, y una </w:t>
      </w:r>
      <w:r>
        <w:rPr>
          <w:b/>
        </w:rPr>
        <w:t>tasa de alucinación</w:t>
      </w:r>
      <w:r>
        <w:t xml:space="preserve"> definida como la proporción de entidades propuestas sin correspondencia alguna en la referencia.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BodyText"/>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BodyText"/>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BodyText"/>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BodyText"/>
      </w:pPr>
      <w:r>
        <w:t>El uso de textos sintéticos para contrastar hipótesis es defendible aquí por cuatro razones. La primera es de potencia estadística: el teorema del límite central asegura que, a partir de treinta observaciones independientes, la media muestral se aproxima a una distribución normal,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BodyText"/>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2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BodyText"/>
      </w:pPr>
      <w:r>
        <w:t xml:space="preserve">Los modelos de la Tabla 2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procedimiento que la literatura anglosajona denomina </w:t>
      </w:r>
      <w:r>
        <w:rPr>
          <w:i/>
        </w:rPr>
        <w:t>ablation study</w:t>
      </w:r>
      <w:r>
        <w:t>. Las cuatro celdas son zero-shot en inglés, que actúa como referencia, zero-shot en español, few-shot en inglés y few-shot en español, empleando en los dos últimos tres ejemplos del dominio de cumplimiento.</w:t>
      </w:r>
    </w:p>
    <w:p>
      <w:pPr>
        <w:numPr>
          <w:ilvl w:val="0"/>
          <w:numId w:val="0"/>
        </w:numPr>
        <w:pStyle w:val="BodyText"/>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BodyText"/>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BodyText"/>
      </w:pPr>
      <w:r>
        <w:t>Los tres ejemplos empleados en la configuración few-shot en español cubren un caso de persona sancionada, uno de organización y uno de mención ambigua; se reproducen íntegros en el Anexo B.</w:t>
      </w:r>
    </w:p>
    <w:p>
      <w:pPr>
        <w:numPr>
          <w:ilvl w:val="0"/>
          <w:numId w:val="0"/>
        </w:numPr>
        <w:pStyle w:val="BodyText"/>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(−0.73 pp), pero </w:t>
      </w:r>
      <w:r>
        <w:rPr>
          <w:b/>
        </w:rPr>
        <w:t>su combinación alcanza +11.12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TableCaption"/>
      </w:pPr>
      <w:r>
        <w:t>Tabla 4. Métricas de Evaluación</w:t>
      </w:r>
    </w:p>
    <w:tbl>
      <w:tblPr>
        <w:tblStyle w:val="Table"/>
        <w:tblW w:type="pct" w:w="5000.0"/>
        <w:tblLook w:firstRow="1"/>
      </w:tblPr>
      <w:tblGrid>
        <w:gridCol w:w="3059"/>
        <w:gridCol w:w="5779"/>
      </w:tblGrid>
      <w:tr>
        <w:trPr>
          <w:cnfStyle w:firstRow="1"/>
        </w:trPr>
        <w:tc>
          <w:tcPr>
            <w:tcW w:type="dxa" w:w="3059"/>
            <w:tcBorders>
              <w:bottom w:val="single"/>
            </w:tcBorders>
            <w:vAlign w:val="bottom"/>
          </w:tcPr>
          <w:p>
            <w:pPr>
              <w:pStyle w:val="Compact"/>
              <w:jc w:val="left"/>
            </w:pPr>
            <w:r>
              <w:rPr>
                <w:b/>
              </w:rPr>
              <w:t>Métrica</w:t>
            </w:r>
          </w:p>
        </w:tc>
        <w:tc>
          <w:tcPr>
            <w:tcW w:type="dxa" w:w="5779"/>
            <w:tcBorders>
              <w:bottom w:val="single"/>
            </w:tcBorders>
            <w:vAlign w:val="bottom"/>
          </w:tcPr>
          <w:p>
            <w:pPr>
              <w:pStyle w:val="Compact"/>
              <w:jc w:val="left"/>
            </w:pPr>
            <w:r>
              <w:rPr>
                <w:b/>
              </w:rPr>
              <w:t>Definición</w:t>
            </w:r>
          </w:p>
        </w:tc>
      </w:tr>
      <w:tr>
        <w:tc>
          <w:tcPr>
            <w:tcW w:type="dxa" w:w="3059"/>
          </w:tcPr>
          <w:p>
            <w:pPr>
              <w:pStyle w:val="Compact"/>
              <w:jc w:val="left"/>
            </w:pPr>
            <w:r>
              <w:rPr>
                <w:b/>
              </w:rPr>
              <w:t>F1-Score</w:t>
            </w:r>
          </w:p>
        </w:tc>
        <w:tc>
          <w:tcPr>
            <w:tcW w:type="dxa" w:w="5779"/>
          </w:tcPr>
          <w:p>
            <w:pPr>
              <w:pStyle w:val="Compact"/>
              <w:jc w:val="left"/>
            </w:pPr>
            <w:r>
              <w:rPr>
                <w:b w:val="0"/>
              </w:rPr>
              <w:t>Media armónica entre Precisión y Recall (métrica principal)</w:t>
            </w:r>
          </w:p>
        </w:tc>
      </w:tr>
      <w:tr>
        <w:tc>
          <w:tcPr>
            <w:tcW w:type="dxa" w:w="3059"/>
          </w:tcPr>
          <w:p>
            <w:pPr>
              <w:pStyle w:val="Compact"/>
              <w:jc w:val="left"/>
            </w:pPr>
            <w:r>
              <w:rPr>
                <w:b/>
              </w:rPr>
              <w:t>Precisión</w:t>
            </w:r>
          </w:p>
        </w:tc>
        <w:tc>
          <w:tcPr>
            <w:tcW w:type="dxa" w:w="5779"/>
          </w:tcPr>
          <w:p>
            <w:pPr>
              <w:pStyle w:val="Compact"/>
              <w:jc w:val="left"/>
            </w:pPr>
            <w:r>
              <w:rPr>
                <w:b w:val="0"/>
              </w:rPr>
              <w:t>TP / (TP + FP) — Exactitud de las entidades extraídas</w:t>
            </w:r>
          </w:p>
        </w:tc>
      </w:tr>
      <w:tr>
        <w:tc>
          <w:tcPr>
            <w:tcW w:type="dxa" w:w="3059"/>
          </w:tcPr>
          <w:p>
            <w:pPr>
              <w:pStyle w:val="Compact"/>
              <w:jc w:val="left"/>
            </w:pPr>
            <w:r>
              <w:rPr>
                <w:b/>
              </w:rPr>
              <w:t>Recall</w:t>
            </w:r>
          </w:p>
        </w:tc>
        <w:tc>
          <w:tcPr>
            <w:tcW w:type="dxa" w:w="5779"/>
          </w:tcPr>
          <w:p>
            <w:pPr>
              <w:pStyle w:val="Compact"/>
              <w:jc w:val="left"/>
            </w:pPr>
            <w:r>
              <w:rPr>
                <w:b w:val="0"/>
              </w:rPr>
              <w:t>TP / (TP + FN) — Cobertura de las entidades reales</w:t>
            </w:r>
          </w:p>
        </w:tc>
      </w:tr>
      <w:tr>
        <w:tc>
          <w:tcPr>
            <w:tcW w:type="dxa" w:w="3059"/>
          </w:tcPr>
          <w:p>
            <w:pPr>
              <w:pStyle w:val="Compact"/>
              <w:jc w:val="left"/>
            </w:pPr>
            <w:r>
              <w:rPr>
                <w:b/>
              </w:rPr>
              <w:t>Hallucination Rate</w:t>
            </w:r>
          </w:p>
        </w:tc>
        <w:tc>
          <w:tcPr>
            <w:tcW w:type="dxa" w:w="5779"/>
          </w:tcPr>
          <w:p>
            <w:pPr>
              <w:pStyle w:val="Compact"/>
              <w:jc w:val="left"/>
            </w:pPr>
            <w:r>
              <w:rPr>
                <w:b w:val="0"/>
              </w:rPr>
              <w:t>Entidades extraídas sin correspondencia en GT / Total extraídas</w:t>
            </w:r>
          </w:p>
        </w:tc>
      </w:tr>
      <w:tr>
        <w:tc>
          <w:tcPr>
            <w:tcW w:type="dxa" w:w="3059"/>
          </w:tcPr>
          <w:p>
            <w:pPr>
              <w:pStyle w:val="Compact"/>
              <w:jc w:val="left"/>
            </w:pPr>
            <w:r>
              <w:rPr>
                <w:b/>
              </w:rPr>
              <w:t>Latencia (s)</w:t>
            </w:r>
          </w:p>
        </w:tc>
        <w:tc>
          <w:tcPr>
            <w:tcW w:type="dxa" w:w="5779"/>
          </w:tcPr>
          <w:p>
            <w:pPr>
              <w:pStyle w:val="Compact"/>
              <w:jc w:val="left"/>
            </w:pPr>
            <w:r>
              <w:rPr>
                <w:b w:val="0"/>
              </w:rPr>
              <w:t>Tiempo promedio por artículo en segundos</w:t>
            </w:r>
          </w:p>
        </w:tc>
      </w:tr>
      <w:tr>
        <w:tc>
          <w:tcPr>
            <w:tcW w:type="dxa" w:w="3059"/>
          </w:tcPr>
          <w:p>
            <w:pPr>
              <w:pStyle w:val="Compact"/>
              <w:jc w:val="left"/>
            </w:pPr>
            <w:r>
              <w:rPr>
                <w:b/>
              </w:rPr>
              <w:t>Índice Tok/s/B</w:t>
            </w:r>
          </w:p>
        </w:tc>
        <w:tc>
          <w:tcPr>
            <w:tcW w:type="dxa" w:w="5779"/>
          </w:tcPr>
          <w:p>
            <w:pPr>
              <w:pStyle w:val="Compact"/>
              <w:jc w:val="left"/>
            </w:pPr>
            <w:r>
              <w:rPr>
                <w:b w:val="0"/>
              </w:rPr>
              <w:t>Tokens por segundo normalizados por cada mil millones (10⁹) de parámetros</w:t>
            </w:r>
          </w:p>
        </w:tc>
      </w:tr>
    </w:tbl>
    <w:p>
      <w:pPr>
        <w:numPr>
          <w:ilvl w:val="0"/>
          <w:numId w:val="0"/>
        </w:numPr>
        <w:pStyle w:val="BodyText"/>
      </w:pPr>
      <w:r>
        <w:t xml:space="preserve">El cotejo entre la entidad extraída y la de referencia es </w:t>
      </w:r>
      <w:r>
        <w:rPr>
          <w:b/>
        </w:rPr>
        <w:t>difuso</w:t>
      </w:r>
      <w:r>
        <w:t>, con un umbral de similitud de 85 sobre 100, lo que tolera variaciones menores de forma sin admitir coincidencias espurias.</w:t>
      </w:r>
    </w:p>
    <w:p>
      <w:pPr>
        <w:numPr>
          <w:ilvl w:val="0"/>
          <w:numId w:val="0"/>
        </w:numPr>
        <w:pStyle w:val="BodyText"/>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BodyText"/>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scikit-learn, statsmodels,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5. Benchmark General — 12 Modelos en 13 Configuraciones sobre Kleptotrace/CoNLL-2002 (N=15)</w:t>
      </w:r>
    </w:p>
    <w:tbl>
      <w:tblPr>
        <w:tblStyle w:val="Table"/>
        <w:tblW w:type="pct" w:w="5000.0"/>
        <w:tblLook w:firstRow="1"/>
      </w:tblPr>
      <w:tblGrid>
        <w:gridCol w:w="1991"/>
        <w:gridCol w:w="668"/>
        <w:gridCol w:w="948"/>
        <w:gridCol w:w="668"/>
        <w:gridCol w:w="853"/>
        <w:gridCol w:w="668"/>
        <w:gridCol w:w="1232"/>
        <w:gridCol w:w="1137"/>
        <w:gridCol w:w="673"/>
      </w:tblGrid>
      <w:tr>
        <w:trPr>
          <w:cnfStyle w:firstRow="1"/>
        </w:trPr>
        <w:tc>
          <w:tcPr>
            <w:tcW w:type="dxa" w:w="1991"/>
            <w:tcBorders>
              <w:bottom w:val="single"/>
            </w:tcBorders>
            <w:vAlign w:val="bottom"/>
          </w:tcPr>
          <w:p>
            <w:pPr>
              <w:pStyle w:val="Compact"/>
              <w:jc w:val="left"/>
            </w:pPr>
            <w:r>
              <w:rPr>
                <w:b/>
              </w:rPr>
              <w:t>Modelo</w:t>
            </w:r>
          </w:p>
        </w:tc>
        <w:tc>
          <w:tcPr>
            <w:tcW w:type="dxa" w:w="668"/>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668"/>
            <w:tcBorders>
              <w:bottom w:val="single"/>
            </w:tcBorders>
            <w:vAlign w:val="bottom"/>
          </w:tcPr>
          <w:p>
            <w:pPr>
              <w:pStyle w:val="Compact"/>
              <w:jc w:val="center"/>
            </w:pPr>
            <w:r>
              <w:rPr>
                <w:b/>
              </w:rPr>
              <w:t>F1</w:t>
            </w:r>
          </w:p>
        </w:tc>
        <w:tc>
          <w:tcPr>
            <w:tcW w:type="dxa" w:w="853"/>
            <w:tcBorders>
              <w:bottom w:val="single"/>
            </w:tcBorders>
            <w:vAlign w:val="bottom"/>
          </w:tcPr>
          <w:p>
            <w:pPr>
              <w:pStyle w:val="Compact"/>
              <w:jc w:val="center"/>
            </w:pPr>
            <w:r>
              <w:rPr>
                <w:b/>
              </w:rPr>
              <w:t>Precisión</w:t>
            </w:r>
          </w:p>
        </w:tc>
        <w:tc>
          <w:tcPr>
            <w:tcW w:type="dxa" w:w="668"/>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673"/>
            <w:tcBorders>
              <w:bottom w:val="single"/>
            </w:tcBorders>
            <w:vAlign w:val="bottom"/>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w:t>
      </w:r>
    </w:p>
    <w:p>
      <w:pPr>
        <w:numPr>
          <w:ilvl w:val="0"/>
          <w:numId w:val="0"/>
        </w:numPr>
        <w:pStyle w:val="BodyText"/>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BodyText"/>
      </w:pPr>
      <w:r>
        <w:rPr>
          <w:b/>
        </w:rPr>
        <w:t>Hallazgo 2:</w:t>
      </w:r>
      <w:r>
        <w:t xml:space="preserve"> gemma4:31b lidera en Recall entre los locales (86.80%) con una tasa de alucinación de 0.16%, y su contraparte cloud alcanza un Recall equivalente (86.88%).</w:t>
      </w:r>
    </w:p>
    <w:p>
      <w:pPr>
        <w:numPr>
          <w:ilvl w:val="0"/>
          <w:numId w:val="0"/>
        </w:numPr>
        <w:pStyle w:val="BodyText"/>
      </w:pPr>
      <w:r>
        <w:rPr>
          <w:b/>
        </w:rPr>
        <w:t>Hallazgo 3:</w:t>
      </w:r>
      <w:r>
        <w:t xml:space="preserve"> deepseek-r1:1.5b debe descartarse para producción: F1 de 27.65% y Recall de sólo 25.77%.</w:t>
      </w:r>
    </w:p>
    <w:p>
      <w:pPr>
        <w:numPr>
          <w:ilvl w:val="0"/>
          <w:numId w:val="0"/>
        </w:numPr>
        <w:pStyle w:val="BodyText"/>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6. Análisis de Variantes de Prompts (gemma4:latest, N=15)</w:t>
      </w:r>
    </w:p>
    <w:tbl>
      <w:tblPr>
        <w:tblStyle w:val="Table"/>
        <w:tblW w:type="pct" w:w="5000.0"/>
        <w:tblLook w:firstRow="1"/>
      </w:tblPr>
      <w:tblGrid>
        <w:gridCol w:w="2687"/>
        <w:gridCol w:w="686"/>
        <w:gridCol w:w="895"/>
        <w:gridCol w:w="686"/>
        <w:gridCol w:w="1293"/>
        <w:gridCol w:w="1194"/>
        <w:gridCol w:w="1397"/>
      </w:tblGrid>
      <w:tr>
        <w:trPr>
          <w:cnfStyle w:firstRow="1"/>
        </w:trPr>
        <w:tc>
          <w:tcPr>
            <w:tcW w:type="dxa" w:w="2687"/>
            <w:tcBorders>
              <w:bottom w:val="single"/>
            </w:tcBorders>
            <w:vAlign w:val="bottom"/>
          </w:tcPr>
          <w:p>
            <w:pPr>
              <w:pStyle w:val="Compact"/>
              <w:jc w:val="left"/>
            </w:pPr>
            <w:r>
              <w:rPr>
                <w:b/>
              </w:rPr>
              <w:t>Configuración</w:t>
            </w:r>
          </w:p>
        </w:tc>
        <w:tc>
          <w:tcPr>
            <w:tcW w:type="dxa" w:w="686"/>
            <w:tcBorders>
              <w:bottom w:val="single"/>
            </w:tcBorders>
            <w:vAlign w:val="bottom"/>
          </w:tcPr>
          <w:p>
            <w:pPr>
              <w:pStyle w:val="Compact"/>
              <w:jc w:val="left"/>
            </w:pPr>
            <w:r>
              <w:rPr>
                <w:b/>
              </w:rPr>
              <w:t>F1</w:t>
            </w:r>
          </w:p>
        </w:tc>
        <w:tc>
          <w:tcPr>
            <w:tcW w:type="dxa" w:w="895"/>
            <w:tcBorders>
              <w:bottom w:val="single"/>
            </w:tcBorders>
            <w:vAlign w:val="bottom"/>
          </w:tcPr>
          <w:p>
            <w:pPr>
              <w:pStyle w:val="Compact"/>
              <w:jc w:val="left"/>
            </w:pPr>
            <w:r>
              <w:rPr>
                <w:b/>
              </w:rPr>
              <w:t>Precisión</w:t>
            </w:r>
          </w:p>
        </w:tc>
        <w:tc>
          <w:tcPr>
            <w:tcW w:type="dxa" w:w="686"/>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−0.73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+11.12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0.73 pp—, pero </w:t>
      </w:r>
      <w:r>
        <w:rPr>
          <w:b/>
        </w:rPr>
        <w:t>su combinación alcanza +11.12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7. Validación Estadística sobre el Corpus del Dominio (N=30)</w:t>
      </w:r>
    </w:p>
    <w:tbl>
      <w:tblPr>
        <w:tblStyle w:val="Table"/>
        <w:tblW w:type="pct" w:w="5000.0"/>
        <w:tblLook w:firstRow="1"/>
      </w:tblPr>
      <w:tblGrid>
        <w:gridCol w:w="2028"/>
        <w:gridCol w:w="1014"/>
        <w:gridCol w:w="1303"/>
        <w:gridCol w:w="1014"/>
        <w:gridCol w:w="2607"/>
        <w:gridCol w:w="872"/>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607"/>
            <w:tcBorders>
              <w:bottom w:val="single"/>
            </w:tcBorders>
            <w:vAlign w:val="bottom"/>
          </w:tcPr>
          <w:p>
            <w:pPr>
              <w:pStyle w:val="Compact"/>
              <w:jc w:val="center"/>
            </w:pPr>
            <w:r>
              <w:rPr>
                <w:b/>
              </w:rPr>
              <w:t>IC 95 % del F1</w:t>
            </w:r>
          </w:p>
        </w:tc>
        <w:tc>
          <w:tcPr>
            <w:tcW w:type="dxa" w:w="872"/>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BodyText"/>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BodyText"/>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BodyText"/>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8. Validación Estadística sobre Corpus Real N=120 (estudio completo)</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−0.53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BodyText"/>
      </w:pPr>
      <w:r>
        <w:t xml:space="preserve">El ANOVA de una vía sobre los veintiséis grupos arroja </w:t>
      </w:r>
      <w:r>
        <w:rPr>
          <w:b/>
        </w:rPr>
        <w:t>F = 38,2222</w:t>
      </w:r>
      <w:r>
        <w:t xml:space="preserve"> con </w:t>
      </w:r>
      <w:r>
        <w:rPr>
          <w:b/>
        </w:rPr>
        <w:t>p = 3,4453 × 10⁻¹⁶⁰</w:t>
      </w:r>
      <w:r>
        <w:t xml:space="preserve">,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172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w:t>
      </w:r>
    </w:p>
    <w:p>
      <w:pPr>
        <w:numPr>
          <w:ilvl w:val="0"/>
          <w:numId w:val="0"/>
        </w:numPr>
        <w:pStyle w:val="BodyText"/>
      </w:pPr>
      <w:r>
        <w:t xml:space="preserve">Ese resultado dibuja el hallazgo central del estudio: </w:t>
      </w:r>
      <w:r>
        <w:rPr>
          <w:b/>
        </w:rPr>
        <w:t>el beneficio del KB RAG es inversamente proporcional a la capacidad del modelo</w:t>
      </w:r>
      <w:r>
        <w:t>. Aporta de forma demostrable en los dos modelos más débiles, es positivo pero no concluyente en la franja intermedia y se anula o revierte en los de mayor capacidad —−0,53 y −0,18 puntos en los dos de 31B—, que ya siguen correctamente las instrucciones sin contexto adicional. Diez de los trece modelos mejoran, aunque solo dos lo hagan de manera estadísticamente sólida.</w:t>
      </w:r>
    </w:p>
    <w:p>
      <w:pPr>
        <w:numPr>
          <w:ilvl w:val="0"/>
          <w:numId w:val="0"/>
        </w:numPr>
        <w:pStyle w:val="BodyText"/>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9. Análisis de Eficiencia en Hardware Soberano</w:t>
      </w:r>
    </w:p>
    <w:tbl>
      <w:tblPr>
        <w:tblStyle w:val="Table"/>
        <w:tblW w:type="pct" w:w="5000.0"/>
        <w:tblLook w:firstRow="1"/>
      </w:tblPr>
      <w:tblGrid>
        <w:gridCol w:w="1753"/>
        <w:gridCol w:w="1127"/>
        <w:gridCol w:w="694"/>
        <w:gridCol w:w="1753"/>
        <w:gridCol w:w="1753"/>
        <w:gridCol w:w="1758"/>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694"/>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758"/>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w:t>
      </w:r>
    </w:p>
    <w:p>
      <w:pPr>
        <w:numPr>
          <w:ilvl w:val="0"/>
          <w:numId w:val="0"/>
        </w:numPr>
        <w:pStyle w:val="BodyText"/>
      </w:pPr>
      <w:r>
        <w:t xml:space="preserve">El costo por artículo en el sistema soberano local se estima en USD 0.052, versus USD 8.75 en revisión manual, representando una reducción del </w:t>
      </w:r>
      <w:r>
        <w:rPr>
          <w:b/>
        </w:rPr>
        <w:t>99.4%</w:t>
      </w:r>
      <w:r>
        <w:t xml:space="preserve"> en costo unitario.</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y anteponía al </w:t>
      </w:r>
      <w:r>
        <w:rPr>
          <w:i/>
        </w:rPr>
        <w:t>prompt</w:t>
      </w:r>
      <w:r>
        <w:t xml:space="preserve"> los más próximos al artículo según similitud vectorial. El resultado fue el contrario del esperado: sobre el corpus N=120, siete de los quince modelos evaluados empeoraron al activarlo, y entre ellos los de mejor desempeño base.</w:t>
      </w:r>
    </w:p>
    <w:p>
      <w:pPr>
        <w:numPr>
          <w:ilvl w:val="0"/>
          <w:numId w:val="0"/>
        </w:numPr>
        <w:pStyle w:val="BodyText"/>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BodyText"/>
      </w:pPr>
      <w:r>
        <w:t xml:space="preserve">La segunda versión invierte la naturaleza de lo recuperado. En lugar de entidades, la base de conocimientos almacena </w:t>
      </w:r>
      <w:r>
        <w:rPr>
          <w:b/>
        </w:rPr>
        <w:t>criterios</w:t>
      </w:r>
      <w:r>
        <w:t xml:space="preserve">: guías tipológicas por dominio —sanciones financieras, política, deportes, empresas—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BodyText"/>
      </w:pPr>
      <w:r>
        <w:t xml:space="preserve">Los resultados de esta segunda versión sobre el corpus completo se recogen en la tabla de §5.3.5, que compara los trece modelos del estudio en ambos modos. Su lectura confirma que el cambio de estrategia revierte la degradación —diez de los trece modelos mejoran— y revela un patrón que la primera versión no permitía observar: el beneficio </w:t>
      </w:r>
      <w:r>
        <w:rPr>
          <w:b/>
        </w:rPr>
        <w:t>decrece conforme aumenta la capacidad del modelo</w:t>
      </w:r>
      <w:r>
        <w:t>,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BodyText"/>
      </w:pPr>
      <w:r>
        <w:t xml:space="preserve">Tres factores explican la distribución de resultados observada. El primero es </w:t>
      </w:r>
      <w:r>
        <w:rPr>
          <w:b/>
        </w:rPr>
        <w:t>el idioma del prompt y de sus ejemplos</w:t>
      </w:r>
      <w:r>
        <w:t>. Redactar ambos en español aporta 11,12 puntos de F1 sin cambiar de modelo, mejora que ninguno de los dos factores consigue por separado: traducir solo el prompt aporta 4,38 puntos y añadir ejemplos en inglés resta 0,73.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BodyText"/>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BodyText"/>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BodyText"/>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BodyText"/>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BodyText"/>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−0.73 pp de F1 respectivamente, pero combinados alcanzan </w:t>
      </w:r>
      <w:r>
        <w:rPr>
          <w:b/>
        </w:rPr>
        <w:t>+11.12 pp</w:t>
      </w:r>
      <w:r>
        <w:t>. Los ejemplos solo resultan productivos redactados en el idioma del corpus, lo que tiene implicaciones directas para despliegues en mercados hispanohablantes.</w:t>
      </w:r>
    </w:p>
    <w:p>
      <w:pPr>
        <w:numPr>
          <w:ilvl w:val="0"/>
          <w:numId w:val="0"/>
        </w:numPr>
        <w:pStyle w:val="BodyText"/>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(p=0.007)—,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+0.025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(Low-Rank Adaptation) sobre </w:t>
      </w:r>
      <w:r>
        <w:t>gemma4:31b</w:t>
      </w:r>
      <w:r>
        <w:t xml:space="preserve"> con 200+ ejemplos anotados de Kleptotrace/CoNLL-2002 para cerrar la brecha hacia la meta aspiracional de 85% de F1 (§6.1).</w:t>
      </w:r>
    </w:p>
    <w:p>
      <w:pPr>
        <w:numPr>
          <w:ilvl w:val="0"/>
          <w:numId w:val="0"/>
        </w:numPr>
        <w:pStyle w:val="BodyText"/>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BodyText"/>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+0.091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 xml:space="preserve">El código, los corpus, los resultados por corrida y los documentos de trabajo están publicados en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10. Anexo A —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r>
              <w:rPr>
                <w:b w:val="0"/>
              </w:rPr>
            </w:r>
          </w:p>
        </w:tc>
      </w:tr>
      <w:tr>
        <w:tc>
          <w:tcPr>
            <w:tcW w:type="dxa" w:w="5461"/>
          </w:tcPr>
          <w:p>
            <w:pPr>
              <w:pStyle w:val="Compact"/>
              <w:jc w:val="left"/>
            </w:pPr>
            <w:r>
              <w:rPr>
                <w:b w:val="0"/>
              </w:rPr>
              <w:t>src/</w:t>
            </w:r>
          </w:p>
        </w:tc>
        <w:tc>
          <w:tcPr>
            <w:tcW w:type="dxa" w:w="3377"/>
          </w:tcPr>
          <w:p>
            <w:pPr>
              <w:pStyle w:val="Compact"/>
              <w:jc w:val="left"/>
            </w:pPr>
            <w:r>
              <w:rPr>
                <w:b w:val="0"/>
              </w:rPr>
            </w: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r>
              <w:rPr>
                <w:b w:val="0"/>
              </w:rPr>
            </w: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r>
              <w:rPr>
                <w:b w:val="0"/>
              </w:rPr>
            </w: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r>
              <w:rPr>
                <w:b w:val="0"/>
              </w:rPr>
            </w:r>
          </w:p>
        </w:tc>
      </w:tr>
      <w:tr>
        <w:tc>
          <w:tcPr>
            <w:tcW w:type="dxa" w:w="5461"/>
          </w:tcPr>
          <w:p>
            <w:pPr>
              <w:pStyle w:val="Compact"/>
              <w:jc w:val="left"/>
            </w:pPr>
            <w:r>
              <w:rPr>
                <w:b w:val="0"/>
              </w:rPr>
              <w:t xml:space="preserve">    statistical_report.md</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r>
              <w:rPr>
                <w:b w:val="0"/>
              </w:rPr>
            </w:r>
          </w:p>
        </w:tc>
      </w:tr>
      <w:tr>
        <w:tc>
          <w:tcPr>
            <w:tcW w:type="dxa" w:w="5461"/>
          </w:tcPr>
          <w:p>
            <w:pPr>
              <w:pStyle w:val="Compact"/>
              <w:jc w:val="left"/>
            </w:pPr>
            <w:r>
              <w:rPr>
                <w:b w:val="0"/>
              </w:rPr>
              <w:t xml:space="preserve">    rag/</w:t>
            </w:r>
          </w:p>
        </w:tc>
        <w:tc>
          <w:tcPr>
            <w:tcW w:type="dxa" w:w="3377"/>
          </w:tcPr>
          <w:p>
            <w:pPr>
              <w:pStyle w:val="Compact"/>
              <w:jc w:val="left"/>
            </w:pPr>
            <w:r>
              <w:rPr>
                <w:b w:val="0"/>
              </w:rPr>
            </w: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BodyText"/>
      </w:pPr>
      <w:r>
        <w:t>*</w:t>
      </w:r>
      <w:r>
        <w:rPr>
          <w:i/>
        </w:rPr>
        <w:t xml:space="preserve">Ejemplos </w:t>
      </w:r>
      <w:r>
        <w:t>few-shot</w:t>
      </w:r>
      <w:r>
        <w:rPr>
          <w:i/>
        </w:rPr>
        <w:t xml:space="preserve"> de la configuración FS-ES</w:t>
      </w:r>
      <w:r>
        <w:t>* (§4.3):</w:t>
      </w:r>
    </w:p>
    <w:p>
      <w:pPr>
        <w:numPr>
          <w:ilvl w:val="0"/>
          <w:numId w:val="0"/>
        </w:numPr>
        <w:pStyle w:val="BodyText"/>
      </w:pPr>
      <w:r>
        <w:rPr>
          <w:b/>
        </w:rPr>
        <w:t>Ejemplo few-shot 1 (caso persona sancionada):</w:t>
      </w:r>
    </w:p>
    <w:p>
      <w:pPr>
        <w:numPr>
          <w:ilvl w:val="0"/>
          <w:numId w:val="0"/>
        </w:numPr>
        <w:pStyle w:val="SourceCode"/>
      </w:pPr>
      <w:r>
        <w:t>Texto: "El empresario ruso Roman Abramovich fue incluido en las listas de sanciones</w:t>
      </w:r>
      <w:r>
        <w:br/>
      </w:r>
      <w:r>
        <w:t xml:space="preserve">        de la Unión Europea por sus vínculos con el régimen del Kremlin a través de</w:t>
      </w:r>
      <w:r>
        <w:br/>
      </w:r>
      <w:r>
        <w:t xml:space="preserve">        su empresa Evraz PLC."</w:t>
      </w:r>
      <w:r>
        <w:br/>
      </w:r>
      <w:r>
        <w:t>Respuesta: {"Persons": ["Roman Abramovich"], "Organizations": ["Evraz PLC"]}</w:t>
      </w:r>
    </w:p>
    <w:p>
      <w:pPr>
        <w:numPr>
          <w:ilvl w:val="0"/>
          <w:numId w:val="0"/>
        </w:numPr>
        <w:pStyle w:val="BodyText"/>
      </w:pPr>
      <w:r>
        <w:rPr>
          <w:b/>
        </w:rPr>
        <w:t>Ejemplo few-shot 2 (caso organización sancionada):</w:t>
      </w:r>
    </w:p>
    <w:p>
      <w:pPr>
        <w:numPr>
          <w:ilvl w:val="0"/>
          <w:numId w:val="0"/>
        </w:numPr>
        <w:pStyle w:val="SourceCode"/>
      </w:pPr>
      <w:r>
        <w:t>Texto: "El Departamento del Tesoro de los Estados Unidos sancionó al banco Rossiya,</w:t>
      </w:r>
      <w:r>
        <w:br/>
      </w:r>
      <w:r>
        <w:t xml:space="preserve">        señalándolo como banco personal de altos funcionarios del gobierno ruso."</w:t>
      </w:r>
      <w:r>
        <w:br/>
      </w:r>
      <w:r>
        <w:t>Respuesta: {"Persons": [], "Organizations": ["Banco Rossiya", "Departamento del Tesoro"]}</w:t>
      </w:r>
    </w:p>
    <w:p>
      <w:pPr>
        <w:numPr>
          <w:ilvl w:val="0"/>
          <w:numId w:val="0"/>
        </w:numPr>
        <w:pStyle w:val="BodyText"/>
      </w:pPr>
      <w:r>
        <w:rPr>
          <w:b/>
        </w:rPr>
        <w:t>Ejemplo few-shot 3 (caso PEP complejo):</w:t>
      </w:r>
    </w:p>
    <w:p>
      <w:pPr>
        <w:numPr>
          <w:ilvl w:val="0"/>
          <w:numId w:val="0"/>
        </w:numPr>
        <w:pStyle w:val="SourceCode"/>
      </w:pPr>
      <w:r>
        <w:t>Texto: "Isabel dos Santos, hija del expresidente angoleño José Eduardo dos Santos,</w:t>
      </w:r>
      <w:r>
        <w:br/>
      </w:r>
      <w:r>
        <w:t xml:space="preserve">        figura en investigaciones de la empresa estatal Sonangol por presunto desvío</w:t>
      </w:r>
      <w:r>
        <w:br/>
      </w:r>
      <w:r>
        <w:t xml:space="preserve">        de fondos."</w:t>
      </w:r>
      <w:r>
        <w:br/>
      </w:r>
      <w:r>
        <w:t>Respuesta: {"Persons": ["Isabel dos Santos", "José Eduardo dos Santos"],</w:t>
      </w:r>
      <w:r>
        <w:br/>
      </w:r>
      <w:r>
        <w:t xml:space="preserve">             "Organizations": ["Sonangol"]}</w:t>
      </w:r>
    </w:p>
    <w:p>
      <w:pPr>
        <w:numPr>
          <w:ilvl w:val="0"/>
          <w:numId w:val="0"/>
        </w:numPr>
        <w:pStyle w:val="BodyText"/>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11. Anexo C —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 (5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BodyText"/>
      </w:pPr>
      <w:r>
        <w:rPr>
          <w:i/>
        </w:rPr>
        <w:t>Informe Final de Tesina — Magíster en Tecnologías de la Información (MTI)</w:t>
      </w:r>
      <w:r>
        <w:t xml:space="preserve"> </w:t>
      </w:r>
      <w:r>
        <w:rPr>
          <w:i/>
        </w:rPr>
        <w:t>Universidad Técnica Federico Santa María — Valparaíso, Chile</w:t>
      </w:r>
      <w:r>
        <w:t xml:space="preserve"> </w:t>
      </w:r>
      <w:r>
        <w:rPr>
          <w:i/>
        </w:rPr>
        <w:t>Julio 2026</w:t>
      </w:r>
    </w:p>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El módulo src/kb_rag_manager.py (KBRAGManager) implementa cuatro modos de operación configurables:</w:t>
      </w:r>
    </w:p>
    <w:p>
      <w:pPr>
        <w:numPr>
          <w:ilvl w:val="0"/>
          <w:numId w:val="0"/>
        </w:numPr>
        <w:pStyle w:val="BodyText"/>
      </w:pPr>
      <w:r>
        <w:t>_Tabla 16. Configuración CLI del Módulo KB RAG_</w:t>
      </w:r>
    </w:p>
    <w:p>
      <w:pPr>
        <w:numPr>
          <w:ilvl w:val="0"/>
          <w:numId w:val="0"/>
        </w:numPr>
        <w:pStyle w:val="TableCaption"/>
      </w:pPr>
      <w:r>
        <w:t>Tabla 12. D.1 Implementación técnica del módulo KB RAG (src/kb_rag_manager.py)</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BodyText"/>
      </w:pPr>
      <w:r>
        <w:t>La base de conocimientos se organiza en dos colecciones ChromaDB separadas para garantizar compatibilidad con el sistema preexistente:</w:t>
      </w:r>
    </w:p>
    <w:p>
      <w:pPr>
        <w:numPr>
          <w:ilvl w:val="0"/>
          <w:numId w:val="0"/>
        </w:numPr>
        <w:pStyle w:val="BodyText"/>
      </w:pPr>
      <w:r>
        <w:t>ner_dictionaries: Colección legacy (diccionarios de entidades, preservada)</w:t>
      </w:r>
    </w:p>
    <w:p>
      <w:pPr>
        <w:numPr>
          <w:ilvl w:val="0"/>
          <w:numId w:val="0"/>
        </w:numPr>
        <w:pStyle w:val="BodyText"/>
      </w:pPr>
      <w:r>
        <w:t>ner_knowledge_base: Nueva colección (guías + ejemplares, 12 documentos)</w:t>
      </w:r>
    </w:p>
    <w:p>
      <w:pPr>
        <w:numPr>
          <w:ilvl w:val="0"/>
          <w:numId w:val="0"/>
        </w:numPr>
        <w:pStyle w:val="BodyText"/>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BodyText"/>
      </w:pPr>
      <w:r>
        <w:t>Template de inyección diferenciado: El módulo ollama_provider.py detecta automáticamente el tipo de contexto RAG y aplica el template apropiado:</w:t>
      </w:r>
    </w:p>
    <w:p>
      <w:pPr>
        <w:numPr>
          <w:ilvl w:val="0"/>
          <w:numId w:val="0"/>
        </w:numPr>
        <w:pStyle w:val="BodyText"/>
      </w:pPr>
      <w:r>
        <w:t>Entity-dict RAG (legacy): Template restrictivo — "DO NOT extract unless they explicitly appear..." — previene alucinaciones de entidades ausentes.</w:t>
      </w:r>
    </w:p>
    <w:p>
      <w:pPr>
        <w:numPr>
          <w:ilvl w:val="0"/>
          <w:numId w:val="0"/>
        </w:numPr>
        <w:pStyle w:val="BodyText"/>
      </w:pPr>
      <w:r>
        <w:t>KB RAG (nuevo): Template positivo — "[EXTRACTION GUIDANCE] Apply these rules to the news text" — instruye activamente al LLM sin suprimir su capacidad de extracción.</w:t>
      </w:r>
    </w:p>
    <w:p>
      <w:pPr>
        <w:numPr>
          <w:ilvl w:val="0"/>
          <w:numId w:val="0"/>
        </w:numPr>
        <w:pStyle w:val="BodyText"/>
      </w:pPr>
      <w:r>
        <w:t>Informe Final de Tesina — Magíster en Tecnologías de la Información (MTI)</w:t>
      </w:r>
    </w:p>
    <w:p>
      <w:pPr>
        <w:numPr>
          <w:ilvl w:val="0"/>
          <w:numId w:val="0"/>
        </w:numPr>
        <w:pStyle w:val="BodyText"/>
      </w:pPr>
      <w:r>
        <w:t>Universidad Técnica Federico Santa María — Valparaíso, Chile</w:t>
      </w:r>
    </w:p>
    <w:p>
      <w:pPr>
        <w:numPr>
          <w:ilvl w:val="0"/>
          <w:numId w:val="0"/>
        </w:numPr>
        <w:pStyle w:val="BodyText"/>
      </w:pPr>
      <w:r>
        <w:t>Julio 2026</w:t>
      </w:r>
    </w:p>
    <w:p>
      <w:pPr>
        <w:numPr>
          <w:ilvl w:val="0"/>
          <w:numId w:val="0"/>
        </w:numPr>
        <w:pStyle w:val="Heading3"/>
      </w:pPr>
      <w:r>
        <w:t>D.2 Catálogo de guías tipológicas y ejemplares de la base de Conocimientos</w:t>
      </w:r>
    </w:p>
    <w:p>
      <w:pPr>
        <w:numPr>
          <w:ilvl w:val="0"/>
          <w:numId w:val="0"/>
        </w:numPr>
        <w:pStyle w:val="BodyText"/>
      </w:pPr>
      <w:r>
        <w:t>_Tabla 17. Guías Tipológicas de Dominio de la Base de Conocimientos_</w:t>
      </w:r>
    </w:p>
    <w:p>
      <w:pPr>
        <w:numPr>
          <w:ilvl w:val="0"/>
          <w:numId w:val="0"/>
        </w:numPr>
        <w:pStyle w:val="TableCaption"/>
      </w:pPr>
      <w:r>
        <w:t>Tabla 13. D.2 Catálogo de guías tipológicas y ejemplares de la base de Conocimientos</w:t>
      </w:r>
    </w:p>
    <w:tbl>
      <w:tblPr>
        <w:tblStyle w:val="Table"/>
        <w:tblW w:type="pct" w:w="5000.0"/>
        <w:tblLook w:firstRow="1"/>
      </w:tblPr>
      <w:tblGrid>
        <w:gridCol w:w="2513"/>
        <w:gridCol w:w="2211"/>
        <w:gridCol w:w="693"/>
        <w:gridCol w:w="3421"/>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693"/>
            <w:tcBorders>
              <w:bottom w:val="single"/>
            </w:tcBorders>
            <w:vAlign w:val="bottom"/>
          </w:tcPr>
          <w:p>
            <w:pPr>
              <w:pStyle w:val="Compact"/>
              <w:jc w:val="left"/>
            </w:pPr>
            <w:r>
              <w:rPr>
                <w:b/>
              </w:rPr>
              <w:t>Idioma</w:t>
            </w:r>
          </w:p>
        </w:tc>
        <w:tc>
          <w:tcPr>
            <w:tcW w:type="dxa" w:w="3421"/>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BodyText"/>
      </w:pPr>
      <w:r>
        <w:t>_Tabla 18. Ejemplares Few-Shot de la Base de Conocimientos_</w:t>
      </w:r>
    </w:p>
    <w:p>
      <w:pPr>
        <w:numPr>
          <w:ilvl w:val="0"/>
          <w:numId w:val="0"/>
        </w:numPr>
        <w:pStyle w:val="TableCaption"/>
      </w:pPr>
      <w:r>
        <w:t>Tabla 14. D.2 Catálogo de guías tipológicas y ejemplares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BodyText"/>
      </w:pPr>
      <w:r>
        <w:t>_Tabla 23. Reglas de la Base de Conocimientos Contextual_</w:t>
      </w:r>
    </w:p>
    <w:p>
      <w:pPr>
        <w:numPr>
          <w:ilvl w:val="0"/>
          <w:numId w:val="0"/>
        </w:numPr>
        <w:pStyle w:val="TableCaption"/>
      </w:pPr>
      <w:r>
        <w:t>Tabla 15. D.3 Reglas de la base de conocimientos contextual</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BodyText"/>
      </w:pPr>
      <w:r>
        <w:t>_Tabla 20. Resultados Completos del Benchmark General (13 Configuraciones, N=15)_</w:t>
      </w:r>
    </w:p>
    <w:p>
      <w:pPr>
        <w:numPr>
          <w:ilvl w:val="0"/>
          <w:numId w:val="0"/>
        </w:numPr>
        <w:pStyle w:val="TableCaption"/>
      </w:pPr>
      <w:r>
        <w:t>Tabla 16. Anexo E — Procedencia de los Datos del Benchmark General (N=15)</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5</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BodyText"/>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17. H.1 Naturaleza y alcance del defecto</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BodyText"/>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18. H.2 Alcance medido y consecuencia sobre la comparación</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BodyText"/>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BodyText"/>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19. H.3 Evidencia empírica del efecto diferencial</w:t>
      </w:r>
    </w:p>
    <w:tbl>
      <w:tblPr>
        <w:tblStyle w:val="Table"/>
        <w:tblW w:type="pct" w:w="5000.0"/>
        <w:tblLook w:firstRow="1"/>
      </w:tblPr>
      <w:tblGrid>
        <w:gridCol w:w="4499"/>
        <w:gridCol w:w="4339"/>
      </w:tblGrid>
      <w:tr>
        <w:trPr>
          <w:cnfStyle w:firstRow="1"/>
        </w:trPr>
        <w:tc>
          <w:tcPr>
            <w:tcW w:type="dxa" w:w="4499"/>
            <w:tcBorders>
              <w:bottom w:val="single"/>
            </w:tcBorders>
            <w:vAlign w:val="bottom"/>
          </w:tcPr>
          <w:p>
            <w:pPr>
              <w:pStyle w:val="Compact"/>
              <w:jc w:val="left"/>
            </w:pPr>
            <w:r>
              <w:rPr>
                <w:b/>
              </w:rPr>
              <w:t>Modelo</w:t>
            </w:r>
          </w:p>
        </w:tc>
        <w:tc>
          <w:tcPr>
            <w:tcW w:type="dxa" w:w="4339"/>
            <w:tcBorders>
              <w:bottom w:val="single"/>
            </w:tcBorders>
            <w:vAlign w:val="bottom"/>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BodyText"/>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BodyText"/>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