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numPr>
          <w:ilvl w:val="0"/>
          <w:numId w:val="0"/>
        </w:numPr>
        <w:pStyle w:val="Title"/>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uthor"/>
      </w:pPr>
      <w:r>
        <w:t>Austranet — Departamento de Informática, Universidad Técnica Federico Santa María, Valparaíso, Chile</w:t>
      </w:r>
    </w:p>
    <w:p>
      <w:pPr>
        <w:numPr>
          <w:ilvl w:val="0"/>
          <w:numId w:val="0"/>
        </w:numPr>
        <w:pStyle w:val="Author"/>
      </w:pPr>
      <w:r>
        <w:t>eahumada@gmail.com</w:t>
      </w:r>
    </w:p>
    <w:p>
      <w:pPr>
        <w:numPr>
          <w:ilvl w:val="0"/>
          <w:numId w:val="0"/>
        </w:numPr>
        <w:pStyle w:val="Heading1"/>
      </w:pPr>
      <w:r>
        <w:t>RESUMEN</w:t>
      </w:r>
    </w:p>
    <w:p>
      <w:pPr>
        <w:numPr>
          <w:ilvl w:val="0"/>
          <w:numId w:val="0"/>
        </w:numPr>
        <w:pStyle w:val="Abstract"/>
      </w:pPr>
      <w:r>
        <w:t xml:space="preserve">Las instituciones sujetas a regulaciones AML/KYC deben vigilar grandes volúmenes de noticias no estructuradas buscando entidades de riesgo. Hacerlo manualmente no escala y delegarlo en APIs en la nube expone información sensible a terceros. Este trabajo diseña, implementa y evalúa un sistema soberano de reconocimiento de entidades nombradas (NER) con modelos de lenguaje grande de código abierto en local mediante Ollama sobre Apple Silicon, con arquitectura pub/sub multihilo, concurrencia adaptativa (AIMD) y capa Factory/Facade. La validación comparó trece modelos sobre 120 artículos, 105 en español, y 30 del dominio en inglés; contrastó la extracción directa con la generación aumentada por recuperación (RAG) contextual y midió las diferencias con ANOVA y Tukey HSD. El beneficio del RAG decrece con la capacidad del modelo: solo alcanza significancia en dos de los trece (+14,5 y +10,8 puntos de F1) y es nulo o adverso en los mayores. Redactar el prompt en español con ejemplos </w:t>
      </w:r>
      <w:r>
        <w:rPr>
          <w:i/>
        </w:rPr>
        <w:t>few-shot</w:t>
      </w:r>
      <w:r>
        <w:t xml:space="preserve"> aporta +10,4 puntos en el corpus de quince artículos, mejora que no replica sobre el corpus mayor. Restringida la medición a las categorías que el corpus anota, el mejor modelo local alcanza 76,55 % de F1 en español y 90,16 % en el dominio, preservando la confidencialidad.</w:t>
      </w:r>
    </w:p>
    <w:p>
      <w:pPr>
        <w:numPr>
          <w:ilvl w:val="0"/>
          <w:numId w:val="0"/>
        </w:numPr>
        <w:pStyle w:val="Abstract"/>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Abstract"/>
      </w:pPr>
      <w:r>
        <w:t xml:space="preserve">Financial institutions subject to AML/KYC regulations must monitor large volumes of unstructured news for risk entities. Doing so manually does not scale, and delegating it to cloud APIs exposes sensitive information to third parties. This work designs, implements and evaluates a sovereign Named Entity Recognition (NER) system using open-source Large Language Models locally through Ollama on Apple Silicon hardware, with a multithreaded pub/sub architecture, adaptive concurrency control (AIMD) and a Factory/Facade layer. Validation compared thirteen models on 120 articles, 105 in Spanish, and 30 domain ones in English; contrasted direct extraction with contextual retrieval-augmented generation (RAG) and measured the differences with ANOVA and Tukey HSD. The benefit of RAG decreases with model capacity: it reaches significance in only two of the thirteen (+14.5 and +10.8 F1 points) and is null or adverse in the larger ones. Writing the prompt in Spanish with </w:t>
      </w:r>
      <w:r>
        <w:rPr>
          <w:i/>
        </w:rPr>
        <w:t>few-shot</w:t>
      </w:r>
      <w:r>
        <w:t xml:space="preserve"> examples yields +10.4 points on the fifteen-article corpus, an improvement that does not replicate on the larger corpus. With scoring restricted to the categories the corpus annotates, the best local model reaches 76.55 % F1 in Spanish and 90.16 % on the domain corpus, preserving confidentiality.</w:t>
      </w:r>
    </w:p>
    <w:p>
      <w:pPr>
        <w:numPr>
          <w:ilvl w:val="0"/>
          <w:numId w:val="0"/>
        </w:numPr>
        <w:pStyle w:val="Abstract"/>
      </w:pPr>
      <w:r>
        <w:rPr>
          <w:b/>
        </w:rPr>
        <w:t>Keywords:</w:t>
      </w:r>
      <w:r>
        <w:t xml:space="preserve"> Named Entity Recognition (NER), Large Language Models (LLM), Regulatory Compliance (AML/KYC), Data Sovereignty, Retrieval-Augmented Generation (RAG).</w:t>
      </w:r>
    </w:p>
    <w:p>
      <w:pPr>
        <w:numPr>
          <w:ilvl w:val="0"/>
          <w:numId w:val="0"/>
        </w:numPr>
        <w:pStyle w:val="Heading1"/>
      </w:pPr>
      <w:r>
        <w:t>ÍNDICE DE CONTENIDOS</w:t>
      </w:r>
    </w:p>
    <w:p>
      <w:pPr>
        <w:numPr>
          <w:ilvl w:val="0"/>
          <w:numId w:val="0"/>
        </w:numPr>
        <w:pStyle w:val="BodyText"/>
      </w:pPr>
      <w:r>
        <w:t>Introducción</w:t>
      </w:r>
    </w:p>
    <w:p>
      <w:pPr>
        <w:numPr>
          <w:ilvl w:val="0"/>
          <w:numId w:val="0"/>
        </w:numPr>
        <w:pStyle w:val="BodyText"/>
      </w:pPr>
      <w:r>
        <w:t>Marco Teórico y Estado del Arte</w:t>
      </w:r>
    </w:p>
    <w:p>
      <w:pPr>
        <w:numPr>
          <w:ilvl w:val="0"/>
          <w:numId w:val="0"/>
        </w:numPr>
        <w:pStyle w:val="BodyText"/>
      </w:pPr>
      <w:r>
        <w:t>Descripción del Sistema Propuesto</w:t>
      </w:r>
    </w:p>
    <w:p>
      <w:pPr>
        <w:numPr>
          <w:ilvl w:val="0"/>
          <w:numId w:val="0"/>
        </w:numPr>
        <w:pStyle w:val="BodyText"/>
      </w:pPr>
      <w:r>
        <w:t>Diseño Experimental</w:t>
      </w:r>
    </w:p>
    <w:p>
      <w:pPr>
        <w:numPr>
          <w:ilvl w:val="0"/>
          <w:numId w:val="0"/>
        </w:numPr>
        <w:pStyle w:val="BodyText"/>
      </w:pPr>
      <w:r>
        <w:t>Resultados Experimentales</w:t>
      </w:r>
    </w:p>
    <w:p>
      <w:pPr>
        <w:numPr>
          <w:ilvl w:val="0"/>
          <w:numId w:val="0"/>
        </w:numPr>
        <w:pStyle w:val="BodyText"/>
      </w:pPr>
      <w:r>
        <w:t>Discusión</w:t>
      </w:r>
    </w:p>
    <w:p>
      <w:pPr>
        <w:numPr>
          <w:ilvl w:val="0"/>
          <w:numId w:val="0"/>
        </w:numPr>
        <w:pStyle w:val="BodyText"/>
      </w:pPr>
      <w:r>
        <w:t>Conclusiones y Trabajo Futuro</w:t>
      </w:r>
    </w:p>
    <w:p>
      <w:pPr>
        <w:numPr>
          <w:ilvl w:val="0"/>
          <w:numId w:val="0"/>
        </w:numPr>
        <w:pStyle w:val="BodyText"/>
      </w:pPr>
      <w:r>
        <w:t>Referencias Bibliográficas</w:t>
      </w:r>
    </w:p>
    <w:p>
      <w:pPr>
        <w:numPr>
          <w:ilvl w:val="0"/>
          <w:numId w:val="0"/>
        </w:numPr>
        <w:pStyle w:val="BodyText"/>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BodyText"/>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[22]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Normal"/>
      </w:pPr>
      <w:r>
        <w:t>El proceso actual en instituciones como Austranet implica la revisión manual de cientos de artículos periodísticos diarios por analistas especializados, un proceso cuyo costo, estimado a partir del proceso vigente en Austranet, asciende a unos USD 8,75 por artículo analizado (el detalle del cálculo se expone en §5.5). A nivel global, según Verified Market Research el mercado de RegTech se valoró en USD 15,68 mil millones en 2020 y se proyecta que alcance USD 87,17 mil millones hacia 2028, con una CAGR del 23,92 % durante 2021-2028, evidenciando la urgencia de soluciones automatizadas y escalables [21].</w:t>
      </w:r>
    </w:p>
    <w:p>
      <w:pPr>
        <w:numPr>
          <w:ilvl w:val="0"/>
          <w:numId w:val="0"/>
        </w:numPr>
        <w:pStyle w:val="Heading2"/>
      </w:pPr>
      <w:r>
        <w:t>1.2 Planteamiento del Problema</w:t>
      </w:r>
    </w:p>
    <w:p>
      <w:pPr>
        <w:numPr>
          <w:ilvl w:val="0"/>
          <w:numId w:val="0"/>
        </w:numPr>
        <w:pStyle w:val="BodyText"/>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Normal"/>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sistemas basados en reglas y expresiones regulares resultan frágiles ante la variación morfológica del español, donde un mismo nombre admite múltiples formas según la posición, la partícula y la acentuación. Las APIs comerciales en la nube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[2] alcanzan el mejor desempeño publicado [7], [15], pero requieren miles de ejemplos etiquetados en el dominio objetivo, inexistentes en español para cumplimiento financiero.</w:t>
      </w:r>
    </w:p>
    <w:p>
      <w:pPr>
        <w:numPr>
          <w:ilvl w:val="0"/>
          <w:numId w:val="0"/>
        </w:numPr>
        <w:pStyle w:val="Normal"/>
      </w:pPr>
      <w:r>
        <w:t>La brecha que este trabajo aborda se sitúa precisamente en esa intersección vacía: obtener un desempeño aprovechable sin datos etiquetados del dominio y sin ceder los datos a un tercero.</w:t>
      </w:r>
    </w:p>
    <w:p>
      <w:pPr>
        <w:numPr>
          <w:ilvl w:val="0"/>
          <w:numId w:val="0"/>
        </w:numPr>
        <w:pStyle w:val="Heading2"/>
      </w:pPr>
      <w:r>
        <w:t>1.3 Hipótesis de Trabajo</w:t>
      </w:r>
    </w:p>
    <w:p>
      <w:pPr>
        <w:numPr>
          <w:ilvl w:val="0"/>
          <w:numId w:val="0"/>
        </w:numPr>
        <w:pStyle w:val="BodyText"/>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Normal"/>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BodyText"/>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Normal"/>
      </w:pPr>
      <w:r>
        <w:rPr>
          <w:b/>
        </w:rPr>
        <w:t>Objetivos Específicos:</w:t>
      </w:r>
    </w:p>
    <w:p>
      <w:pPr>
        <w:numPr>
          <w:ilvl w:val="0"/>
          <w:numId w:val="0"/>
        </w:numPr>
        <w:pStyle w:val="BodyText"/>
      </w:pPr>
      <w:r>
        <w:t>Diseñar e implementar una arquitectura pub/sub multithreading con control adaptativo de concurrencia para la ejecución segura de LLMs de gran escala en hardware Apple Silicon.</w:t>
      </w:r>
    </w:p>
    <w:p>
      <w:pPr>
        <w:numPr>
          <w:ilvl w:val="0"/>
          <w:numId w:val="0"/>
        </w:numPr>
        <w:pStyle w:val="BodyText"/>
      </w:pPr>
      <w:r>
        <w:t xml:space="preserve">Evaluar y comparar el desempeño de modelos de lenguaje de código abierto generativos (familias Gemma, Llama, DeepSeek, Qwen, Mistral, GPT-OSS, Nemotron) en la tarea de NER sobre corpus de sanciones financieras en inglés y de noticias en español: </w:t>
      </w:r>
      <w:r>
        <w:rPr>
          <w:b/>
        </w:rPr>
        <w:t>12 modelos</w:t>
      </w:r>
      <w:r>
        <w:t xml:space="preserve"> en el benchmark exploratorio N=15 (§5.1) y </w:t>
      </w:r>
      <w:r>
        <w:rPr>
          <w:b/>
        </w:rPr>
        <w:t>13 modelos</w:t>
      </w:r>
      <w:r>
        <w:t xml:space="preserve"> en el estudio principal N=120 con KB RAG (§5.3.5).</w:t>
      </w:r>
    </w:p>
    <w:p>
      <w:pPr>
        <w:numPr>
          <w:ilvl w:val="0"/>
          <w:numId w:val="0"/>
        </w:numPr>
        <w:pStyle w:val="BodyText"/>
      </w:pPr>
      <w:r>
        <w:t xml:space="preserve">Ejecutar una comparación sistemática de cuatro configuraciones de prompt (zero-shot/few-shot × inglés/español) (un diseño factorial 2×2, habitualmente llamado </w:t>
      </w:r>
      <w:r>
        <w:rPr>
          <w:i/>
        </w:rPr>
        <w:t>ablation study</w:t>
      </w:r>
      <w:r>
        <w:t xml:space="preserve"> en la bibliografía en inglés) para cuantificar el impacto de la localización lingüística y el aprendizaje en contexto.</w:t>
      </w:r>
    </w:p>
    <w:p>
      <w:pPr>
        <w:numPr>
          <w:ilvl w:val="0"/>
          <w:numId w:val="0"/>
        </w:numPr>
        <w:pStyle w:val="BodyText"/>
      </w:pPr>
      <w:r>
        <w:t>Validar estadísticamente los resultados mediante ANOVA de una vía y pruebas post-hoc de Tukey HSD (α=0.05) sobre un corpus estadísticamente significativo (N≥30).</w:t>
      </w:r>
    </w:p>
    <w:p>
      <w:pPr>
        <w:numPr>
          <w:ilvl w:val="0"/>
          <w:numId w:val="0"/>
        </w:numPr>
        <w:pStyle w:val="BodyText"/>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BodyText"/>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Normal"/>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ANOVA de una vía y pruebas post-hoc de Tukey HSD si las diferencias observadas son estadísticamente significativas o atribuibles a la variabilidad entre artículos. Todas las corridas quedan definidas por un fichero de configuración reproducible, así que cualquier resultado del informe pueda rehacerse a partir de los artefactos publicados.</w:t>
      </w:r>
    </w:p>
    <w:p>
      <w:pPr>
        <w:numPr>
          <w:ilvl w:val="0"/>
          <w:numId w:val="0"/>
        </w:numPr>
        <w:pStyle w:val="Heading2"/>
      </w:pPr>
      <w:r>
        <w:t>1.6 Estructura del Documento</w:t>
      </w:r>
    </w:p>
    <w:p>
      <w:pPr>
        <w:numPr>
          <w:ilvl w:val="0"/>
          <w:numId w:val="0"/>
        </w:numPr>
        <w:pStyle w:val="BodyText"/>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BodyText"/>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y las familias de técnicas disponibles</w:t>
      </w:r>
    </w:p>
    <w:p>
      <w:pPr>
        <w:numPr>
          <w:ilvl w:val="0"/>
          <w:numId w:val="0"/>
        </w:numPr>
        <w:pStyle w:val="BodyText"/>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y de personas expuestas políticamente [19].</w:t>
      </w:r>
    </w:p>
    <w:p>
      <w:pPr>
        <w:numPr>
          <w:ilvl w:val="0"/>
          <w:numId w:val="0"/>
        </w:numPr>
        <w:pStyle w:val="Normal"/>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Normal"/>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Normal"/>
      </w:pPr>
      <w:r>
        <w:t>Las aproximaciones al problema pueden ordenarse por el tipo de conocimiento que requieren y por el coste de adaptarlas a un dominio nuevo.</w:t>
      </w:r>
    </w:p>
    <w:p>
      <w:pPr>
        <w:numPr>
          <w:ilvl w:val="0"/>
          <w:numId w:val="0"/>
        </w:numPr>
        <w:pStyle w:val="Normal"/>
      </w:pPr>
      <w:r>
        <w:t>Los sistemas basados en reglas y diccionarios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Normal"/>
      </w:pPr>
      <w:r>
        <w:t xml:space="preserve">Los </w:t>
      </w:r>
      <w:r>
        <w:rPr>
          <w:b/>
        </w:rPr>
        <w:t>Campos Aleatorios Condicionales (CRF)</w:t>
      </w:r>
      <w:r>
        <w:t xml:space="preserve"> [10], [17]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Normal"/>
      </w:pPr>
      <w:r>
        <w:t xml:space="preserve">Las </w:t>
      </w:r>
      <w:r>
        <w:rPr>
          <w:b/>
        </w:rPr>
        <w:t>arquitecturas neuronales BiLSTM-CRF</w:t>
      </w:r>
      <w:r>
        <w:t xml:space="preserve"> [24] sustituyen los rasgos manuales por representaciones aprendidas, eliminando gran parte del trabajo de ingeniería a cambio de un requisito de datos aún mayor.</w:t>
      </w:r>
    </w:p>
    <w:p>
      <w:pPr>
        <w:numPr>
          <w:ilvl w:val="0"/>
          <w:numId w:val="0"/>
        </w:numPr>
        <w:pStyle w:val="Normal"/>
      </w:pPr>
      <w:r>
        <w:t xml:space="preserve">Los </w:t>
      </w:r>
      <w:r>
        <w:rPr>
          <w:b/>
        </w:rPr>
        <w:t>codificadores Transformer pre-entrenados</w:t>
      </w:r>
      <w:r>
        <w:t xml:space="preserve"> (BERT [2] y sus variantes multilingües como XLM-R [23]) constituyen el estado del arte académico. Partiendo de un modelo pre-entrenado, un ajuste fino alcanza 88,43 % de F1 en español sobre CoNLL-2002 con un codificador monolingüe [7], y 82,1 % de micro-F1 sobre FiNER-139, un corpus financiero en inglés cuya tarea es etiquetar magnitudes según la taxonomía XBRL y no identificar personas y organizaciones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Normal"/>
      </w:pPr>
      <w:r>
        <w:t xml:space="preserve">Los modelos de lenguaje grande generativos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w:t>
      </w:r>
    </w:p>
    <w:p>
      <w:pPr>
        <w:numPr>
          <w:ilvl w:val="0"/>
          <w:numId w:val="0"/>
        </w:numPr>
        <w:pStyle w:val="TableCaption"/>
      </w:pPr>
      <w:r>
        <w:t>Tabla 1. Familias de técnicas para el reconocimiento de entidades y su comportamiento frente a los criterios de selección.</w:t>
      </w:r>
    </w:p>
    <w:tbl>
      <w:tblPr>
        <w:tblStyle w:val="Table"/>
        <w:tblW w:type="pct" w:w="5000.0"/>
        <w:tblLook w:firstRow="1"/>
      </w:tblPr>
      <w:tblGrid>
        <w:gridCol w:w="1940"/>
        <w:gridCol w:w="2011"/>
        <w:gridCol w:w="2443"/>
        <w:gridCol w:w="2444"/>
      </w:tblGrid>
      <w:tr>
        <w:trPr>
          <w:cnfStyle w:firstRow="1"/>
        </w:trPr>
        <w:tc>
          <w:tcPr>
            <w:tcW w:type="dxa" w:w="1940"/>
            <w:tcBorders>
              <w:bottom w:val="single"/>
            </w:tcBorders>
            <w:vAlign w:val="bottom"/>
          </w:tcPr>
          <w:p>
            <w:pPr>
              <w:pStyle w:val="Compact"/>
              <w:jc w:val="left"/>
            </w:pPr>
            <w:r>
              <w:rPr>
                <w:b/>
              </w:rPr>
              <w:t>Familia</w:t>
            </w:r>
          </w:p>
        </w:tc>
        <w:tc>
          <w:tcPr>
            <w:tcW w:type="dxa" w:w="2011"/>
            <w:tcBorders>
              <w:bottom w:val="single"/>
            </w:tcBorders>
            <w:vAlign w:val="bottom"/>
          </w:tcPr>
          <w:p>
            <w:pPr>
              <w:pStyle w:val="Compact"/>
              <w:jc w:val="left"/>
            </w:pPr>
            <w:r>
              <w:rPr>
                <w:b/>
              </w:rPr>
              <w:t>Datos etiquetados requeridos</w:t>
            </w:r>
          </w:p>
        </w:tc>
        <w:tc>
          <w:tcPr>
            <w:tcW w:type="dxa" w:w="2443"/>
            <w:tcBorders>
              <w:bottom w:val="single"/>
            </w:tcBorders>
            <w:vAlign w:val="bottom"/>
          </w:tcPr>
          <w:p>
            <w:pPr>
              <w:pStyle w:val="Compact"/>
              <w:jc w:val="left"/>
            </w:pPr>
            <w:r>
              <w:rPr>
                <w:b/>
              </w:rPr>
              <w:t>Adaptación a dominio nuevo</w:t>
            </w:r>
          </w:p>
        </w:tc>
        <w:tc>
          <w:tcPr>
            <w:tcW w:type="dxa" w:w="2444"/>
            <w:tcBorders>
              <w:bottom w:val="single"/>
            </w:tcBorders>
            <w:vAlign w:val="bottom"/>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 xml:space="preserve">Inmediata mediante </w:t>
            </w:r>
            <w:r>
              <w:rPr>
                <w:b w:val="0"/>
                <w:i/>
              </w:rPr>
              <w:t>prompt</w:t>
            </w:r>
          </w:p>
        </w:tc>
        <w:tc>
          <w:tcPr>
            <w:tcW w:type="dxa" w:w="2444"/>
          </w:tcPr>
          <w:p>
            <w:pPr>
              <w:pStyle w:val="Compact"/>
              <w:jc w:val="center"/>
            </w:pPr>
            <w:r>
              <w:rPr>
                <w:b w:val="0"/>
              </w:rPr>
              <w:t>Alucinación y salida no estructurada</w:t>
            </w:r>
          </w:p>
        </w:tc>
      </w:tr>
    </w:tbl>
    <w:p>
      <w:pPr>
        <w:numPr>
          <w:ilvl w:val="0"/>
          <w:numId w:val="0"/>
        </w:numPr>
        <w:pStyle w:val="Normal"/>
      </w:pPr>
      <w:r>
        <w:t>La última fila es la única compatible con la restricción de datos del proyecto, y por eso concentra el resto de la revisión.</w:t>
      </w:r>
    </w:p>
    <w:p>
      <w:pPr>
        <w:numPr>
          <w:ilvl w:val="0"/>
          <w:numId w:val="0"/>
        </w:numPr>
        <w:pStyle w:val="Heading2"/>
      </w:pPr>
      <w:r>
        <w:t>2.2 Aprendizaje en contexto y diseño de prompts</w:t>
      </w:r>
    </w:p>
    <w:p>
      <w:pPr>
        <w:numPr>
          <w:ilvl w:val="0"/>
          <w:numId w:val="0"/>
        </w:numPr>
        <w:pStyle w:val="BodyText"/>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Normal"/>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Normal"/>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2.3 Aumento por recuperación y ejecución local</w:t>
      </w:r>
    </w:p>
    <w:p>
      <w:pPr>
        <w:numPr>
          <w:ilvl w:val="0"/>
          <w:numId w:val="0"/>
        </w:numPr>
        <w:pStyle w:val="BodyText"/>
      </w:pPr>
      <w:r>
        <w:t>La Generación Aumentada por Recuperación (RAG) [1] fundamenta la generación en información recuperada en tiempo de consulta, en lugar de confiarla exclusivamente a los pesos del modelo. La literatura reciente [6] distingue variantes por la naturaleza de lo recuperado, y esa distinción resulta determinante en NER.</w:t>
      </w:r>
    </w:p>
    <w:p>
      <w:pPr>
        <w:numPr>
          <w:ilvl w:val="0"/>
          <w:numId w:val="0"/>
        </w:numPr>
        <w:pStyle w:val="Normal"/>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extremo que este trabajo comprueba empíricamente en §5.6, y no ayuda ante nombres ausentes del catálogo.</w:t>
      </w:r>
    </w:p>
    <w:p>
      <w:pPr>
        <w:numPr>
          <w:ilvl w:val="0"/>
          <w:numId w:val="0"/>
        </w:numPr>
        <w:pStyle w:val="Normal"/>
      </w:pPr>
      <w:r>
        <w:t xml:space="preserve">Una segunda variante es el RAG contextual o de conocimiento,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Normal"/>
      </w:pPr>
      <w:r>
        <w:t xml:space="preserve">Una tercera configuración, adoptada por trabajos aplicados al ámbito financiero [5], [9], emplea el propio documento como </w:t>
      </w:r>
      <w:r>
        <w:rPr>
          <w:b/>
        </w:rPr>
        <w:t>contexto único</w:t>
      </w:r>
      <w:r>
        <w:t>, restringiendo la extracción al texto presente y mitigando la alucinación extrínseca.</w:t>
      </w:r>
    </w:p>
    <w:p>
      <w:pPr>
        <w:numPr>
          <w:ilvl w:val="0"/>
          <w:numId w:val="0"/>
        </w:numPr>
        <w:pStyle w:val="Normal"/>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Normal"/>
      </w:pPr>
      <w:r>
        <w:t xml:space="preserve">Decidida la estrategia de recuperación, queda el problema de dónde ejecutar el modelo. Hacerlo sobre hardware de consumo exige </w:t>
      </w:r>
      <w:r>
        <w:rPr>
          <w:b/>
        </w:rPr>
        <w:t>cuantización</w:t>
      </w:r>
      <w:r>
        <w:t>: reducir la precisión numérica de los pesos para bajar el consumo de memoria, típicamente a 4 bits en formatos como GGUF con esquema Q4_K_M [30],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Normal"/>
      </w:pPr>
      <w:r>
        <w:t xml:space="preserve">Entre los entornos de ejecución disponibles, </w:t>
      </w:r>
      <w:r>
        <w:rPr>
          <w:b/>
        </w:rPr>
        <w:t>llama.cpp</w:t>
      </w:r>
      <w:r>
        <w:t xml:space="preserve"> [30] ofrece el motor de inferencia cuantizada de referencia pero exige gestión manual de modelos; </w:t>
      </w:r>
      <w:r>
        <w:rPr>
          <w:b/>
        </w:rPr>
        <w:t>vLLM</w:t>
      </w:r>
      <w:r>
        <w:t xml:space="preserve"> [28]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[31] aprovecha específicamente la memoria unificada de Apple Silicon; y </w:t>
      </w:r>
      <w:r>
        <w:rPr>
          <w:b/>
        </w:rPr>
        <w:t>Ollama</w:t>
      </w:r>
      <w:r>
        <w:t xml:space="preserve"> [29]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2.4 Validación estadística de comparaciones múltiples</w:t>
      </w:r>
    </w:p>
    <w:p>
      <w:pPr>
        <w:numPr>
          <w:ilvl w:val="0"/>
          <w:numId w:val="0"/>
        </w:numPr>
        <w:pStyle w:val="BodyText"/>
      </w:pPr>
      <w:r>
        <w:t xml:space="preserve">Comparar el desempeño de varios modelos exige distinguir las diferencias reales de las que produce el azar, porque cada artículo del corpus tiene su propia dificultad y un modelo puede aventajar a otro por haberle tocado un reparto favorable. El instrumento habitual es el análisis de varianza (ANOVA) de una vía, que contrasta la hipótesis nula de que todos los grupos comparados proceden de la misma población. Su estadístico F compara la variabilidad </w:t>
      </w:r>
      <w:r>
        <w:rPr>
          <w:i/>
        </w:rPr>
        <w:t>entre</w:t>
      </w:r>
      <w:r>
        <w:t xml:space="preserve"> grupos con la variabilidad </w:t>
      </w:r>
      <w:r>
        <w:rPr>
          <w:i/>
        </w:rPr>
        <w:t>dentro</w:t>
      </w:r>
      <w:r>
        <w:t xml:space="preserve"> de cada uno: cuanto mayor es F, más difícil resulta atribuir las diferencias observadas a la variación interna. Un valor p pequeño permite rechazar esa hipótesis nula, pero el ANOVA solo indica que </w:t>
      </w:r>
      <w:r>
        <w:rPr>
          <w:b/>
        </w:rPr>
        <w:t>alguna</w:t>
      </w:r>
      <w:r>
        <w:t xml:space="preserve"> diferencia existe, no cuál.</w:t>
      </w:r>
    </w:p>
    <w:p>
      <w:pPr>
        <w:numPr>
          <w:ilvl w:val="0"/>
          <w:numId w:val="0"/>
        </w:numPr>
        <w:pStyle w:val="Normal"/>
      </w:pPr>
      <w:r>
        <w:t xml:space="preserve">Responder a esa segunda pregunta corresponde a las </w:t>
      </w:r>
      <w:r>
        <w:rPr>
          <w:b/>
        </w:rPr>
        <w:t>pruebas post-hoc</w:t>
      </w:r>
      <w:r>
        <w:t xml:space="preserve">, y aquí aparece un problema de fondo. Comparar todos los pares de un conjunto de veintiséis grupos supone 325 contrastes, y al 5 % de significancia cabría esperar unos dieciséis positivos por puro azar. La prueba de </w:t>
      </w:r>
      <w:r>
        <w:rPr>
          <w:b/>
        </w:rPr>
        <w:t>Tukey HSD</w:t>
      </w:r>
      <w:r>
        <w:t xml:space="preserve"> (</w:t>
      </w:r>
      <w:r>
        <w:rPr>
          <w:i/>
        </w:rPr>
        <w:t>Honestly Significant Difference</w:t>
      </w:r>
      <w:r>
        <w:t xml:space="preserve">) [25] corrige ese efecto controlando la tasa de error </w:t>
      </w:r>
      <w:r>
        <w:rPr>
          <w:b/>
        </w:rPr>
        <w:t>por familia</w:t>
      </w:r>
      <w:r>
        <w:t xml:space="preserve">: garantiza que la probabilidad de cometer algún falso positivo en el conjunto completo de comparaciones siga siendo del 5 %, no del 5 % en cada una. Lo consigue sustituyendo la distribución t por la del </w:t>
      </w:r>
      <w:r>
        <w:rPr>
          <w:b/>
        </w:rPr>
        <w:t>rango estudentizado</w:t>
      </w:r>
      <w:r>
        <w:t>, más ancha y por tanto más exigente. Es una prueba deliberadamente conservadora, y esa es su virtud: una diferencia que la supera resulta difícil de discutir.</w:t>
      </w:r>
    </w:p>
    <w:p>
      <w:pPr>
        <w:numPr>
          <w:ilvl w:val="0"/>
          <w:numId w:val="0"/>
        </w:numPr>
        <w:pStyle w:val="Normal"/>
      </w:pPr>
      <w:r>
        <w:t xml:space="preserve">Dos instrumentos complementan la lectura. Los intervalos de confianza al 95 % expresan el margen dentro del cual cabe esperar el valor real de cada media, de modo que dos intervalos muy solapados advierten de una diferencia poco sólida aunque las medias difieran. Y el </w:t>
      </w:r>
      <w:r>
        <w:rPr>
          <w:b/>
        </w:rPr>
        <w:t>análisis de sensibilidad</w:t>
      </w:r>
      <w:r>
        <w:t xml:space="preserve"> recalcula las métricas excluyendo las observaciones atípicas (en este trabajo, los artículos de longitud inusual), para comprobar que ninguna conclusión depende de unos pocos casos extremos.</w:t>
      </w:r>
    </w:p>
    <w:p>
      <w:pPr>
        <w:numPr>
          <w:ilvl w:val="0"/>
          <w:numId w:val="0"/>
        </w:numPr>
        <w:pStyle w:val="Normal"/>
      </w:pPr>
      <w:r>
        <w:t xml:space="preserve">Conviene retener una asimetría de interpretación: que una diferencia </w:t>
      </w:r>
      <w:r>
        <w:rPr>
          <w:b/>
        </w:rPr>
        <w:t>no</w:t>
      </w:r>
      <w:r>
        <w:t xml:space="preserve"> alcance significancia no demuestra que no exista, solo que los datos disponibles no bastan para descartar el azar.</w:t>
      </w:r>
    </w:p>
    <w:p>
      <w:pPr>
        <w:numPr>
          <w:ilvl w:val="0"/>
          <w:numId w:val="0"/>
        </w:numPr>
        <w:pStyle w:val="Heading2"/>
      </w:pPr>
      <w:r>
        <w:t>2.5 Estado del arte y criterios de selección</w:t>
      </w:r>
    </w:p>
    <w:p>
      <w:pPr>
        <w:numPr>
          <w:ilvl w:val="0"/>
          <w:numId w:val="0"/>
        </w:numPr>
        <w:pStyle w:val="BodyText"/>
      </w:pPr>
      <w:r>
        <w:t>La Tabla 2 posiciona este trabajo respecto de investigaciones recientes en NER para dominios financieros y regulatorios.</w:t>
      </w:r>
    </w:p>
    <w:p>
      <w:pPr>
        <w:numPr>
          <w:ilvl w:val="0"/>
          <w:numId w:val="0"/>
        </w:numPr>
        <w:pStyle w:val="TableCaption"/>
      </w:pPr>
      <w:r>
        <w:t>Tabla 2. Estado del arte en reconocimiento de entidades para dominios financieros y regulatorios.</w:t>
      </w:r>
    </w:p>
    <w:tbl>
      <w:tblPr>
        <w:tblStyle w:val="Table"/>
        <w:tblW w:type="pct" w:w="5000.0"/>
        <w:tblLook w:firstRow="1"/>
      </w:tblPr>
      <w:tblGrid>
        <w:gridCol w:w="1295"/>
        <w:gridCol w:w="2376"/>
        <w:gridCol w:w="1523"/>
        <w:gridCol w:w="1447"/>
        <w:gridCol w:w="900"/>
        <w:gridCol w:w="1297"/>
      </w:tblGrid>
      <w:tr>
        <w:trPr>
          <w:cnfStyle w:firstRow="1"/>
        </w:trPr>
        <w:tc>
          <w:tcPr>
            <w:tcW w:type="dxa" w:w="1295"/>
            <w:tcBorders>
              <w:bottom w:val="single"/>
            </w:tcBorders>
            <w:vAlign w:val="bottom"/>
          </w:tcPr>
          <w:p>
            <w:pPr>
              <w:pStyle w:val="Compact"/>
              <w:jc w:val="left"/>
            </w:pPr>
            <w:r>
              <w:rPr>
                <w:b/>
              </w:rPr>
              <w:t>Trabajo</w:t>
            </w:r>
          </w:p>
        </w:tc>
        <w:tc>
          <w:tcPr>
            <w:tcW w:type="dxa" w:w="2376"/>
            <w:tcBorders>
              <w:bottom w:val="single"/>
            </w:tcBorders>
            <w:vAlign w:val="bottom"/>
          </w:tcPr>
          <w:p>
            <w:pPr>
              <w:pStyle w:val="Compact"/>
              <w:jc w:val="left"/>
            </w:pPr>
            <w:r>
              <w:rPr>
                <w:b/>
              </w:rPr>
              <w:t>Dataset</w:t>
            </w:r>
          </w:p>
        </w:tc>
        <w:tc>
          <w:tcPr>
            <w:tcW w:type="dxa" w:w="1523"/>
            <w:tcBorders>
              <w:bottom w:val="single"/>
            </w:tcBorders>
            <w:vAlign w:val="bottom"/>
          </w:tcPr>
          <w:p>
            <w:pPr>
              <w:pStyle w:val="Compact"/>
              <w:jc w:val="left"/>
            </w:pPr>
            <w:r>
              <w:rPr>
                <w:b/>
              </w:rPr>
              <w:t>Modelo</w:t>
            </w:r>
          </w:p>
        </w:tc>
        <w:tc>
          <w:tcPr>
            <w:tcW w:type="dxa" w:w="1447"/>
            <w:tcBorders>
              <w:bottom w:val="single"/>
            </w:tcBorders>
            <w:vAlign w:val="bottom"/>
          </w:tcPr>
          <w:p>
            <w:pPr>
              <w:pStyle w:val="Compact"/>
              <w:jc w:val="center"/>
            </w:pPr>
            <w:r>
              <w:rPr>
                <w:b/>
              </w:rPr>
              <w:t>Desempeño publicado</w:t>
            </w:r>
          </w:p>
        </w:tc>
        <w:tc>
          <w:tcPr>
            <w:tcW w:type="dxa" w:w="900"/>
            <w:tcBorders>
              <w:bottom w:val="single"/>
            </w:tcBorders>
            <w:vAlign w:val="bottom"/>
          </w:tcPr>
          <w:p>
            <w:pPr>
              <w:pStyle w:val="Compact"/>
              <w:jc w:val="center"/>
            </w:pPr>
            <w:r>
              <w:rPr>
                <w:b/>
              </w:rPr>
              <w:t>Privacidad</w:t>
            </w:r>
          </w:p>
        </w:tc>
        <w:tc>
          <w:tcPr>
            <w:tcW w:type="dxa" w:w="1297"/>
            <w:tcBorders>
              <w:bottom w:val="single"/>
            </w:tcBorders>
            <w:vAlign w:val="bottom"/>
          </w:tcPr>
          <w:p>
            <w:pPr>
              <w:pStyle w:val="Compact"/>
              <w:jc w:val="left"/>
            </w:pPr>
            <w:r>
              <w:rPr>
                <w:b/>
              </w:rPr>
              <w:t>Idioma</w:t>
            </w:r>
          </w:p>
        </w:tc>
      </w:tr>
      <w:tr>
        <w:tc>
          <w:tcPr>
            <w:tcW w:type="dxa" w:w="1295"/>
          </w:tcPr>
          <w:p>
            <w:pPr>
              <w:pStyle w:val="Compact"/>
              <w:jc w:val="left"/>
            </w:pPr>
            <w:r>
              <w:rPr>
                <w:b w:val="0"/>
              </w:rPr>
              <w:t>BloombergGPT [3]</w:t>
            </w:r>
          </w:p>
        </w:tc>
        <w:tc>
          <w:tcPr>
            <w:tcW w:type="dxa" w:w="2376"/>
          </w:tcPr>
          <w:p>
            <w:pPr>
              <w:pStyle w:val="Compact"/>
              <w:jc w:val="left"/>
            </w:pPr>
            <w:r>
              <w:rPr>
                <w:b w:val="0"/>
              </w:rPr>
              <w:t>Corpus financiero propio</w:t>
            </w:r>
          </w:p>
        </w:tc>
        <w:tc>
          <w:tcPr>
            <w:tcW w:type="dxa" w:w="1523"/>
          </w:tcPr>
          <w:p>
            <w:pPr>
              <w:pStyle w:val="Compact"/>
              <w:jc w:val="left"/>
            </w:pPr>
            <w:r>
              <w:rPr>
                <w:b w:val="0"/>
              </w:rPr>
              <w:t>BLOOM 50B + dominio</w:t>
            </w:r>
          </w:p>
        </w:tc>
        <w:tc>
          <w:tcPr>
            <w:tcW w:type="dxa" w:w="1447"/>
          </w:tcPr>
          <w:p>
            <w:pPr>
              <w:pStyle w:val="Compact"/>
              <w:jc w:val="center"/>
            </w:pPr>
            <w:r>
              <w:rPr>
                <w:b w:val="0"/>
              </w:rPr>
              <w:t>53,6-75,5 % F1</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val="0"/>
              </w:rPr>
              <w:t>FiNER-139 [15]</w:t>
            </w:r>
          </w:p>
        </w:tc>
        <w:tc>
          <w:tcPr>
            <w:tcW w:type="dxa" w:w="2376"/>
          </w:tcPr>
          <w:p>
            <w:pPr>
              <w:pStyle w:val="Compact"/>
              <w:jc w:val="left"/>
            </w:pPr>
            <w:r>
              <w:rPr>
                <w:b w:val="0"/>
              </w:rPr>
              <w:t>SEC 10-K/10-Q (etiquetado XBRL)</w:t>
            </w:r>
          </w:p>
        </w:tc>
        <w:tc>
          <w:tcPr>
            <w:tcW w:type="dxa" w:w="1523"/>
          </w:tcPr>
          <w:p>
            <w:pPr>
              <w:pStyle w:val="Compact"/>
              <w:jc w:val="left"/>
            </w:pPr>
            <w:r>
              <w:rPr>
                <w:b w:val="0"/>
              </w:rPr>
              <w:t>SEC-BERT-SHAPE</w:t>
            </w:r>
          </w:p>
        </w:tc>
        <w:tc>
          <w:tcPr>
            <w:tcW w:type="dxa" w:w="1447"/>
          </w:tcPr>
          <w:p>
            <w:pPr>
              <w:pStyle w:val="Compact"/>
              <w:jc w:val="center"/>
            </w:pPr>
            <w:r>
              <w:rPr>
                <w:b w:val="0"/>
              </w:rPr>
              <w:t>82,1 % micro-F1</w:t>
            </w:r>
          </w:p>
        </w:tc>
        <w:tc>
          <w:tcPr>
            <w:tcW w:type="dxa" w:w="900"/>
          </w:tcPr>
          <w:p>
            <w:pPr>
              <w:pStyle w:val="Compact"/>
              <w:jc w:val="center"/>
            </w:pPr>
            <w:r>
              <w:rPr>
                <w:b w:val="0"/>
              </w:rPr>
              <w:t>Local</w:t>
            </w:r>
          </w:p>
        </w:tc>
        <w:tc>
          <w:tcPr>
            <w:tcW w:type="dxa" w:w="1297"/>
          </w:tcPr>
          <w:p>
            <w:pPr>
              <w:pStyle w:val="Compact"/>
              <w:jc w:val="left"/>
            </w:pPr>
            <w:r>
              <w:rPr>
                <w:b w:val="0"/>
              </w:rPr>
              <w:t>Inglés</w:t>
            </w:r>
          </w:p>
        </w:tc>
      </w:tr>
      <w:tr>
        <w:tc>
          <w:tcPr>
            <w:tcW w:type="dxa" w:w="1295"/>
          </w:tcPr>
          <w:p>
            <w:pPr>
              <w:pStyle w:val="Compact"/>
              <w:jc w:val="left"/>
            </w:pPr>
            <w:r>
              <w:rPr>
                <w:b w:val="0"/>
              </w:rPr>
              <w:t>Cañete et al. [7]</w:t>
            </w:r>
          </w:p>
        </w:tc>
        <w:tc>
          <w:tcPr>
            <w:tcW w:type="dxa" w:w="2376"/>
          </w:tcPr>
          <w:p>
            <w:pPr>
              <w:pStyle w:val="Compact"/>
              <w:jc w:val="left"/>
            </w:pPr>
            <w:r>
              <w:rPr>
                <w:b w:val="0"/>
              </w:rPr>
              <w:t>CoNLL-2002 (ES)</w:t>
            </w:r>
          </w:p>
        </w:tc>
        <w:tc>
          <w:tcPr>
            <w:tcW w:type="dxa" w:w="1523"/>
          </w:tcPr>
          <w:p>
            <w:pPr>
              <w:pStyle w:val="Compact"/>
              <w:jc w:val="left"/>
            </w:pPr>
            <w:r>
              <w:rPr>
                <w:b w:val="0"/>
              </w:rPr>
              <w:t>BETO (BERT español)</w:t>
            </w:r>
          </w:p>
        </w:tc>
        <w:tc>
          <w:tcPr>
            <w:tcW w:type="dxa" w:w="1447"/>
          </w:tcPr>
          <w:p>
            <w:pPr>
              <w:pStyle w:val="Compact"/>
              <w:jc w:val="center"/>
            </w:pPr>
            <w:r>
              <w:rPr>
                <w:b w:val="0"/>
              </w:rPr>
              <w:t>88,43 % F1</w:t>
            </w:r>
          </w:p>
        </w:tc>
        <w:tc>
          <w:tcPr>
            <w:tcW w:type="dxa" w:w="900"/>
          </w:tcPr>
          <w:p>
            <w:pPr>
              <w:pStyle w:val="Compact"/>
              <w:jc w:val="center"/>
            </w:pPr>
            <w:r>
              <w:rPr>
                <w:b w:val="0"/>
              </w:rPr>
              <w:t>Local</w:t>
            </w:r>
          </w:p>
        </w:tc>
        <w:tc>
          <w:tcPr>
            <w:tcW w:type="dxa" w:w="1297"/>
          </w:tcPr>
          <w:p>
            <w:pPr>
              <w:pStyle w:val="Compact"/>
              <w:jc w:val="left"/>
            </w:pPr>
            <w:r>
              <w:rPr>
                <w:b w:val="0"/>
              </w:rPr>
              <w:t>Español</w:t>
            </w:r>
          </w:p>
        </w:tc>
      </w:tr>
      <w:tr>
        <w:tc>
          <w:tcPr>
            <w:tcW w:type="dxa" w:w="1295"/>
          </w:tcPr>
          <w:p>
            <w:pPr>
              <w:pStyle w:val="Compact"/>
              <w:jc w:val="left"/>
            </w:pPr>
            <w:r>
              <w:rPr>
                <w:b w:val="0"/>
              </w:rPr>
              <w:t>FinanceBench [9]</w:t>
            </w:r>
          </w:p>
        </w:tc>
        <w:tc>
          <w:tcPr>
            <w:tcW w:type="dxa" w:w="2376"/>
          </w:tcPr>
          <w:p>
            <w:pPr>
              <w:pStyle w:val="Compact"/>
              <w:jc w:val="left"/>
            </w:pPr>
            <w:r>
              <w:rPr>
                <w:b w:val="0"/>
              </w:rPr>
              <w:t>361 informes SEC</w:t>
            </w:r>
          </w:p>
        </w:tc>
        <w:tc>
          <w:tcPr>
            <w:tcW w:type="dxa" w:w="1523"/>
          </w:tcPr>
          <w:p>
            <w:pPr>
              <w:pStyle w:val="Compact"/>
              <w:jc w:val="left"/>
            </w:pPr>
            <w:r>
              <w:rPr>
                <w:b w:val="0"/>
              </w:rPr>
              <w:t>GPT-4-Turbo + RAG</w:t>
            </w:r>
          </w:p>
        </w:tc>
        <w:tc>
          <w:tcPr>
            <w:tcW w:type="dxa" w:w="1447"/>
          </w:tcPr>
          <w:p>
            <w:pPr>
              <w:pStyle w:val="Compact"/>
              <w:jc w:val="center"/>
            </w:pPr>
            <w:r>
              <w:rPr>
                <w:b w:val="0"/>
              </w:rPr>
              <w:t>50 % exactitud</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rPr>
              <w:t>Este trabajo</w:t>
            </w:r>
          </w:p>
        </w:tc>
        <w:tc>
          <w:tcPr>
            <w:tcW w:type="dxa" w:w="2376"/>
          </w:tcPr>
          <w:p>
            <w:pPr>
              <w:pStyle w:val="Compact"/>
              <w:jc w:val="left"/>
            </w:pPr>
            <w:r>
              <w:rPr>
                <w:b/>
              </w:rPr>
              <w:t>CoNLL-2002 y Kleptotrace (N=120)</w:t>
            </w:r>
          </w:p>
        </w:tc>
        <w:tc>
          <w:tcPr>
            <w:tcW w:type="dxa" w:w="1523"/>
          </w:tcPr>
          <w:p>
            <w:pPr>
              <w:pStyle w:val="Compact"/>
              <w:jc w:val="left"/>
            </w:pPr>
            <w:r>
              <w:rPr>
                <w:b/>
              </w:rPr>
              <w:t>gemma4:31b-mlx local</w:t>
            </w:r>
          </w:p>
        </w:tc>
        <w:tc>
          <w:tcPr>
            <w:tcW w:type="dxa" w:w="1447"/>
          </w:tcPr>
          <w:p>
            <w:pPr>
              <w:pStyle w:val="Compact"/>
              <w:jc w:val="center"/>
            </w:pPr>
            <w:r>
              <w:rPr>
                <w:b/>
              </w:rPr>
              <w:t xml:space="preserve">76,55 % F1</w:t>
            </w:r>
          </w:p>
        </w:tc>
        <w:tc>
          <w:tcPr>
            <w:tcW w:type="dxa" w:w="900"/>
          </w:tcPr>
          <w:p>
            <w:pPr>
              <w:pStyle w:val="Compact"/>
              <w:jc w:val="center"/>
            </w:pPr>
            <w:r>
              <w:rPr>
                <w:b/>
              </w:rPr>
              <w:t>100 % Local</w:t>
            </w:r>
          </w:p>
        </w:tc>
        <w:tc>
          <w:tcPr>
            <w:tcW w:type="dxa" w:w="1297"/>
          </w:tcPr>
          <w:p>
            <w:pPr>
              <w:pStyle w:val="Compact"/>
              <w:jc w:val="left"/>
            </w:pPr>
            <w:r>
              <w:rPr>
                <w:b/>
              </w:rPr>
              <w:t>Español (105/120)</w:t>
            </w:r>
          </w:p>
        </w:tc>
      </w:tr>
    </w:tbl>
    <w:p>
      <w:pPr>
        <w:numPr>
          <w:ilvl w:val="0"/>
          <w:numId w:val="0"/>
        </w:numPr>
        <w:pStyle w:val="Normal"/>
      </w:pPr>
      <w:r>
        <w:t>Las cifras de la última columna no son directamente comparables entre sí, porque cada trabajo mide una tarea distinta: FiNER-139 etiqueta magnitudes numéricas según la taxonomía XBRL y FinanceBench evalúa exactitud de respuesta sobre preguntas abiertas, no identificación de personas y organizaciones. Aun así, 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Normal"/>
      </w:pPr>
      <w:r>
        <w:t xml:space="preserve">La revisión anterior deja fijados los criterios con los que el capítulo 3 justifica cada decisión de diseño: (C1) prescindir de datos etiquetados, por no existir corpus del dominio en español; (C2) preservar la soberanía del dato, lo que excluye toda API externa; (C3) operar sobre hardware de consumo, lo que obliga a cuantización y a gestión explícita de memoria; </w:t>
      </w:r>
      <w:r>
        <w:rPr>
          <w:b/>
        </w:rPr>
        <w:t>(C4) producir salida verificable</w:t>
      </w:r>
      <w:r>
        <w:t xml:space="preserve">, dado que el modelo elegido genera texto libre; y (C5) permitir comparación empírica entre variantes,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BodyText"/>
      </w:pPr>
      <w:r>
        <w:t>Los cinco criterios con que cerró el capítulo anterior determinan, cada uno, una decisión concreta. Conviene explicitar el razonamiento antes de describir la implementación.</w:t>
      </w:r>
    </w:p>
    <w:p>
      <w:pPr>
        <w:numPr>
          <w:ilvl w:val="0"/>
          <w:numId w:val="0"/>
        </w:numPr>
        <w:pStyle w:val="Normal"/>
      </w:pPr>
      <w:r>
        <w:t>El primero (prescindir de datos etiquetados) descarta las cuatro primeras familias de la tabla comparativa del §2.1. Los CRF, las arquitecturas BiLSTM-CRF y el ajuste fino de codificadores Transformer ofrecen mejor F1 publicado, pero todos exigen un corpus anotado del dominio que en español no existe para cumplimiento financiero. Se adopta por tanto un modelo generativo operado mediante aprendizaje en contexto, la única familia que permite adaptación inmediata sin reentrenamiento; su contrapartida (salida no estructurada y riesgo de alucinación) se asume y se aborda más abajo.</w:t>
      </w:r>
    </w:p>
    <w:p>
      <w:pPr>
        <w:numPr>
          <w:ilvl w:val="0"/>
          <w:numId w:val="0"/>
        </w:numPr>
        <w:pStyle w:val="Normal"/>
      </w:pPr>
      <w:r>
        <w:t>El segundo criterio, la soberanía del dato, excluye las APIs comerciales: aventajan a los modelos abiertos en capacidad, pero transfieren el texto a un tercero. Se opta por ejecución íntegramente local y, entre los entornos revisados en §2.3, por Ollama. Pesaron tres razones: expone una API uniforme que permite intercambiar modelos sin tocar el código de orquestación, gestiona el ciclo de vida de los pesos en memoria (requisito imprescindible para encadenar modelos que no caben a la vez) y admite pesos GGUF y MLX, lo que habilita comparar ambas rutas de cuantización sobre el mismo arnés. Los modelos en la nube se conservan solo como línea base de comparación, no como parte de la solución.</w:t>
      </w:r>
    </w:p>
    <w:p>
      <w:pPr>
        <w:numPr>
          <w:ilvl w:val="0"/>
          <w:numId w:val="0"/>
        </w:numPr>
        <w:pStyle w:val="Normal"/>
      </w:pPr>
      <w:r>
        <w:t xml:space="preserve">El tercer criterio, operar sobre hardware de consumo, obliga a cuantizar los pesos (a cuatro bits en la mayoría de los casos) y a gestionar la memoria de forma explícita, según se detalla en §3.2. El cuarto, producir salida verificable, se traduce en exigir al modelo un objeto JSON de esquema fijo, validado al recibirlo y con una ruta de recuperación cuando el análisis sintáctico falla: es la contramedida directa al principal inconveniente de la familia elegida. El quinto, permitir la comparación empírica, exige que las variantes de </w:t>
      </w:r>
      <w:r>
        <w:rPr>
          <w:i/>
        </w:rPr>
        <w:t>prompt</w:t>
      </w:r>
      <w:r>
        <w:t xml:space="preserve"> y de estrategia de recuperación se seleccionen por configuración y no modificando el código, así que cada corrida quede definida por un conjunto de parámetros reproducible.</w:t>
      </w:r>
    </w:p>
    <w:p>
      <w:pPr>
        <w:numPr>
          <w:ilvl w:val="0"/>
          <w:numId w:val="0"/>
        </w:numPr>
        <w:pStyle w:val="Heading2"/>
      </w:pPr>
      <w:r>
        <w:t>3.2 Arquitectura, proveedores y orquestación</w:t>
      </w:r>
    </w:p>
    <w:p>
      <w:pPr>
        <w:numPr>
          <w:ilvl w:val="0"/>
          <w:numId w:val="0"/>
        </w:numPr>
        <w:pStyle w:val="BodyText"/>
      </w:pPr>
      <w:r>
        <w:t>El sistema se organiza en cinco capas funcionales con responsabilidades separadas, así que cada una pueda evolucionar sin arrastrar a las demás.</w:t>
      </w:r>
    </w:p>
    <w:p>
      <w:pPr>
        <w:numPr>
          <w:ilvl w:val="0"/>
          <w:numId w:val="0"/>
        </w:numPr>
        <w:pStyle w:val="TableCaption"/>
      </w:pPr>
      <w:r>
        <w:t>Tabla 3. Arquitectura del sistema por capas, con sus módulos y su detalle técnico.</w:t>
      </w:r>
    </w:p>
    <w:tbl>
      <w:tblPr>
        <w:tblStyle w:val="Table"/>
        <w:tblW w:type="pct" w:w="5000.0"/>
        <w:tblLook w:firstRow="1"/>
      </w:tblPr>
      <w:tblGrid>
        <w:gridCol w:w="1988"/>
        <w:gridCol w:w="3093"/>
        <w:gridCol w:w="3757"/>
      </w:tblGrid>
      <w:tr>
        <w:trPr>
          <w:cnfStyle w:firstRow="1"/>
        </w:trPr>
        <w:tc>
          <w:tcPr>
            <w:tcW w:type="dxa" w:w="1988"/>
            <w:tcBorders>
              <w:bottom w:val="single"/>
            </w:tcBorders>
            <w:vAlign w:val="bottom"/>
          </w:tcPr>
          <w:p>
            <w:pPr>
              <w:pStyle w:val="Compact"/>
              <w:jc w:val="left"/>
            </w:pPr>
            <w:r>
              <w:rPr>
                <w:b/>
              </w:rPr>
              <w:t>Capa</w:t>
            </w:r>
          </w:p>
        </w:tc>
        <w:tc>
          <w:tcPr>
            <w:tcW w:type="dxa" w:w="3093"/>
            <w:tcBorders>
              <w:bottom w:val="single"/>
            </w:tcBorders>
            <w:vAlign w:val="bottom"/>
          </w:tcPr>
          <w:p>
            <w:pPr>
              <w:pStyle w:val="Compact"/>
              <w:jc w:val="left"/>
            </w:pPr>
            <w:r>
              <w:rPr>
                <w:b/>
              </w:rPr>
              <w:t>Módulo(s)</w:t>
            </w:r>
          </w:p>
        </w:tc>
        <w:tc>
          <w:tcPr>
            <w:tcW w:type="dxa" w:w="3757"/>
            <w:tcBorders>
              <w:bottom w:val="single"/>
            </w:tcBorders>
            <w:vAlign w:val="bottom"/>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Kleptotrace/CoNLL-2002 JSON → validación de esquema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Normal"/>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(§3.2). La </w:t>
      </w:r>
      <w:r>
        <w:rPr>
          <w:b/>
        </w:rPr>
        <w:t>capa de proveedores</w:t>
      </w:r>
      <w:r>
        <w:t xml:space="preserve"> aísla la heterogeneidad de las APIs. La </w:t>
      </w:r>
      <w:r>
        <w:rPr>
          <w:b/>
        </w:rPr>
        <w:t>capa de evaluación</w:t>
      </w:r>
      <w:r>
        <w:t xml:space="preserve"> calcula las métricas y las pruebas estadísticas (§3.3).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Normal"/>
      </w:pPr>
      <w:r>
        <w:t xml:space="preserve">La capa de proveedores es la que materializa el criterio C2 sin encerrar el trabajo en un único motor. Aplica los patrones </w:t>
      </w:r>
      <w:r>
        <w:rPr>
          <w:i/>
        </w:rPr>
        <w:t>Factory</w:t>
      </w:r>
      <w:r>
        <w:t xml:space="preserve"> y </w:t>
      </w:r>
      <w:r>
        <w:rPr>
          <w:i/>
        </w:rPr>
        <w:t>Facade</w:t>
      </w:r>
      <w:r>
        <w:t xml:space="preserve"> tras una interfaz común:</w:t>
      </w:r>
    </w:p>
    <w:p>
      <w:pPr>
        <w:numPr>
          <w:ilvl w:val="0"/>
          <w:numId w:val="0"/>
        </w:numPr>
        <w:pStyle w:val="Source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Normal"/>
      </w:pPr>
      <w:r>
        <w:t xml:space="preserve">La selección del proveedor se resuelve por el prefijo del identificador del modelo, así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Normal"/>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Normal"/>
      </w:pPr>
      <w:r>
        <w:t xml:space="preserve">El número de consumidores no es fijo: lo regula un controlador </w:t>
      </w:r>
      <w:r>
        <w:rPr>
          <w:b/>
        </w:rPr>
        <w:t>AIMD</w:t>
      </w:r>
      <w:r>
        <w:t xml:space="preserve"> (</w:t>
      </w:r>
      <w:r>
        <w:rPr>
          <w:i/>
        </w:rPr>
        <w:t>Additive Increase, Multiplicative Decrease</w:t>
      </w:r>
      <w:r>
        <w:t>), política tomada del control de congestión en redes [26]. Mientras el sistema permanece estable (sin errores de limitación de tasa ni excepciones) durante una ventana de 600 segundos, el controlador añade un consumidor cada 120 segundos hasta un techo del 75 % del máximo configurado; ante el primer error de saturación reduce los consumidores a la mitad. Un cortacircuitos complementa la política: cinco fallos consecutivos abren el circuito, que fija la concurrencia en un único consumidor y sondea la recuperación tras un enfriamiento de 300 segundos; un primer lote exitoso lo vuelve a cerrar. La asimetría entre el aumento prudente y el recorte agresivo es deliberada, pues el coste de saturar un servicio de inferencia (reintentos, respuestas truncadas, penalización por cuota) excede con mucho al de infrautilizarlo. El valor que el controlador recalcula se aplica al arrancar cada modelo o condición, mientras que el paralelismo interno de cada lote lo adopta de inmediato. Sobre el equipo de 48 GB (catorce núcleos, techo del controlador en nueve) el sistema escaló de forma estable hasta nueve consumidores concurrentes para el conjunto de modelos locales evaluados, de 1,5B a 31B; con lotes de tres registros, esos nueve consumidores equivalen a veintisiete extracciones simultáneas.</w:t>
      </w:r>
    </w:p>
    <w:p>
      <w:pPr>
        <w:numPr>
          <w:ilvl w:val="0"/>
          <w:numId w:val="0"/>
        </w:numPr>
        <w:pStyle w:val="Normal"/>
      </w:pPr>
      <w:r>
        <w:t xml:space="preserve">La gestión de memoria merece atención propia porque condicionó el alcance del estudio. Al terminar cada modelo se libera explícitamente su ocupación de GPU invocando la API de generación con </w:t>
      </w:r>
      <w:r>
        <w:t>keep_alive=0</w:t>
      </w:r>
      <w:r>
        <w:t xml:space="preserve">. Ahora bien, ese parámetro evita retener varios modelos a la vez, pero no reduce el footprint de uno solo, y esa distinción resultó decisiva. macOS expone en </w:t>
      </w:r>
      <w:r>
        <w:t>recommendedMaxWorkingSetSize</w:t>
      </w:r>
      <w:r>
        <w:t xml:space="preserve"> [36] el techo de memoria que la GPU puede ocupar sin degradar el rendimiento; medido sobre los equipos de prueba equivale al 75 % de la memoria unificada, unos 12 GB en una máquina de 16 GB. Los modelos GGUF de 7B a 12B ocupan entre 7 y 9 GB (y los compactos de 1,5B a 3B, entre 1,7 y 4 GB), así que caben con holgura; la compilación MLX de 12B, en cambio, alcanza 15–16 GB y desborda ese techo. La compilación MLX de 31B llega a un footprint operativo de ~24,6 GB medidos sobre N=15 y hasta ~27 GB sobre N=120, mientras que la compilación GGUF se estabiliza en ~18,8 GB de pesos; ninguna de las dos puede cargarse en 16 GB ni siquiera de forma serial. La cuantización, además, no es homogénea: Q4_K_M en la mayoría de los pesos GGUF, Q4_0 en </w:t>
      </w:r>
      <w:r>
        <w:t>mistral-nemo:latest</w:t>
      </w:r>
      <w:r>
        <w:t xml:space="preserve">, MXFP4 en </w:t>
      </w:r>
      <w:r>
        <w:t>gpt-oss:20b</w:t>
      </w:r>
      <w:r>
        <w:t xml:space="preserve"> y precisión mixta de cuatro bits en las compilaciones MLX, mientras que </w:t>
      </w:r>
      <w:r>
        <w:t>gemma4:31b-cloud</w:t>
      </w:r>
      <w:r>
        <w:t xml:space="preserve"> corre en BF16 y por eso no compite en igualdad de condiciones de memoria. La ejecución se organizó en consecuencia en dos escalones de hardware, repartidos por footprint medido y no por número de parámetros: 16 GB para los modelos que se mantuvieron por debajo de ~12 GB (los GGUF de 1,5B a 12B) y un equipo de 48 GB, con techo asignable de ~36 GB, para el resto, esto es, los de 31B, las compilaciones MLX y </w:t>
      </w:r>
      <w:r>
        <w:t>gpt-oss:20b</w:t>
      </w:r>
      <w:r>
        <w:t>.</w:t>
      </w:r>
    </w:p>
    <w:p>
      <w:pPr>
        <w:numPr>
          <w:ilvl w:val="0"/>
          <w:numId w:val="0"/>
        </w:numPr>
        <w:pStyle w:val="Heading2"/>
      </w:pPr>
      <w:r>
        <w:t>3.3 Módulo de evaluación</w:t>
      </w:r>
    </w:p>
    <w:p>
      <w:pPr>
        <w:numPr>
          <w:ilvl w:val="0"/>
          <w:numId w:val="0"/>
        </w:numPr>
        <w:pStyle w:val="BodyText"/>
      </w:pPr>
      <w:r>
        <w:t xml:space="preserve">La comparación entre lo extraído y la anotación de referencia no puede ser literal, porque una diferencia de puntuación o un artículo antepuesto invalidarían una extracción correcta. El evaluador emplea por ello emparejamiento difuso a nivel de caracteres, implementado con la función </w:t>
      </w:r>
      <w:r>
        <w:t>ratio</w:t>
      </w:r>
      <w:r>
        <w:t xml:space="preserve"> de la biblioteca </w:t>
      </w:r>
      <w:r>
        <w:rPr>
          <w:i/>
        </w:rPr>
        <w:t>rapidfuzz</w:t>
      </w:r>
      <w:r>
        <w:t xml:space="preserve"> [33], que normaliza la </w:t>
      </w:r>
      <w:r>
        <w:rPr>
          <w:b/>
        </w:rPr>
        <w:t>distancia de Indel</w:t>
      </w:r>
      <w:r>
        <w:t xml:space="preserve"> —el número mínimo de inserciones y supresiones necesarias para transformar una cadena en la otra, variante de la distancia de Levenshtein que excluye las sustituciones— a una escala de 0 a 100 mediante la expresión </w:t>
      </w:r>
      <w:r>
        <w:t>100 × (1 − d / (|a| + |b|))</w:t>
      </w:r>
      <w:r>
        <w:t xml:space="preserve">. Ambas cadenas se pasan a minúsculas antes de compararlas, así que la coincidencia es insensible a mayúsculas. Se acepta como acierto toda similitud igual o superior a un umbral configurable, fijado en </w:t>
      </w:r>
      <w:r>
        <w:rPr>
          <w:b/>
        </w:rPr>
        <w:t>85</w:t>
      </w:r>
      <w:r>
        <w:t>.</w:t>
      </w:r>
    </w:p>
    <w:p>
      <w:pPr>
        <w:numPr>
          <w:ilvl w:val="0"/>
          <w:numId w:val="0"/>
        </w:numPr>
        <w:pStyle w:val="Normal"/>
      </w:pPr>
      <w:r>
        <w:t xml:space="preserve">La elección del umbral es un compromiso: por debajo se admiten emparejamientos entre nombres distintos que comparten apellido; por encima se rechazan variantes legítimas. Conviene explicitar dos límites de esta métrica, porque condicionan la lectura de los resultados. Al operar sobre caracteres y no sobre palabras, </w:t>
      </w:r>
      <w:r>
        <w:rPr>
          <w:b/>
        </w:rPr>
        <w:t>es sensible al orden</w:t>
      </w:r>
      <w:r>
        <w:t xml:space="preserve">: «Juan Pérez» y «Pérez Juan» obtienen 50 sobre 100 y no casan, mientras que una métrica basada en tokens les daría 100. Y al normalizar por la longitud conjunta, </w:t>
      </w:r>
      <w:r>
        <w:rPr>
          <w:b/>
        </w:rPr>
        <w:t>penaliza las omisiones proporcionalmente</w:t>
      </w:r>
      <w:r>
        <w:t>: «Banco Santander» frente a «Santander» obtiene 75 y queda por debajo del umbral, de modo que una extracción parcialmente correcta cuenta como error. Ambos efectos empujan las cifras a la baja. En sentido contrario opera el conteo de aciertos, que se realiza por entidad extraída: varias menciones que casan con una misma entidad de referencia suman cada una un acierto, lo que puede elevar la exhaustividad en un pequeño número de registros (entre el 2 % y el 6 % de ellos según la corrida). El efecto neto observado es conservador.</w:t>
      </w:r>
    </w:p>
    <w:p>
      <w:pPr>
        <w:numPr>
          <w:ilvl w:val="0"/>
          <w:numId w:val="0"/>
        </w:numPr>
        <w:pStyle w:val="Normal"/>
      </w:pPr>
      <w:r>
        <w:t xml:space="preserve">Sobre esa base se calculan precisión, exhaustividad y F1 por artículo, que después se promedian, y una </w:t>
      </w:r>
      <w:r>
        <w:rPr>
          <w:b/>
        </w:rPr>
        <w:t>tasa de alucinación</w:t>
      </w:r>
      <w:r>
        <w:t xml:space="preserve"> que mide algo distinto de las anteriores: no compara con la anotación de referencia sino con el </w:t>
      </w:r>
      <w:r>
        <w:rPr>
          <w:b/>
        </w:rPr>
        <w:t>texto de origen</w:t>
      </w:r>
      <w:r>
        <w:t xml:space="preserve">. Una entidad se considera alucinada cuando no aparece literalmente en el artículo y, además, su mejor similitud contra las ventanas deslizantes del texto (del mismo número de palabras que la entidad) queda por debajo de </w:t>
      </w:r>
      <w:r>
        <w:rPr>
          <w:b/>
        </w:rPr>
        <w:t>70</w:t>
      </w:r>
      <w:r>
        <w:t>, umbral deliberadamente más laxo que el 85 del emparejamiento. La distinción importa: una entidad correctamente extraída del artículo pero ausente de la anotación de referencia cuenta como falso positivo, no como alucinación, porque el modelo no la inventó.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Normal"/>
      </w:pPr>
      <w:r>
        <w:t xml:space="preserve">Un tercer límite, de naturaleza distinta a los anteriores porque no procede del cotejo sino del diseño, afecta a la comparabilidad de las cifras absolutas. Los prompts del sistema solicitan tres categorías de entidad, personas, organizaciones y localizaciones, mientras que los tres corpus anotan únicamente las dos primeras: el campo de localizaciones está vacío en los ciento veinte registros. Como el evaluador puntúa las tres categorías, toda localización que el modelo devuelve se contabiliza como falso positivo, sin que exista ninguna forma de acertar en ella. El efecto no es menor: </w:t>
      </w:r>
      <w:r>
        <w:t xml:space="preserve">el </w:t>
      </w:r>
      <w:r>
        <w:rPr>
          <w:b/>
        </w:rPr>
        <w:t xml:space="preserve">66,0 %</w:t>
      </w:r>
      <w:r>
        <w:t xml:space="preserve"> de los falsos positivos del estudio, 12 852 de 19 464, proceden de esa categoría</w:t>
      </w:r>
      <w:r>
        <w:t xml:space="preserve">. Conviene subrayar que se trata de una penalización exclusivamente de precisión, porque al no haber localizaciones anotadas tampoco puede haber omisiones: la exhaustividad no varía en ninguna configuración. Por esa razón este informe acompaña cada resultado de una segunda medición, </w:t>
      </w:r>
      <w:r>
        <w:rPr>
          <w:b/>
        </w:rPr>
        <w:t>restringida a las categorías que el corpus efectivamente anota</w:t>
      </w:r>
      <w:r>
        <w:t>, que se obtiene reagregando los desgloses por tipo ya almacenados y no requiere repetir la inferencia. Las cifras originales se conservan íntegras junto a ella, de modo que el lector pueda juzgar el alcance de la corrección; la Tabla del Anexo I recoge ambas para las cuarenta y nueve configuraciones medidas sobre el corpus N=120.</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BodyText"/>
      </w:pPr>
      <w:r>
        <w:t>Se utilizaron dos corpus complementarios:</w:t>
      </w:r>
    </w:p>
    <w:p>
      <w:pPr>
        <w:numPr>
          <w:ilvl w:val="0"/>
          <w:numId w:val="0"/>
        </w:numPr>
        <w:pStyle w:val="Normal"/>
      </w:pPr>
      <w:r>
        <w:t xml:space="preserve">Corpus 1 — Kleptotrace/CoNLL-2002 (N=15, Gold Standard) [18], [12]: 15 artículos periodísticos reales del conjunto </w:t>
      </w:r>
      <w:r>
        <w:rPr>
          <w:i/>
        </w:rPr>
        <w:t>Kleptotrace-micro-dataset</w:t>
      </w:r>
      <w:r>
        <w:t xml:space="preserve"> [18] sobre corrupción financiera, lavado de activos y sanciones internacionales, </w:t>
      </w:r>
      <w:r>
        <w:rPr>
          <w:b/>
        </w:rPr>
        <w:t>redactados en inglés</w:t>
      </w:r>
      <w:r>
        <w:t>. Anotados manualmente con entidades Personas (PER) y Organizaciones (ORG) como referencia; el corpus no anota localizaciones, lo que tiene consecuencias sobre la medición que se discuten en §3.3. Longitud promedio: ~4.833 caracteres por artículo (mediana 5.280; rango 725–8.813).</w:t>
      </w:r>
    </w:p>
    <w:p>
      <w:pPr>
        <w:numPr>
          <w:ilvl w:val="0"/>
          <w:numId w:val="0"/>
        </w:numPr>
        <w:pStyle w:val="Normal"/>
      </w:pPr>
      <w:r>
        <w:t xml:space="preserve">Corpus 2 — Kleptotrace/CoNLL-2002 Augmented (N=30, Corpus de Validación Estadística): 30 artículos breves </w:t>
      </w:r>
      <w:r>
        <w:rPr>
          <w:b/>
        </w:rPr>
        <w:t>en inglés</w:t>
      </w:r>
      <w:r>
        <w:t>,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Heading3"/>
      </w:pPr>
      <w:r>
        <w:t>4.1.1 Generación y validez del corpus sintético N=30</w:t>
      </w:r>
    </w:p>
    <w:p>
      <w:pPr>
        <w:numPr>
          <w:ilvl w:val="0"/>
          <w:numId w:val="0"/>
        </w:numPr>
        <w:pStyle w:val="BodyText"/>
      </w:pPr>
      <w:r>
        <w:t>Los quince artículos del corpus real resultan insuficientes para aplicar pruebas paramétricas con potencia adecuada, así que se construyó un corpus complementario de treinta textos breves siguiendo un procedimiento en cinco fases.</w:t>
      </w:r>
    </w:p>
    <w:p>
      <w:pPr>
        <w:numPr>
          <w:ilvl w:val="0"/>
          <w:numId w:val="0"/>
        </w:numPr>
        <w:pStyle w:val="Normal"/>
      </w:pPr>
      <w:r>
        <w:t xml:space="preserve">Se partió de analizar los quince artículos reales para identificar sus temáticas recurrentes (sanciones financieras, corrupción política, blanqueo de capitales y litigios corporativos) y reproducir esa distribución en el corpus generado. Para cada artículo se fijó de antemano un par de entidades, una persona y una organización, que actuaba como anotación de referencia conocida antes de existir el texto; este orden es el que garantiza que la referencia no se derive de la salida del modelo. Un modelo </w:t>
      </w:r>
      <w:r>
        <w:t>gemma4:31b</w:t>
      </w:r>
      <w:r>
        <w:t xml:space="preserve"> redactó entonces cada párrafo a partir de esas entidades, con instrucción explícita de no introducir ninguna otra (el </w:t>
      </w:r>
      <w:r>
        <w:rPr>
          <w:i/>
        </w:rPr>
        <w:t>prompt</w:t>
      </w:r>
      <w:r>
        <w:t xml:space="preserve"> completo figura en el Anexo B). Cada texto se revisó manualmente para confirmar que las entidades objetivo aparecían y que no se habían colado otras, y por último se comprobó por similitud coseno que ningún artículo replicara oraciones de otro.</w:t>
      </w:r>
    </w:p>
    <w:p>
      <w:pPr>
        <w:numPr>
          <w:ilvl w:val="0"/>
          <w:numId w:val="0"/>
        </w:numPr>
        <w:pStyle w:val="Normal"/>
      </w:pPr>
      <w:r>
        <w:t>El uso de textos sintéticos para contrastar hipótesis es defendible aquí por cuatro razones. La primera es de potencia estadística: el teorema del límite central asegura que la media muestral se aproxima a una distribución normal a medida que crece el número de observaciones independientes, y la práctica habitual sitúa en torno a treinta el tamaño a partir del cual esa aproximación se considera aceptable, lo que habilita las pruebas paramétricas que el corpus de quince no soportaba. La segunda es la independencia efectiva entre observaciones, pues el desempeño del modelo en un artículo no condiciona el de los demás. La tercera es la validez de constructo: la distribución temática replica la del corpus real, las entidades proceden de listas públicas de sanciones [19] y el estilo redaccional imita el de las noticias de cumplimiento. La cuarta es la consistencia observada entre ambos corpus (</w:t>
      </w:r>
      <w:r>
        <w:t>gemma4:31b</w:t>
      </w:r>
      <w:r>
        <w:t xml:space="preserve"> obtiene 78,55 % sobre N=30 y 69,12 % sobre N=15), sin saltos que delatarían un artefacto del procedimiento de generación; la diferencia se explica por la menor complejidad de los textos breves.</w:t>
      </w:r>
    </w:p>
    <w:p>
      <w:pPr>
        <w:numPr>
          <w:ilvl w:val="0"/>
          <w:numId w:val="0"/>
        </w:numPr>
        <w:pStyle w:val="Heading3"/>
      </w:pPr>
      <w:r>
        <w:t>4.1.3 Extensión a Corpus Real N=120 (Dataset Conmutable)</w:t>
      </w:r>
    </w:p>
    <w:p>
      <w:pPr>
        <w:numPr>
          <w:ilvl w:val="0"/>
          <w:numId w:val="0"/>
        </w:numPr>
        <w:pStyle w:val="BodyText"/>
      </w:pPr>
      <w:r>
        <w:t xml:space="preserve">Tras la validación sobre el corpus sintético N=30 (§4.1.1–4.1.2), y como parte del cierre del proyecto (1 de septiembre de 2026, commit </w:t>
      </w:r>
      <w:r>
        <w:t>5ff38f5</w:t>
      </w:r>
      <w:r>
        <w:t xml:space="preserve">, </w:t>
      </w:r>
      <w:r>
        <w:rPr>
          <w:i/>
        </w:rPr>
        <w:t>"integrate balanced real dataset N=120"</w:t>
      </w:r>
      <w:r>
        <w:t>), se incorporó una tercera alternativa de corpus para reforzar la validez externa: en lugar de seguir aumentando el corpus por generación sintética, se amplió la base real combinando los 15 artículos Gold Standard de Kleptotrace/CoNLL-2002 [18] con 105 artículos reales del corpus público CoNLL-2002 en español [12] (</w:t>
      </w:r>
      <w:r>
        <w:t>data/conll2002_es.json</w:t>
      </w:r>
      <w:r>
        <w:t xml:space="preserve">, 833 artículos disponibles), generando el archivo </w:t>
      </w:r>
      <w:r>
        <w:t>data/benchmark_balanced_120.json</w:t>
      </w:r>
      <w:r>
        <w:t xml:space="preserve"> (N=120, script </w:t>
      </w:r>
      <w:r>
        <w:t>create_balanced_120.py</w:t>
      </w:r>
      <w:r>
        <w:t>). A diferencia del corpus N=30, ningún texto de este corpus fue generado por un LLM: los 120 artículos son noticias reales con anotación de entidades real.</w:t>
      </w:r>
    </w:p>
    <w:p>
      <w:pPr>
        <w:numPr>
          <w:ilvl w:val="0"/>
          <w:numId w:val="0"/>
        </w:numPr>
        <w:pStyle w:val="Normal"/>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Heading2"/>
      </w:pPr>
      <w:r>
        <w:t>4.2 Modelos evaluados</w:t>
      </w:r>
    </w:p>
    <w:p>
      <w:pPr>
        <w:numPr>
          <w:ilvl w:val="0"/>
          <w:numId w:val="0"/>
        </w:numPr>
        <w:pStyle w:val="BodyText"/>
      </w:pPr>
      <w:r>
        <w:t xml:space="preserve">El trabajo comprende dos conjuntos de evaluación que no hay que confundir. El benchmark exploratorio de la Tabla 4 (§5.1) cubre doce modelos en trece configuraciones sobre N=15 en modo </w:t>
      </w:r>
      <w:r>
        <w:t>entities</w:t>
      </w:r>
      <w:r>
        <w:t xml:space="preserve"> (</w:t>
      </w:r>
      <w:r>
        <w:t>gemma4:latest</w:t>
      </w:r>
      <w:r>
        <w:t xml:space="preserve"> aparece dos veces, en sus variantes ZS-ES y FS-ES), mientras que el estudio principal (§5.3.5) evalúa trece modelos sobre N=120 en modo </w:t>
      </w:r>
      <w:r>
        <w:t>kb_combined</w:t>
      </w:r>
      <w:r>
        <w:t xml:space="preserve">. El segundo incorpora </w:t>
      </w:r>
      <w:r>
        <w:t>gemma4:12b-mlx</w:t>
      </w:r>
      <w:r>
        <w:t xml:space="preserve"> y </w:t>
      </w:r>
      <w:r>
        <w:t>gpt-oss:20b</w:t>
      </w:r>
      <w:r>
        <w:t>, que no disponen de corrida sobre el corpus reducido.</w:t>
      </w:r>
    </w:p>
    <w:p>
      <w:pPr>
        <w:numPr>
          <w:ilvl w:val="0"/>
          <w:numId w:val="0"/>
        </w:numPr>
        <w:pStyle w:val="Normal"/>
      </w:pPr>
      <w:r>
        <w:t xml:space="preserve">Los modelos de la Tabla 4 se reparten en tres grupos. Entre los locales de ocho mil millones de parámetros o más figuran </w:t>
      </w:r>
      <w:r>
        <w:t>gemma4:31b</w:t>
      </w:r>
      <w:r>
        <w:t xml:space="preserve"> y su compilación MLX, </w:t>
      </w:r>
      <w:r>
        <w:t>gemma4:latest</w:t>
      </w:r>
      <w:r>
        <w:t xml:space="preserve"> (9B), </w:t>
      </w:r>
      <w:r>
        <w:t>qwen2.5:14b</w:t>
      </w:r>
      <w:r>
        <w:t xml:space="preserve">, </w:t>
      </w:r>
      <w:r>
        <w:t>mistral-nemo:latest</w:t>
      </w:r>
      <w:r>
        <w:t xml:space="preserve"> (12B), </w:t>
      </w:r>
      <w:r>
        <w:t>llama3.1:8b</w:t>
      </w:r>
      <w:r>
        <w:t xml:space="preserve"> y </w:t>
      </w:r>
      <w:r>
        <w:t>qwen3:8b</w:t>
      </w:r>
      <w:r>
        <w:t xml:space="preserve">. El tramo compacto, por debajo de 8B, lo componen </w:t>
      </w:r>
      <w:r>
        <w:t>gemma:latest</w:t>
      </w:r>
      <w:r>
        <w:t xml:space="preserve"> (7B), </w:t>
      </w:r>
      <w:r>
        <w:t>nemotron-mini:4b</w:t>
      </w:r>
      <w:r>
        <w:t xml:space="preserve">, </w:t>
      </w:r>
      <w:r>
        <w:t>llama3.2:latest</w:t>
      </w:r>
      <w:r>
        <w:t xml:space="preserve"> (3B) y </w:t>
      </w:r>
      <w:r>
        <w:t>deepseek-r1:1.5b</w:t>
      </w:r>
      <w:r>
        <w:t xml:space="preserve">. Completa el cuadro </w:t>
      </w:r>
      <w:r>
        <w:t>gemma4:31b-cloud</w:t>
      </w:r>
      <w:r>
        <w:t>, incluido únicamente como referencia externa frente a la ejecución local.</w:t>
      </w:r>
    </w:p>
    <w:p>
      <w:pPr>
        <w:numPr>
          <w:ilvl w:val="0"/>
          <w:numId w:val="0"/>
        </w:numPr>
        <w:pStyle w:val="Heading2"/>
      </w:pPr>
      <w:r>
        <w:t>4.3 Análisis de variantes de prompts</w:t>
      </w:r>
    </w:p>
    <w:p>
      <w:pPr>
        <w:numPr>
          <w:ilvl w:val="0"/>
          <w:numId w:val="0"/>
        </w:numPr>
        <w:pStyle w:val="BodyText"/>
      </w:pPr>
      <w:r>
        <w:t xml:space="preserve">Sobre </w:t>
      </w:r>
      <w:r>
        <w:t>gemma4:latest</w:t>
      </w:r>
      <w:r>
        <w:t xml:space="preserve"> se evaluaron cuatro configuraciones de </w:t>
      </w:r>
      <w:r>
        <w:rPr>
          <w:i/>
        </w:rPr>
        <w:t>prompt</w:t>
      </w:r>
      <w:r>
        <w:t xml:space="preserve"> que cruzan dos factores (idioma, inglés o español, y estrategia de demostración, con ejemplos o sin ellos), lo que es un diseño factorial 2×2, habitualmente llamado </w:t>
      </w:r>
      <w:r>
        <w:rPr>
          <w:i/>
        </w:rPr>
        <w:t>ablation study</w:t>
      </w:r>
      <w:r>
        <w:t xml:space="preserve"> en la bibliografía en inglés. Las cuatro celdas son zero-shot en inglés, que actúa como referencia, zero-shot en español, few-shot en inglés y few-shot en español, empleando en los dos últimos tres ejemplos del dominio de cumplimiento.</w:t>
      </w:r>
    </w:p>
    <w:p>
      <w:pPr>
        <w:numPr>
          <w:ilvl w:val="0"/>
          <w:numId w:val="0"/>
        </w:numPr>
        <w:pStyle w:val="Normal"/>
      </w:pPr>
      <w:r>
        <w:t xml:space="preserve">El aprendizaje en contexto es la capacidad de un modelo de adaptarse a una tarea nueva sin actualizar sus pesos, solo a partir de lo que recibe en el </w:t>
      </w:r>
      <w:r>
        <w:rPr>
          <w:i/>
        </w:rPr>
        <w:t>prompt</w:t>
      </w:r>
      <w:r>
        <w:t xml:space="preserve">; Brown et al. [8] la documentaron en el trabajo fundacional de GPT-3 y es lo que separa a estos modelos de los supervisados tradicionales. En su variante </w:t>
      </w:r>
      <w:r>
        <w:rPr>
          <w:i/>
        </w:rPr>
        <w:t>few-shot</w:t>
      </w:r>
      <w:r>
        <w:t xml:space="preserve"> el </w:t>
      </w:r>
      <w:r>
        <w:rPr>
          <w:i/>
        </w:rPr>
        <w:t>prompt</w:t>
      </w:r>
      <w:r>
        <w:t xml:space="preserve"> antepone a la tarea real un puñado de ejemplos resueltos, cada uno con su entrada y la salida esperada, así que el modelo infiere el patrón antes de enfrentarse al caso que importa. En la variante </w:t>
      </w:r>
      <w:r>
        <w:rPr>
          <w:i/>
        </w:rPr>
        <w:t>zero-shot</w:t>
      </w:r>
      <w:r>
        <w:t xml:space="preserve"> no hay ejemplos y el modelo debe deducir formato y criterio solo de la instrucción.</w:t>
      </w:r>
    </w:p>
    <w:p>
      <w:pPr>
        <w:numPr>
          <w:ilvl w:val="0"/>
          <w:numId w:val="0"/>
        </w:numPr>
        <w:pStyle w:val="Normal"/>
      </w:pPr>
      <w:r>
        <w:t xml:space="preserve">Esos ejemplos cumplen tres funciones que conviene distinguir. Fijan el </w:t>
      </w:r>
      <w:r>
        <w:rPr>
          <w:b/>
        </w:rPr>
        <w:t>formato de salida</w:t>
      </w:r>
      <w:r>
        <w:t xml:space="preserve">, mostrando qué estructura JSON se espera con sus campos y tipos; sin ese anclaje los modelos varían la forma de la respuesta entre artículos y complican el análisis automático. Calibran el </w:t>
      </w:r>
      <w:r>
        <w:rPr>
          <w:b/>
        </w:rPr>
        <w:t>umbral semántico</w:t>
      </w:r>
      <w:r>
        <w:t xml:space="preserve">, delimitando qué menciones cuentan como entidad —personas nombradas y no cargos genéricos como «el presidente», organizaciones con nombre propio y no referencias como «la empresa»—, criterio que es difícil de especificar de forma exhaustiva en prosa pero que dos o tres ejemplos contrastivos transmiten sin ambigüedad. Y </w:t>
      </w:r>
      <w:r>
        <w:rPr>
          <w:b/>
        </w:rPr>
        <w:t>adaptan al dominio</w:t>
      </w:r>
      <w:r>
        <w:t>: funcionan como un micro-corpus en memoria de trabajo que inclina la distribución de probabilidad del modelo hacia la terminología regulatoria en lugar del lenguaje general.</w:t>
      </w:r>
    </w:p>
    <w:p>
      <w:pPr>
        <w:numPr>
          <w:ilvl w:val="0"/>
          <w:numId w:val="0"/>
        </w:numPr>
        <w:pStyle w:val="Normal"/>
      </w:pPr>
      <w:r>
        <w:t>Los tres ejemplos empleados en la configuración few-shot en español cubren un caso de persona sancionada, uno de organización y uno de mención ambigua; se reproducen íntegros en el Anexo B.</w:t>
      </w:r>
    </w:p>
    <w:p>
      <w:pPr>
        <w:numPr>
          <w:ilvl w:val="0"/>
          <w:numId w:val="0"/>
        </w:numPr>
        <w:pStyle w:val="Normal"/>
      </w:pPr>
      <w:r>
        <w:t xml:space="preserve">Los resultados del análisis de variantes de prompts revelan una interacción entre los dos factores: por separado, la localización al español aporta +4.38 pp de F1 y los ejemplos </w:t>
      </w:r>
      <w:r>
        <w:rPr>
          <w:i/>
        </w:rPr>
        <w:t>few-shot</w:t>
      </w:r>
      <w:r>
        <w:t xml:space="preserve"> en inglés no aportan nada (−0.72 pp), pero su combinación alcanza +10.40 pp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BodyText"/>
      </w:pPr>
      <w:r>
        <w:t>Las cifras que recorren el capítulo siguiente descansan sobre un puñado de métricas cuyo significado conviene fijar, porque cada una responde a una pregunta distinta y ninguna basta por sí sola.</w:t>
      </w:r>
    </w:p>
    <w:p>
      <w:pPr>
        <w:numPr>
          <w:ilvl w:val="0"/>
          <w:numId w:val="0"/>
        </w:numPr>
        <w:pStyle w:val="Normal"/>
      </w:pPr>
      <w:r>
        <w:t xml:space="preserve">Las tres primeras se construyen sobre el mismo recuento. Una entidad extraída que coincide con la anotación de referencia es un </w:t>
      </w:r>
      <w:r>
        <w:rPr>
          <w:b/>
        </w:rPr>
        <w:t>verdadero positivo</w:t>
      </w:r>
      <w:r>
        <w:t xml:space="preserve">; una que el modelo propone sin respaldo en la referencia es un </w:t>
      </w:r>
      <w:r>
        <w:rPr>
          <w:b/>
        </w:rPr>
        <w:t>falso positivo</w:t>
      </w:r>
      <w:r>
        <w:t xml:space="preserve">; y una que la referencia contiene pero el modelo no propuso es un </w:t>
      </w:r>
      <w:r>
        <w:rPr>
          <w:b/>
        </w:rPr>
        <w:t>falso negativo</w:t>
      </w:r>
      <w:r>
        <w:t xml:space="preserve">. Con ellos, la </w:t>
      </w:r>
      <w:r>
        <w:rPr>
          <w:b/>
        </w:rPr>
        <w:t>precisión</w:t>
      </w:r>
      <w:r>
        <w:t xml:space="preserve"> (verdaderos positivos sobre el total de propuestas) responde a «de lo que el modelo afirmó, cuánto era cierto», y la </w:t>
      </w:r>
      <w:r>
        <w:rPr>
          <w:b/>
        </w:rPr>
        <w:t>exhaustividad</w:t>
      </w:r>
      <w:r>
        <w:t xml:space="preserve"> o </w:t>
      </w:r>
      <w:r>
        <w:rPr>
          <w:i/>
        </w:rPr>
        <w:t>recall</w:t>
      </w:r>
      <w:r>
        <w:t xml:space="preserve"> (verdaderos positivos sobre el total de la referencia) a «de lo que había que encontrar, cuánto encontró». Ambas se oponen: un modelo que solo propone lo que tiene clarísimo alcanza alta precisión y baja exhaustividad, y uno que propone cuanto se le ocurre, lo contrario.</w:t>
      </w:r>
    </w:p>
    <w:p>
      <w:pPr>
        <w:numPr>
          <w:ilvl w:val="0"/>
          <w:numId w:val="0"/>
        </w:numPr>
        <w:pStyle w:val="Normal"/>
      </w:pPr>
      <w:r>
        <w:t xml:space="preserve">El </w:t>
      </w:r>
      <w:r>
        <w:rPr>
          <w:b/>
        </w:rPr>
        <w:t>F1</w:t>
      </w:r>
      <w:r>
        <w:t xml:space="preserve"> las resume en una sola cifra mediante su media </w:t>
      </w:r>
      <w:r>
        <w:rPr>
          <w:b/>
        </w:rPr>
        <w:t>armónica</w:t>
      </w:r>
      <w:r>
        <w:t>, no aritmética, y esa elección no es un tecnicismo: la media armónica se desploma cuando una de las dos componentes es baja, mientras que la aritmética la disimularía. Un modelo con precisión del 100 % y exhaustividad del 2 % obtendría 51 puntos de media aritmética pero apenas 3,9 de F1. De ahí se sigue una propiedad que sirve como control de coherencia y que este trabajo utiliza para validar sus propios datos: el F1 nunca puede superar la media aritmética de precisión y exhaustividad, así que cualquier fila que la exceda delata un error de cálculo.</w:t>
      </w:r>
    </w:p>
    <w:p>
      <w:pPr>
        <w:numPr>
          <w:ilvl w:val="0"/>
          <w:numId w:val="0"/>
        </w:numPr>
        <w:pStyle w:val="Normal"/>
      </w:pPr>
      <w:r>
        <w:t xml:space="preserve">Interesa además distinguir el error de la invención. La </w:t>
      </w:r>
      <w:r>
        <w:rPr>
          <w:b/>
        </w:rPr>
        <w:t>tasa de alucinación</w:t>
      </w:r>
      <w:r>
        <w:t xml:space="preserve"> no compara con la referencia sino con el artículo: mide qué proporción de lo extraído no aparece en el texto de origen. Un modelo puede tener precisión baja por proponer entidades reales del artículo que la anotación no recoge (un error de cobertura de la referencia) sin haber inventado nada; y puede, al contrario, fabricar nombres plausibles procedentes de su memoria de entrenamiento. Las dos situaciones exigen respuestas distintas, y en un dominio de cumplimiento normativo la segunda es la grave.</w:t>
      </w:r>
    </w:p>
    <w:p>
      <w:pPr>
        <w:numPr>
          <w:ilvl w:val="0"/>
          <w:numId w:val="0"/>
        </w:numPr>
        <w:pStyle w:val="Normal"/>
      </w:pPr>
      <w:r>
        <w:t xml:space="preserve">El coste se mide con dos indicadores complementarios. La </w:t>
      </w:r>
      <w:r>
        <w:rPr>
          <w:b/>
        </w:rPr>
        <w:t>latencia</w:t>
      </w:r>
      <w:r>
        <w:t xml:space="preserve"> registra los segundos que tarda el sistema en procesar un artículo, pero no permite comparar modelos entre sí cuando las corridas usaron distinta concurrencia o distinto hardware, como ocurre en este estudio. El </w:t>
      </w:r>
      <w:r>
        <w:rPr>
          <w:b/>
        </w:rPr>
        <w:t>índice Tok/s/B</w:t>
      </w:r>
      <w:r>
        <w:t xml:space="preserve"> sí lo permite: divide los tokens generados por segundo entre los miles de millones de parámetros del modelo, y expresa por tanto cuánto rendimiento se obtiene por unidad de capacidad instalada. Es la métrica que revela que un modelo de 3B puede resultar dos órdenes de magnitud más eficiente que uno de 31B aun siendo peor en F1, y la que sostiene la propuesta de una arquitectura en dos niveles del capítulo 6. Se completa con la </w:t>
      </w:r>
      <w:r>
        <w:rPr>
          <w:b/>
        </w:rPr>
        <w:t>memoria de vídeo</w:t>
      </w:r>
      <w:r>
        <w:t xml:space="preserve"> ocupada, que determina qué modelos caben en cada máquina y que fue el factor limitante del estudio.</w:t>
      </w:r>
    </w:p>
    <w:p>
      <w:pPr>
        <w:numPr>
          <w:ilvl w:val="0"/>
          <w:numId w:val="0"/>
        </w:numPr>
        <w:pStyle w:val="Normal"/>
      </w:pPr>
      <w:r>
        <w:t>El cotejo entre la entidad extraída y la de referencia es difuso a nivel de caracteres (distancia de Indel normalizada, descrita en §3.3), con un umbral de 85 sobre 100, lo que tolera variaciones menores de forma sin admitir coincidencias espurias. El recuento de aciertos se realiza por entidad extraída y el de omisiones por entidad de referencia, y las cifras se agregan a nivel micro por artículo antes de promediarse entre artículos. El cotejo de la tasa de alucinación contra el texto fuente emplea un umbral más permisivo, de 70 sobre 100, para no marcar como inventada una entidad correctamente identificada pero transcrita con una variación menor; la taxonomía de errores de §5.4 usa un corte de 50.</w:t>
      </w:r>
    </w:p>
    <w:p>
      <w:pPr>
        <w:numPr>
          <w:ilvl w:val="0"/>
          <w:numId w:val="0"/>
        </w:numPr>
        <w:pStyle w:val="Normal"/>
      </w:pPr>
      <w:r>
        <w:t xml:space="preserve">Convención ante la extracción vacía.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así que la totalidad de las cifras reportadas comparte un criterio único.</w:t>
      </w:r>
    </w:p>
    <w:p>
      <w:pPr>
        <w:numPr>
          <w:ilvl w:val="0"/>
          <w:numId w:val="0"/>
        </w:numPr>
        <w:pStyle w:val="Normal"/>
      </w:pPr>
      <w:r>
        <w:t>Las pruebas se ejecutaron sobre Apple Silicon con aceleración Metal, en dos configuraciones según el footprint del modelo: 16 GB de memoria unificada para los de hasta ~12B y 48 GB para los de 31B y las variantes MLX mayores. El entorno de software combina Python 3.14, Ollama 0.6 [29], scikit-learn [34], statsmodels [35], pandas y Streamlit. Cada corrida guarda un punto de control automático, así que una ejecución interrumpida se reanuda sin perder trabajo, lo que resultó decisivo en barridos de varias decenas de horas.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BodyText"/>
      </w:pPr>
      <w:r>
        <w:t>La Tabla 4 presenta los resultados consolidados del benchmark completo agrupados por familia y tamaño de modelo:</w:t>
      </w:r>
    </w:p>
    <w:p>
      <w:pPr>
        <w:numPr>
          <w:ilvl w:val="0"/>
          <w:numId w:val="0"/>
        </w:numPr>
        <w:pStyle w:val="TableCaption"/>
      </w:pPr>
      <w:r>
        <w:t>Tabla 4. Benchmark exploratorio: doce modelos en trece configuraciones sobre el corpus de quince artículos (N=15).</w:t>
      </w:r>
    </w:p>
    <w:tbl>
      <w:tblPr>
        <w:tblStyle w:val="Table"/>
        <w:tblW w:type="pct" w:w="5000.0"/>
        <w:tblLook w:firstRow="1"/>
      </w:tblPr>
      <w:tblGrid>
        <w:gridCol w:w="1021"/>
        <w:gridCol w:w="900"/>
        <w:gridCol w:w="948"/>
        <w:gridCol w:w="900"/>
        <w:gridCol w:w="900"/>
        <w:gridCol w:w="900"/>
        <w:gridCol w:w="1232"/>
        <w:gridCol w:w="1137"/>
        <w:gridCol w:w="900"/>
      </w:tblGrid>
      <w:tr>
        <w:trPr>
          <w:cnfStyle w:firstRow="1"/>
        </w:trPr>
        <w:tc>
          <w:tcPr>
            <w:tcW w:type="dxa" w:w="1021"/>
            <w:tcBorders>
              <w:bottom w:val="single"/>
            </w:tcBorders>
            <w:vAlign w:val="bottom"/>
          </w:tcPr>
          <w:p>
            <w:pPr>
              <w:pStyle w:val="Compact"/>
              <w:jc w:val="left"/>
            </w:pPr>
            <w:r>
              <w:rPr>
                <w:b/>
              </w:rPr>
              <w:t>Modelo</w:t>
            </w:r>
          </w:p>
        </w:tc>
        <w:tc>
          <w:tcPr>
            <w:tcW w:type="dxa" w:w="900"/>
            <w:tcBorders>
              <w:bottom w:val="single"/>
            </w:tcBorders>
            <w:vAlign w:val="bottom"/>
          </w:tcPr>
          <w:p>
            <w:pPr>
              <w:pStyle w:val="Compact"/>
              <w:jc w:val="left"/>
            </w:pPr>
            <w:r>
              <w:rPr>
                <w:b/>
              </w:rPr>
              <w:t>Tipo</w:t>
            </w:r>
          </w:p>
        </w:tc>
        <w:tc>
          <w:tcPr>
            <w:tcW w:type="dxa" w:w="948"/>
            <w:tcBorders>
              <w:bottom w:val="single"/>
            </w:tcBorders>
            <w:vAlign w:val="bottom"/>
          </w:tcPr>
          <w:p>
            <w:pPr>
              <w:pStyle w:val="Compact"/>
              <w:jc w:val="left"/>
            </w:pPr>
            <w:r>
              <w:rPr>
                <w:b/>
              </w:rPr>
              <w:t>Parámetros</w:t>
            </w:r>
          </w:p>
        </w:tc>
        <w:tc>
          <w:tcPr>
            <w:tcW w:type="dxa" w:w="900"/>
            <w:tcBorders>
              <w:bottom w:val="single"/>
            </w:tcBorders>
            <w:vAlign w:val="bottom"/>
          </w:tcPr>
          <w:p>
            <w:pPr>
              <w:pStyle w:val="Compact"/>
              <w:jc w:val="center"/>
            </w:pPr>
            <w:r>
              <w:rPr>
                <w:b/>
              </w:rPr>
              <w:t>F1</w:t>
            </w:r>
          </w:p>
        </w:tc>
        <w:tc>
          <w:tcPr>
            <w:tcW w:type="dxa" w:w="900"/>
            <w:tcBorders>
              <w:bottom w:val="single"/>
            </w:tcBorders>
            <w:vAlign w:val="bottom"/>
          </w:tcPr>
          <w:p>
            <w:pPr>
              <w:pStyle w:val="Compact"/>
              <w:jc w:val="center"/>
            </w:pPr>
            <w:r>
              <w:rPr>
                <w:b/>
              </w:rPr>
              <w:t>Precisión</w:t>
            </w:r>
          </w:p>
        </w:tc>
        <w:tc>
          <w:tcPr>
            <w:tcW w:type="dxa" w:w="900"/>
            <w:tcBorders>
              <w:bottom w:val="single"/>
            </w:tcBorders>
            <w:vAlign w:val="bottom"/>
          </w:tcPr>
          <w:p>
            <w:pPr>
              <w:pStyle w:val="Compact"/>
              <w:jc w:val="left"/>
            </w:pPr>
            <w:r>
              <w:rPr>
                <w:b/>
              </w:rPr>
              <w:t>Recall</w:t>
            </w:r>
          </w:p>
        </w:tc>
        <w:tc>
          <w:tcPr>
            <w:tcW w:type="dxa" w:w="1232"/>
            <w:tcBorders>
              <w:bottom w:val="single"/>
            </w:tcBorders>
            <w:vAlign w:val="bottom"/>
          </w:tcPr>
          <w:p>
            <w:pPr>
              <w:pStyle w:val="Compact"/>
              <w:jc w:val="left"/>
            </w:pPr>
            <w:r>
              <w:rPr>
                <w:b/>
              </w:rPr>
              <w:t>Hallucination</w:t>
            </w:r>
          </w:p>
        </w:tc>
        <w:tc>
          <w:tcPr>
            <w:tcW w:type="dxa" w:w="1137"/>
            <w:tcBorders>
              <w:bottom w:val="single"/>
            </w:tcBorders>
            <w:vAlign w:val="bottom"/>
          </w:tcPr>
          <w:p>
            <w:pPr>
              <w:pStyle w:val="Compact"/>
              <w:jc w:val="left"/>
            </w:pPr>
            <w:r>
              <w:rPr>
                <w:b/>
              </w:rPr>
              <w:t>Latencia (s)</w:t>
            </w:r>
          </w:p>
        </w:tc>
        <w:tc>
          <w:tcPr>
            <w:tcW w:type="dxa" w:w="900"/>
            <w:tcBorders>
              <w:bottom w:val="single"/>
            </w:tcBorders>
            <w:vAlign w:val="bottom"/>
          </w:tcPr>
          <w:p>
            <w:pPr>
              <w:pStyle w:val="Compact"/>
              <w:jc w:val="left"/>
            </w:pPr>
            <w:r>
              <w:rPr>
                <w:b/>
              </w:rPr>
              <w:t>Tok/s/B</w:t>
            </w:r>
          </w:p>
        </w:tc>
      </w:tr>
      <w:tr>
        <w:tc>
          <w:tcPr>
            <w:tcW w:type="dxa" w:w="1021"/>
          </w:tcPr>
          <w:p>
            <w:pPr>
              <w:pStyle w:val="Compact"/>
              <w:jc w:val="left"/>
            </w:pPr>
            <w:r>
              <w:rPr>
                <w:b w:val="0"/>
              </w:rPr>
              <w:t>gemma4:latest (FS-ES)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rPr>
              <w:t>74.44%</w:t>
            </w:r>
          </w:p>
        </w:tc>
        <w:tc>
          <w:tcPr>
            <w:tcW w:type="dxa" w:w="900"/>
          </w:tcPr>
          <w:p>
            <w:pPr>
              <w:pStyle w:val="Compact"/>
              <w:jc w:val="center"/>
            </w:pPr>
            <w:r>
              <w:rPr>
                <w:b w:val="0"/>
              </w:rPr>
              <w:t>66.78%</w:t>
            </w:r>
          </w:p>
        </w:tc>
        <w:tc>
          <w:tcPr>
            <w:tcW w:type="dxa" w:w="900"/>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900"/>
          </w:tcPr>
          <w:p>
            <w:pPr>
              <w:pStyle w:val="Compact"/>
              <w:jc w:val="left"/>
            </w:pPr>
            <w:r>
              <w:rPr>
                <w:b w:val="0"/>
              </w:rPr>
              <w:t xml:space="preserve">5.80</w:t>
            </w:r>
          </w:p>
        </w:tc>
      </w:tr>
      <w:tr>
        <w:tc>
          <w:tcPr>
            <w:tcW w:type="dxa" w:w="1021"/>
          </w:tcPr>
          <w:p>
            <w:pPr>
              <w:pStyle w:val="Compact"/>
              <w:jc w:val="left"/>
            </w:pPr>
            <w:r>
              <w:rPr>
                <w:b/>
              </w:rPr>
              <w:t>gemma4:31b</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69.12%</w:t>
            </w:r>
          </w:p>
        </w:tc>
        <w:tc>
          <w:tcPr>
            <w:tcW w:type="dxa" w:w="900"/>
          </w:tcPr>
          <w:p>
            <w:pPr>
              <w:pStyle w:val="Compact"/>
              <w:jc w:val="center"/>
            </w:pPr>
            <w:r>
              <w:rPr>
                <w:b w:val="0"/>
              </w:rPr>
              <w:t>58.83%</w:t>
            </w:r>
          </w:p>
        </w:tc>
        <w:tc>
          <w:tcPr>
            <w:tcW w:type="dxa" w:w="900"/>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900"/>
          </w:tcPr>
          <w:p>
            <w:pPr>
              <w:pStyle w:val="Compact"/>
              <w:jc w:val="left"/>
            </w:pPr>
            <w:r>
              <w:rPr>
                <w:b w:val="0"/>
              </w:rPr>
              <w:t>0.33</w:t>
            </w:r>
          </w:p>
        </w:tc>
      </w:tr>
      <w:tr>
        <w:tc>
          <w:tcPr>
            <w:tcW w:type="dxa" w:w="1021"/>
          </w:tcPr>
          <w:p>
            <w:pPr>
              <w:pStyle w:val="Compact"/>
              <w:jc w:val="left"/>
            </w:pPr>
            <w:r>
              <w:rPr>
                <w:b w:val="0"/>
              </w:rPr>
              <w:t>gemma4:31b-mlx</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68.52%</w:t>
            </w:r>
          </w:p>
        </w:tc>
        <w:tc>
          <w:tcPr>
            <w:tcW w:type="dxa" w:w="900"/>
          </w:tcPr>
          <w:p>
            <w:pPr>
              <w:pStyle w:val="Compact"/>
              <w:jc w:val="center"/>
            </w:pPr>
            <w:r>
              <w:rPr>
                <w:b w:val="0"/>
              </w:rPr>
              <w:t>58.31%</w:t>
            </w:r>
          </w:p>
        </w:tc>
        <w:tc>
          <w:tcPr>
            <w:tcW w:type="dxa" w:w="900"/>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900"/>
          </w:tcPr>
          <w:p>
            <w:pPr>
              <w:pStyle w:val="Compact"/>
              <w:jc w:val="left"/>
            </w:pPr>
            <w:r>
              <w:rPr>
                <w:b w:val="0"/>
              </w:rPr>
              <w:t>0.74</w:t>
            </w:r>
          </w:p>
        </w:tc>
      </w:tr>
      <w:tr>
        <w:tc>
          <w:tcPr>
            <w:tcW w:type="dxa" w:w="1021"/>
          </w:tcPr>
          <w:p>
            <w:pPr>
              <w:pStyle w:val="Compact"/>
              <w:jc w:val="left"/>
            </w:pPr>
            <w:r>
              <w:rPr>
                <w:b w:val="0"/>
              </w:rPr>
              <w:t>gemma4:latest (ZS-ES)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val="0"/>
              </w:rPr>
              <w:t>68.43%</w:t>
            </w:r>
          </w:p>
        </w:tc>
        <w:tc>
          <w:tcPr>
            <w:tcW w:type="dxa" w:w="900"/>
          </w:tcPr>
          <w:p>
            <w:pPr>
              <w:pStyle w:val="Compact"/>
              <w:jc w:val="center"/>
            </w:pPr>
            <w:r>
              <w:rPr>
                <w:b w:val="0"/>
              </w:rPr>
              <w:t>60.68%</w:t>
            </w:r>
          </w:p>
        </w:tc>
        <w:tc>
          <w:tcPr>
            <w:tcW w:type="dxa" w:w="900"/>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900"/>
          </w:tcPr>
          <w:p>
            <w:pPr>
              <w:pStyle w:val="Compact"/>
              <w:jc w:val="left"/>
            </w:pPr>
            <w:r>
              <w:rPr>
                <w:b w:val="0"/>
              </w:rPr>
              <w:t xml:space="preserve">5.80</w:t>
            </w:r>
          </w:p>
        </w:tc>
      </w:tr>
      <w:tr>
        <w:tc>
          <w:tcPr>
            <w:tcW w:type="dxa" w:w="1021"/>
          </w:tcPr>
          <w:p>
            <w:pPr>
              <w:pStyle w:val="Compact"/>
              <w:jc w:val="left"/>
            </w:pPr>
            <w:r>
              <w:rPr>
                <w:b w:val="0"/>
              </w:rPr>
              <w:t>gemma4:31b-cloud</w:t>
            </w:r>
          </w:p>
        </w:tc>
        <w:tc>
          <w:tcPr>
            <w:tcW w:type="dxa" w:w="900"/>
          </w:tcPr>
          <w:p>
            <w:pPr>
              <w:pStyle w:val="Compact"/>
              <w:jc w:val="left"/>
            </w:pPr>
            <w:r>
              <w:rPr>
                <w:b w:val="0"/>
              </w:rPr>
              <w:t>Cloud</w:t>
            </w:r>
          </w:p>
        </w:tc>
        <w:tc>
          <w:tcPr>
            <w:tcW w:type="dxa" w:w="948"/>
          </w:tcPr>
          <w:p>
            <w:pPr>
              <w:pStyle w:val="Compact"/>
              <w:jc w:val="left"/>
            </w:pPr>
            <w:r>
              <w:rPr>
                <w:b w:val="0"/>
              </w:rPr>
              <w:t>31B</w:t>
            </w:r>
          </w:p>
        </w:tc>
        <w:tc>
          <w:tcPr>
            <w:tcW w:type="dxa" w:w="900"/>
          </w:tcPr>
          <w:p>
            <w:pPr>
              <w:pStyle w:val="Compact"/>
              <w:jc w:val="center"/>
            </w:pPr>
            <w:r>
              <w:rPr>
                <w:b w:val="0"/>
              </w:rPr>
              <w:t>66.99%</w:t>
            </w:r>
          </w:p>
        </w:tc>
        <w:tc>
          <w:tcPr>
            <w:tcW w:type="dxa" w:w="900"/>
          </w:tcPr>
          <w:p>
            <w:pPr>
              <w:pStyle w:val="Compact"/>
              <w:jc w:val="center"/>
            </w:pPr>
            <w:r>
              <w:rPr>
                <w:b w:val="0"/>
              </w:rPr>
              <w:t>55.46%</w:t>
            </w:r>
          </w:p>
        </w:tc>
        <w:tc>
          <w:tcPr>
            <w:tcW w:type="dxa" w:w="900"/>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900"/>
          </w:tcPr>
          <w:p>
            <w:pPr>
              <w:pStyle w:val="Compact"/>
              <w:jc w:val="left"/>
            </w:pPr>
            <w:r>
              <w:rPr>
                <w:b w:val="0"/>
              </w:rPr>
              <w:t>—</w:t>
            </w:r>
          </w:p>
        </w:tc>
      </w:tr>
      <w:tr>
        <w:tc>
          <w:tcPr>
            <w:tcW w:type="dxa" w:w="1021"/>
          </w:tcPr>
          <w:p>
            <w:pPr>
              <w:pStyle w:val="Compact"/>
              <w:jc w:val="left"/>
            </w:pPr>
            <w:r>
              <w:rPr>
                <w:b w:val="0"/>
              </w:rPr>
              <w:t>llama3.2:latest</w:t>
            </w:r>
          </w:p>
        </w:tc>
        <w:tc>
          <w:tcPr>
            <w:tcW w:type="dxa" w:w="900"/>
          </w:tcPr>
          <w:p>
            <w:pPr>
              <w:pStyle w:val="Compact"/>
              <w:jc w:val="left"/>
            </w:pPr>
            <w:r>
              <w:rPr>
                <w:b w:val="0"/>
              </w:rPr>
              <w:t>Local</w:t>
            </w:r>
          </w:p>
        </w:tc>
        <w:tc>
          <w:tcPr>
            <w:tcW w:type="dxa" w:w="948"/>
          </w:tcPr>
          <w:p>
            <w:pPr>
              <w:pStyle w:val="Compact"/>
              <w:jc w:val="left"/>
            </w:pPr>
            <w:r>
              <w:rPr>
                <w:b w:val="0"/>
              </w:rPr>
              <w:t>3B</w:t>
            </w:r>
          </w:p>
        </w:tc>
        <w:tc>
          <w:tcPr>
            <w:tcW w:type="dxa" w:w="900"/>
          </w:tcPr>
          <w:p>
            <w:pPr>
              <w:pStyle w:val="Compact"/>
              <w:jc w:val="center"/>
            </w:pPr>
            <w:r>
              <w:rPr>
                <w:b w:val="0"/>
              </w:rPr>
              <w:t>63.19%</w:t>
            </w:r>
          </w:p>
        </w:tc>
        <w:tc>
          <w:tcPr>
            <w:tcW w:type="dxa" w:w="900"/>
          </w:tcPr>
          <w:p>
            <w:pPr>
              <w:pStyle w:val="Compact"/>
              <w:jc w:val="center"/>
            </w:pPr>
            <w:r>
              <w:rPr>
                <w:b w:val="0"/>
              </w:rPr>
              <w:t>62.82%</w:t>
            </w:r>
          </w:p>
        </w:tc>
        <w:tc>
          <w:tcPr>
            <w:tcW w:type="dxa" w:w="900"/>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900"/>
          </w:tcPr>
          <w:p>
            <w:pPr>
              <w:pStyle w:val="Compact"/>
              <w:jc w:val="left"/>
            </w:pPr>
            <w:r>
              <w:rPr>
                <w:b w:val="0"/>
              </w:rPr>
              <w:t>26.44</w:t>
            </w:r>
          </w:p>
        </w:tc>
      </w:tr>
      <w:tr>
        <w:tc>
          <w:tcPr>
            <w:tcW w:type="dxa" w:w="1021"/>
          </w:tcPr>
          <w:p>
            <w:pPr>
              <w:pStyle w:val="Compact"/>
              <w:jc w:val="left"/>
            </w:pPr>
            <w:r>
              <w:rPr>
                <w:b w:val="0"/>
              </w:rPr>
              <w:t>gemma:latest</w:t>
            </w:r>
          </w:p>
        </w:tc>
        <w:tc>
          <w:tcPr>
            <w:tcW w:type="dxa" w:w="900"/>
          </w:tcPr>
          <w:p>
            <w:pPr>
              <w:pStyle w:val="Compact"/>
              <w:jc w:val="left"/>
            </w:pPr>
            <w:r>
              <w:rPr>
                <w:b w:val="0"/>
              </w:rPr>
              <w:t>Local</w:t>
            </w:r>
          </w:p>
        </w:tc>
        <w:tc>
          <w:tcPr>
            <w:tcW w:type="dxa" w:w="948"/>
          </w:tcPr>
          <w:p>
            <w:pPr>
              <w:pStyle w:val="Compact"/>
              <w:jc w:val="left"/>
            </w:pPr>
            <w:r>
              <w:rPr>
                <w:b w:val="0"/>
              </w:rPr>
              <w:t>7B</w:t>
            </w:r>
          </w:p>
        </w:tc>
        <w:tc>
          <w:tcPr>
            <w:tcW w:type="dxa" w:w="900"/>
          </w:tcPr>
          <w:p>
            <w:pPr>
              <w:pStyle w:val="Compact"/>
              <w:jc w:val="center"/>
            </w:pPr>
            <w:r>
              <w:rPr>
                <w:b w:val="0"/>
              </w:rPr>
              <w:t>62.66%</w:t>
            </w:r>
          </w:p>
        </w:tc>
        <w:tc>
          <w:tcPr>
            <w:tcW w:type="dxa" w:w="900"/>
          </w:tcPr>
          <w:p>
            <w:pPr>
              <w:pStyle w:val="Compact"/>
              <w:jc w:val="center"/>
            </w:pPr>
            <w:r>
              <w:rPr>
                <w:b w:val="0"/>
              </w:rPr>
              <w:t>58.47%</w:t>
            </w:r>
          </w:p>
        </w:tc>
        <w:tc>
          <w:tcPr>
            <w:tcW w:type="dxa" w:w="900"/>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900"/>
          </w:tcPr>
          <w:p>
            <w:pPr>
              <w:pStyle w:val="Compact"/>
              <w:jc w:val="left"/>
            </w:pPr>
            <w:r>
              <w:rPr>
                <w:b w:val="0"/>
              </w:rPr>
              <w:t>5.17</w:t>
            </w:r>
          </w:p>
        </w:tc>
      </w:tr>
      <w:tr>
        <w:tc>
          <w:tcPr>
            <w:tcW w:type="dxa" w:w="1021"/>
          </w:tcPr>
          <w:p>
            <w:pPr>
              <w:pStyle w:val="Compact"/>
              <w:jc w:val="left"/>
            </w:pPr>
            <w:r>
              <w:rPr>
                <w:b w:val="0"/>
              </w:rPr>
              <w:t>qwen2.5:14b</w:t>
            </w:r>
          </w:p>
        </w:tc>
        <w:tc>
          <w:tcPr>
            <w:tcW w:type="dxa" w:w="900"/>
          </w:tcPr>
          <w:p>
            <w:pPr>
              <w:pStyle w:val="Compact"/>
              <w:jc w:val="left"/>
            </w:pPr>
            <w:r>
              <w:rPr>
                <w:b w:val="0"/>
              </w:rPr>
              <w:t>Local</w:t>
            </w:r>
          </w:p>
        </w:tc>
        <w:tc>
          <w:tcPr>
            <w:tcW w:type="dxa" w:w="948"/>
          </w:tcPr>
          <w:p>
            <w:pPr>
              <w:pStyle w:val="Compact"/>
              <w:jc w:val="left"/>
            </w:pPr>
            <w:r>
              <w:rPr>
                <w:b w:val="0"/>
              </w:rPr>
              <w:t>14B</w:t>
            </w:r>
          </w:p>
        </w:tc>
        <w:tc>
          <w:tcPr>
            <w:tcW w:type="dxa" w:w="900"/>
          </w:tcPr>
          <w:p>
            <w:pPr>
              <w:pStyle w:val="Compact"/>
              <w:jc w:val="center"/>
            </w:pPr>
            <w:r>
              <w:rPr>
                <w:b w:val="0"/>
              </w:rPr>
              <w:t>61.06%</w:t>
            </w:r>
          </w:p>
        </w:tc>
        <w:tc>
          <w:tcPr>
            <w:tcW w:type="dxa" w:w="900"/>
          </w:tcPr>
          <w:p>
            <w:pPr>
              <w:pStyle w:val="Compact"/>
              <w:jc w:val="center"/>
            </w:pPr>
            <w:r>
              <w:rPr>
                <w:b w:val="0"/>
              </w:rPr>
              <w:t>57.60%</w:t>
            </w:r>
          </w:p>
        </w:tc>
        <w:tc>
          <w:tcPr>
            <w:tcW w:type="dxa" w:w="900"/>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900"/>
          </w:tcPr>
          <w:p>
            <w:pPr>
              <w:pStyle w:val="Compact"/>
              <w:jc w:val="left"/>
            </w:pPr>
            <w:r>
              <w:rPr>
                <w:b w:val="0"/>
              </w:rPr>
              <w:t>1.57</w:t>
            </w:r>
          </w:p>
        </w:tc>
      </w:tr>
      <w:tr>
        <w:tc>
          <w:tcPr>
            <w:tcW w:type="dxa" w:w="1021"/>
          </w:tcPr>
          <w:p>
            <w:pPr>
              <w:pStyle w:val="Compact"/>
              <w:jc w:val="left"/>
            </w:pPr>
            <w:r>
              <w:rPr>
                <w:b w:val="0"/>
              </w:rPr>
              <w:t>llama3.1:8b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60.72%</w:t>
            </w:r>
          </w:p>
        </w:tc>
        <w:tc>
          <w:tcPr>
            <w:tcW w:type="dxa" w:w="900"/>
          </w:tcPr>
          <w:p>
            <w:pPr>
              <w:pStyle w:val="Compact"/>
              <w:jc w:val="center"/>
            </w:pPr>
            <w:r>
              <w:rPr>
                <w:b w:val="0"/>
              </w:rPr>
              <w:t>53.70%</w:t>
            </w:r>
          </w:p>
        </w:tc>
        <w:tc>
          <w:tcPr>
            <w:tcW w:type="dxa" w:w="900"/>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900"/>
          </w:tcPr>
          <w:p>
            <w:pPr>
              <w:pStyle w:val="Compact"/>
              <w:jc w:val="left"/>
            </w:pPr>
            <w:r>
              <w:rPr>
                <w:b w:val="0"/>
              </w:rPr>
              <w:t>5.03</w:t>
            </w:r>
          </w:p>
        </w:tc>
      </w:tr>
      <w:tr>
        <w:tc>
          <w:tcPr>
            <w:tcW w:type="dxa" w:w="1021"/>
          </w:tcPr>
          <w:p>
            <w:pPr>
              <w:pStyle w:val="Compact"/>
              <w:jc w:val="left"/>
            </w:pPr>
            <w:r>
              <w:rPr>
                <w:b w:val="0"/>
              </w:rPr>
              <w:t>qwen3:8b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53.65%</w:t>
            </w:r>
          </w:p>
        </w:tc>
        <w:tc>
          <w:tcPr>
            <w:tcW w:type="dxa" w:w="900"/>
          </w:tcPr>
          <w:p>
            <w:pPr>
              <w:pStyle w:val="Compact"/>
              <w:jc w:val="center"/>
            </w:pPr>
            <w:r>
              <w:rPr>
                <w:b w:val="0"/>
              </w:rPr>
              <w:t>46.75%</w:t>
            </w:r>
          </w:p>
        </w:tc>
        <w:tc>
          <w:tcPr>
            <w:tcW w:type="dxa" w:w="900"/>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900"/>
          </w:tcPr>
          <w:p>
            <w:pPr>
              <w:pStyle w:val="Compact"/>
              <w:jc w:val="left"/>
            </w:pPr>
            <w:r>
              <w:rPr>
                <w:b w:val="0"/>
              </w:rPr>
              <w:t>4.56</w:t>
            </w:r>
          </w:p>
        </w:tc>
      </w:tr>
      <w:tr>
        <w:tc>
          <w:tcPr>
            <w:tcW w:type="dxa" w:w="1021"/>
          </w:tcPr>
          <w:p>
            <w:pPr>
              <w:pStyle w:val="Compact"/>
              <w:jc w:val="left"/>
            </w:pPr>
            <w:r>
              <w:rPr>
                <w:b w:val="0"/>
              </w:rPr>
              <w:t>mistral-nemo:latest</w:t>
            </w:r>
          </w:p>
        </w:tc>
        <w:tc>
          <w:tcPr>
            <w:tcW w:type="dxa" w:w="900"/>
          </w:tcPr>
          <w:p>
            <w:pPr>
              <w:pStyle w:val="Compact"/>
              <w:jc w:val="left"/>
            </w:pPr>
            <w:r>
              <w:rPr>
                <w:b w:val="0"/>
              </w:rPr>
              <w:t>Local</w:t>
            </w:r>
          </w:p>
        </w:tc>
        <w:tc>
          <w:tcPr>
            <w:tcW w:type="dxa" w:w="948"/>
          </w:tcPr>
          <w:p>
            <w:pPr>
              <w:pStyle w:val="Compact"/>
              <w:jc w:val="left"/>
            </w:pPr>
            <w:r>
              <w:rPr>
                <w:b w:val="0"/>
              </w:rPr>
              <w:t>12B</w:t>
            </w:r>
          </w:p>
        </w:tc>
        <w:tc>
          <w:tcPr>
            <w:tcW w:type="dxa" w:w="900"/>
          </w:tcPr>
          <w:p>
            <w:pPr>
              <w:pStyle w:val="Compact"/>
              <w:jc w:val="center"/>
            </w:pPr>
            <w:r>
              <w:rPr>
                <w:b w:val="0"/>
              </w:rPr>
              <w:t>53.07%</w:t>
            </w:r>
          </w:p>
        </w:tc>
        <w:tc>
          <w:tcPr>
            <w:tcW w:type="dxa" w:w="900"/>
          </w:tcPr>
          <w:p>
            <w:pPr>
              <w:pStyle w:val="Compact"/>
              <w:jc w:val="center"/>
            </w:pPr>
            <w:r>
              <w:rPr>
                <w:b w:val="0"/>
              </w:rPr>
              <w:t>58.13%</w:t>
            </w:r>
          </w:p>
        </w:tc>
        <w:tc>
          <w:tcPr>
            <w:tcW w:type="dxa" w:w="900"/>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900"/>
          </w:tcPr>
          <w:p>
            <w:pPr>
              <w:pStyle w:val="Compact"/>
              <w:jc w:val="left"/>
            </w:pPr>
            <w:r>
              <w:rPr>
                <w:b w:val="0"/>
              </w:rPr>
              <w:t>2.36</w:t>
            </w:r>
          </w:p>
        </w:tc>
      </w:tr>
      <w:tr>
        <w:tc>
          <w:tcPr>
            <w:tcW w:type="dxa" w:w="1021"/>
          </w:tcPr>
          <w:p>
            <w:pPr>
              <w:pStyle w:val="Compact"/>
              <w:jc w:val="left"/>
            </w:pPr>
            <w:r>
              <w:rPr>
                <w:b w:val="0"/>
              </w:rPr>
              <w:t>nemotron-mini:4b</w:t>
            </w:r>
          </w:p>
        </w:tc>
        <w:tc>
          <w:tcPr>
            <w:tcW w:type="dxa" w:w="900"/>
          </w:tcPr>
          <w:p>
            <w:pPr>
              <w:pStyle w:val="Compact"/>
              <w:jc w:val="left"/>
            </w:pPr>
            <w:r>
              <w:rPr>
                <w:b w:val="0"/>
              </w:rPr>
              <w:t>Local</w:t>
            </w:r>
          </w:p>
        </w:tc>
        <w:tc>
          <w:tcPr>
            <w:tcW w:type="dxa" w:w="948"/>
          </w:tcPr>
          <w:p>
            <w:pPr>
              <w:pStyle w:val="Compact"/>
              <w:jc w:val="left"/>
            </w:pPr>
            <w:r>
              <w:rPr>
                <w:b w:val="0"/>
              </w:rPr>
              <w:t>4B</w:t>
            </w:r>
          </w:p>
        </w:tc>
        <w:tc>
          <w:tcPr>
            <w:tcW w:type="dxa" w:w="900"/>
          </w:tcPr>
          <w:p>
            <w:pPr>
              <w:pStyle w:val="Compact"/>
              <w:jc w:val="center"/>
            </w:pPr>
            <w:r>
              <w:rPr>
                <w:b w:val="0"/>
              </w:rPr>
              <w:t>35.33%</w:t>
            </w:r>
          </w:p>
        </w:tc>
        <w:tc>
          <w:tcPr>
            <w:tcW w:type="dxa" w:w="900"/>
          </w:tcPr>
          <w:p>
            <w:pPr>
              <w:pStyle w:val="Compact"/>
              <w:jc w:val="center"/>
            </w:pPr>
            <w:r>
              <w:rPr>
                <w:b w:val="0"/>
              </w:rPr>
              <w:t>44.37%</w:t>
            </w:r>
          </w:p>
        </w:tc>
        <w:tc>
          <w:tcPr>
            <w:tcW w:type="dxa" w:w="900"/>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900"/>
          </w:tcPr>
          <w:p>
            <w:pPr>
              <w:pStyle w:val="Compact"/>
              <w:jc w:val="left"/>
            </w:pPr>
            <w:r>
              <w:rPr>
                <w:b w:val="0"/>
              </w:rPr>
              <w:t>17.08</w:t>
            </w:r>
          </w:p>
        </w:tc>
      </w:tr>
      <w:tr>
        <w:tc>
          <w:tcPr>
            <w:tcW w:type="dxa" w:w="1021"/>
          </w:tcPr>
          <w:p>
            <w:pPr>
              <w:pStyle w:val="Compact"/>
              <w:jc w:val="left"/>
            </w:pPr>
            <w:r>
              <w:rPr>
                <w:b w:val="0"/>
              </w:rPr>
              <w:t>deepseek-r1:1.5b</w:t>
            </w:r>
          </w:p>
        </w:tc>
        <w:tc>
          <w:tcPr>
            <w:tcW w:type="dxa" w:w="900"/>
          </w:tcPr>
          <w:p>
            <w:pPr>
              <w:pStyle w:val="Compact"/>
              <w:jc w:val="left"/>
            </w:pPr>
            <w:r>
              <w:rPr>
                <w:b w:val="0"/>
              </w:rPr>
              <w:t>Local</w:t>
            </w:r>
          </w:p>
        </w:tc>
        <w:tc>
          <w:tcPr>
            <w:tcW w:type="dxa" w:w="948"/>
          </w:tcPr>
          <w:p>
            <w:pPr>
              <w:pStyle w:val="Compact"/>
              <w:jc w:val="left"/>
            </w:pPr>
            <w:r>
              <w:rPr>
                <w:b w:val="0"/>
              </w:rPr>
              <w:t>1.5B</w:t>
            </w:r>
          </w:p>
        </w:tc>
        <w:tc>
          <w:tcPr>
            <w:tcW w:type="dxa" w:w="900"/>
          </w:tcPr>
          <w:p>
            <w:pPr>
              <w:pStyle w:val="Compact"/>
              <w:jc w:val="center"/>
            </w:pPr>
            <w:r>
              <w:rPr>
                <w:b w:val="0"/>
              </w:rPr>
              <w:t>27.65%</w:t>
            </w:r>
          </w:p>
        </w:tc>
        <w:tc>
          <w:tcPr>
            <w:tcW w:type="dxa" w:w="900"/>
          </w:tcPr>
          <w:p>
            <w:pPr>
              <w:pStyle w:val="Compact"/>
              <w:jc w:val="center"/>
            </w:pPr>
            <w:r>
              <w:rPr>
                <w:b w:val="0"/>
              </w:rPr>
              <w:t>39.49%</w:t>
            </w:r>
          </w:p>
        </w:tc>
        <w:tc>
          <w:tcPr>
            <w:tcW w:type="dxa" w:w="900"/>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900"/>
          </w:tcPr>
          <w:p>
            <w:pPr>
              <w:pStyle w:val="Compact"/>
              <w:jc w:val="left"/>
            </w:pPr>
            <w:r>
              <w:rPr>
                <w:b w:val="0"/>
              </w:rPr>
              <w:t>86.20</w:t>
            </w:r>
          </w:p>
        </w:tc>
      </w:tr>
    </w:tbl>
    <w:p>
      <w:pPr>
        <w:numPr>
          <w:ilvl w:val="0"/>
          <w:numId w:val="0"/>
        </w:numPr>
        <w:pStyle w:val="BodyText"/>
      </w:pPr>
      <w:r>
        <w:t xml:space="preserve">Cifras medidas sobre </w:t>
      </w:r>
      <w:r>
        <w:t xml:space="preserve">results/benchmark_results.csv</w:t>
      </w:r>
      <w:r>
        <w:t xml:space="preserve"> (N=15, modo </w:t>
      </w:r>
      <w:r>
        <w:t xml:space="preserve">entities</w:t>
      </w:r>
      <w:r>
        <w:t xml:space="preserve">), salvo </w:t>
      </w:r>
      <w:r>
        <w:t xml:space="preserve">gemma4:31b</w:t>
      </w:r>
      <w:r>
        <w:t xml:space="preserve"> (</w:t>
      </w:r>
      <w:r>
        <w:t xml:space="preserve">gemma4_31b_n15_REMOTO</w:t>
      </w:r>
      <w:r>
        <w:t xml:space="preserve">), las dos variantes de </w:t>
      </w:r>
      <w:r>
        <w:t xml:space="preserve">gemma4:latest</w:t>
      </w:r>
      <w:r>
        <w:t xml:space="preserve"> (</w:t>
      </w:r>
      <w:r>
        <w:t xml:space="preserve">ablacion_n15_REMOTO</w:t>
      </w:r>
      <w:r>
        <w:t xml:space="preserve">) y </w:t>
      </w:r>
      <w:r>
        <w:t xml:space="preserve">gemma4:31b-cloud</w:t>
      </w:r>
      <w:r>
        <w:t xml:space="preserve"> (</w:t>
      </w:r>
      <w:r>
        <w:t xml:space="preserve">cloud_n15_limpio_20260905</w:t>
      </w:r>
      <w:r>
        <w:t xml:space="preserve">). Las latencias proceden de corridas con distinta concurrencia y hardware, por lo que </w:t>
      </w:r>
      <w:r>
        <w:rPr>
          <w:b/>
        </w:rPr>
        <w:t xml:space="preserve">no son comparables entre filas</w:t>
      </w:r>
      <w:r>
        <w:t xml:space="preserve">; el índice Tok/s/B sí lo es. </w:t>
      </w:r>
      <w:r>
        <w:t xml:space="preserve"/>
      </w:r>
      <w:r>
        <w:t xml:space="preserve"/>
      </w:r>
      <w:r>
        <w:t xml:space="preserve"/>
      </w:r>
      <w:r>
        <w:t xml:space="preserve"/>
      </w:r>
      <w:r>
        <w:t xml:space="preserve"/>
      </w:r>
      <w:r>
        <w:t xml:space="preserve">La columna «Parámetros» recoge la denominación nominal de la etiqueta del modelo, que no siempre coincide con el recuento del manifiesto —1,8B en </w:t>
      </w:r>
      <w:r>
        <w:t xml:space="preserve">deepseek-r1:1.5b</w:t>
      </w:r>
      <w:r>
        <w:t xml:space="preserve">, 4,2B en </w:t>
      </w:r>
      <w:r>
        <w:t xml:space="preserve">nemotron-mini:4b</w:t>
      </w:r>
      <w:r>
        <w:t xml:space="preserve">, 8,2B en </w:t>
      </w:r>
      <w:r>
        <w:t xml:space="preserve">qwen3:8b</w:t>
      </w:r>
      <w:r>
        <w:t xml:space="preserve">, 12,2B en </w:t>
      </w:r>
      <w:r>
        <w:t xml:space="preserve">mistral-nemo</w:t>
      </w:r>
      <w:r>
        <w:t xml:space="preserve">, 31,3B en </w:t>
      </w:r>
      <w:r>
        <w:t xml:space="preserve">gemma4:31b</w:t>
      </w:r>
      <w:r>
        <w:t xml:space="preserve">—, y el índice Tok/s/B se calcula sobre la nominal. </w:t>
      </w:r>
      <w:r>
        <w:t xml:space="preserve">gemma4:31b-cloud</w:t>
      </w:r>
      <w:r>
        <w:t xml:space="preserve"> corre además en BF16 sobre ~32,7B parámetros sin cuantizar, así que su footprint no es comparable con el de las compilaciones locales.</w:t>
      </w:r>
    </w:p>
    <w:p>
      <w:pPr>
        <w:numPr>
          <w:ilvl w:val="0"/>
          <w:numId w:val="0"/>
        </w:numPr>
        <w:pStyle w:val="BodyText"/>
      </w:pPr>
      <w:r>
        <w:rPr>
          <w:b/>
        </w:rPr>
        <w:t>Hallazgo 1:</w:t>
      </w:r>
      <w:r>
        <w:t xml:space="preserve"> la familia </w:t>
      </w:r>
      <w:r>
        <w:t>gemma4</w:t>
      </w:r>
      <w:r>
        <w:t xml:space="preserve"> copa las cinco primeras posiciones. </w:t>
      </w:r>
      <w:r>
        <w:t>gemma4:latest</w:t>
      </w:r>
      <w:r>
        <w:t xml:space="preserve"> con prompt </w:t>
      </w:r>
      <w:r>
        <w:rPr>
          <w:i/>
        </w:rPr>
        <w:t>few-shot</w:t>
      </w:r>
      <w:r>
        <w:t xml:space="preserve"> en español (74.44%) supera a los dos modelos de 31B, a un tercio de su tamaño. </w:t>
      </w:r>
      <w:r>
        <w:rPr>
          <w:b/>
        </w:rPr>
        <w:t>Hallazgo 2:</w:t>
      </w:r>
      <w:r>
        <w:t xml:space="preserve"> </w:t>
      </w:r>
      <w:r>
        <w:t>gemma4:31b</w:t>
      </w:r>
      <w:r>
        <w:t xml:space="preserve"> lidera en Recall entre los locales (86.80%) con una tasa de alucinación de 0.16%, y su contraparte cloud alcanza un Recall equivalente (86.88%). </w:t>
      </w:r>
      <w:r>
        <w:rPr>
          <w:b/>
        </w:rPr>
        <w:t>Hallazgo 3:</w:t>
      </w:r>
      <w:r>
        <w:t xml:space="preserve"> </w:t>
      </w:r>
      <w:r>
        <w:t>deepseek-r1:1.5b</w:t>
      </w:r>
      <w:r>
        <w:t xml:space="preserve"> debe descartarse para producción: F1 de 27.65% y Recall de sólo 25.77%. </w:t>
      </w:r>
      <w:r>
        <w:rPr>
          <w:b/>
        </w:rPr>
        <w:t>Hallazgo 4:</w:t>
      </w:r>
      <w:r>
        <w:t xml:space="preserve"> el índice de eficiencia de hardware (Tok/s/B) favorece a los modelos compactos —</w:t>
      </w:r>
      <w:r>
        <w:t>deepseek-r1:1.5b</w:t>
      </w:r>
      <w:r>
        <w:t xml:space="preserve"> (86.20) y </w:t>
      </w:r>
      <w:r>
        <w:t>llama3.2</w:t>
      </w:r>
      <w:r>
        <w:t xml:space="preserve"> (26.44)— para </w:t>
      </w:r>
      <w:r>
        <w:rPr>
          <w:i/>
        </w:rPr>
        <w:t>screening</w:t>
      </w:r>
      <w:r>
        <w:t xml:space="preserve"> masivo, mientras que </w:t>
      </w:r>
      <w:r>
        <w:t>gemma4:31b</w:t>
      </w:r>
      <w:r>
        <w:t xml:space="preserve"> (0.33) se justifica para análisis de alto riesgo.</w:t>
      </w:r>
    </w:p>
    <w:p>
      <w:pPr>
        <w:numPr>
          <w:ilvl w:val="0"/>
          <w:numId w:val="0"/>
        </w:numPr>
        <w:pStyle w:val="Heading2"/>
      </w:pPr>
      <w:r>
        <w:t>5.2 Análisis de Variantes de Prompts (gemma4:latest, N=15)</w:t>
      </w:r>
    </w:p>
    <w:p>
      <w:pPr>
        <w:numPr>
          <w:ilvl w:val="0"/>
          <w:numId w:val="0"/>
        </w:numPr>
        <w:pStyle w:val="TableCaption"/>
      </w:pPr>
      <w:r>
        <w:t xml:space="preserve">Tabla 5. Variantes de prompt sobre </w:t>
      </w:r>
      <w:r>
        <w:t>gemma4:latest</w:t>
      </w:r>
      <w:r>
        <w:t>: diseño factorial de idioma de la instrucción y de los ejemplos (N=15).</w:t>
      </w:r>
    </w:p>
    <w:tbl>
      <w:tblPr>
        <w:tblStyle w:val="Table"/>
        <w:tblW w:type="pct" w:w="5000.0"/>
        <w:tblLook w:firstRow="1"/>
      </w:tblPr>
      <w:tblGrid>
        <w:gridCol w:w="2254"/>
        <w:gridCol w:w="900"/>
        <w:gridCol w:w="900"/>
        <w:gridCol w:w="900"/>
        <w:gridCol w:w="1293"/>
        <w:gridCol w:w="1194"/>
        <w:gridCol w:w="1397"/>
      </w:tblGrid>
      <w:tr>
        <w:trPr>
          <w:cnfStyle w:firstRow="1"/>
        </w:trPr>
        <w:tc>
          <w:tcPr>
            <w:tcW w:type="dxa" w:w="2254"/>
            <w:tcBorders>
              <w:bottom w:val="single"/>
            </w:tcBorders>
            <w:vAlign w:val="bottom"/>
          </w:tcPr>
          <w:p>
            <w:pPr>
              <w:pStyle w:val="Compact"/>
              <w:jc w:val="left"/>
            </w:pPr>
            <w:r>
              <w:rPr>
                <w:b/>
              </w:rPr>
              <w:t>Configuración</w:t>
            </w:r>
          </w:p>
        </w:tc>
        <w:tc>
          <w:tcPr>
            <w:tcW w:type="dxa" w:w="900"/>
            <w:tcBorders>
              <w:bottom w:val="single"/>
            </w:tcBorders>
            <w:vAlign w:val="bottom"/>
          </w:tcPr>
          <w:p>
            <w:pPr>
              <w:pStyle w:val="Compact"/>
              <w:jc w:val="left"/>
            </w:pPr>
            <w:r>
              <w:rPr>
                <w:b/>
              </w:rPr>
              <w:t>F1</w:t>
            </w:r>
          </w:p>
        </w:tc>
        <w:tc>
          <w:tcPr>
            <w:tcW w:type="dxa" w:w="900"/>
            <w:tcBorders>
              <w:bottom w:val="single"/>
            </w:tcBorders>
            <w:vAlign w:val="bottom"/>
          </w:tcPr>
          <w:p>
            <w:pPr>
              <w:pStyle w:val="Compact"/>
              <w:jc w:val="left"/>
            </w:pPr>
            <w:r>
              <w:rPr>
                <w:b/>
              </w:rPr>
              <w:t>Precisión</w:t>
            </w:r>
          </w:p>
        </w:tc>
        <w:tc>
          <w:tcPr>
            <w:tcW w:type="dxa" w:w="900"/>
            <w:tcBorders>
              <w:bottom w:val="single"/>
            </w:tcBorders>
            <w:vAlign w:val="bottom"/>
          </w:tcPr>
          <w:p>
            <w:pPr>
              <w:pStyle w:val="Compact"/>
              <w:jc w:val="center"/>
            </w:pPr>
            <w:r>
              <w:rPr>
                <w:b/>
              </w:rPr>
              <w:t>Recall</w:t>
            </w:r>
          </w:p>
        </w:tc>
        <w:tc>
          <w:tcPr>
            <w:tcW w:type="dxa" w:w="1293"/>
            <w:tcBorders>
              <w:bottom w:val="single"/>
            </w:tcBorders>
            <w:vAlign w:val="bottom"/>
          </w:tcPr>
          <w:p>
            <w:pPr>
              <w:pStyle w:val="Compact"/>
              <w:jc w:val="center"/>
            </w:pPr>
            <w:r>
              <w:rPr>
                <w:b/>
              </w:rPr>
              <w:t>Hallucination</w:t>
            </w:r>
          </w:p>
        </w:tc>
        <w:tc>
          <w:tcPr>
            <w:tcW w:type="dxa" w:w="1194"/>
            <w:tcBorders>
              <w:bottom w:val="single"/>
            </w:tcBorders>
            <w:vAlign w:val="bottom"/>
          </w:tcPr>
          <w:p>
            <w:pPr>
              <w:pStyle w:val="Compact"/>
              <w:jc w:val="left"/>
            </w:pPr>
            <w:r>
              <w:rPr>
                <w:b/>
              </w:rPr>
              <w:t>Latencia (s)</w:t>
            </w:r>
          </w:p>
        </w:tc>
        <w:tc>
          <w:tcPr>
            <w:tcW w:type="dxa" w:w="1397"/>
            <w:tcBorders>
              <w:bottom w:val="single"/>
            </w:tcBorders>
            <w:vAlign w:val="bottom"/>
          </w:tcPr>
          <w:p>
            <w:pPr>
              <w:pStyle w:val="Compact"/>
              <w:jc w:val="left"/>
            </w:pPr>
            <w:r>
              <w:rPr>
                <w:b/>
              </w:rPr>
              <w:t>Δ vs. Baseline</w:t>
            </w:r>
          </w:p>
        </w:tc>
      </w:tr>
      <w:tr>
        <w:tc>
          <w:tcPr>
            <w:tcW w:type="dxa" w:w="2254"/>
          </w:tcPr>
          <w:p>
            <w:pPr>
              <w:pStyle w:val="Compact"/>
              <w:jc w:val="left"/>
            </w:pPr>
            <w:r>
              <w:rPr>
                <w:b w:val="0"/>
              </w:rPr>
              <w:t>Zero-shot Inglés (Baseline)</w:t>
            </w:r>
          </w:p>
        </w:tc>
        <w:tc>
          <w:tcPr>
            <w:tcW w:type="dxa" w:w="900"/>
          </w:tcPr>
          <w:p>
            <w:pPr>
              <w:pStyle w:val="Compact"/>
              <w:jc w:val="left"/>
            </w:pPr>
            <w:r>
              <w:rPr>
                <w:b w:val="0"/>
              </w:rPr>
              <w:t>64.05%</w:t>
            </w:r>
          </w:p>
        </w:tc>
        <w:tc>
          <w:tcPr>
            <w:tcW w:type="dxa" w:w="900"/>
          </w:tcPr>
          <w:p>
            <w:pPr>
              <w:pStyle w:val="Compact"/>
              <w:jc w:val="left"/>
            </w:pPr>
            <w:r>
              <w:rPr>
                <w:b w:val="0"/>
              </w:rPr>
              <w:t>57.69%</w:t>
            </w:r>
          </w:p>
        </w:tc>
        <w:tc>
          <w:tcPr>
            <w:tcW w:type="dxa" w:w="900"/>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254"/>
          </w:tcPr>
          <w:p>
            <w:pPr>
              <w:pStyle w:val="Compact"/>
              <w:jc w:val="left"/>
            </w:pPr>
            <w:r>
              <w:rPr>
                <w:b w:val="0"/>
              </w:rPr>
              <w:t>Zero-shot Español</w:t>
            </w:r>
          </w:p>
        </w:tc>
        <w:tc>
          <w:tcPr>
            <w:tcW w:type="dxa" w:w="900"/>
          </w:tcPr>
          <w:p>
            <w:pPr>
              <w:pStyle w:val="Compact"/>
              <w:jc w:val="left"/>
            </w:pPr>
            <w:r>
              <w:rPr>
                <w:b w:val="0"/>
              </w:rPr>
              <w:t>68.43%</w:t>
            </w:r>
          </w:p>
        </w:tc>
        <w:tc>
          <w:tcPr>
            <w:tcW w:type="dxa" w:w="900"/>
          </w:tcPr>
          <w:p>
            <w:pPr>
              <w:pStyle w:val="Compact"/>
              <w:jc w:val="left"/>
            </w:pPr>
            <w:r>
              <w:rPr>
                <w:b w:val="0"/>
              </w:rPr>
              <w:t>60.68%</w:t>
            </w:r>
          </w:p>
        </w:tc>
        <w:tc>
          <w:tcPr>
            <w:tcW w:type="dxa" w:w="900"/>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254"/>
          </w:tcPr>
          <w:p>
            <w:pPr>
              <w:pStyle w:val="Compact"/>
              <w:jc w:val="left"/>
            </w:pPr>
            <w:r>
              <w:rPr>
                <w:b w:val="0"/>
              </w:rPr>
              <w:t>Few-shot Inglés</w:t>
            </w:r>
          </w:p>
        </w:tc>
        <w:tc>
          <w:tcPr>
            <w:tcW w:type="dxa" w:w="900"/>
          </w:tcPr>
          <w:p>
            <w:pPr>
              <w:pStyle w:val="Compact"/>
              <w:jc w:val="left"/>
            </w:pPr>
            <w:r>
              <w:rPr>
                <w:b w:val="0"/>
              </w:rPr>
              <w:t>63.32%</w:t>
            </w:r>
          </w:p>
        </w:tc>
        <w:tc>
          <w:tcPr>
            <w:tcW w:type="dxa" w:w="900"/>
          </w:tcPr>
          <w:p>
            <w:pPr>
              <w:pStyle w:val="Compact"/>
              <w:jc w:val="left"/>
            </w:pPr>
            <w:r>
              <w:rPr>
                <w:b w:val="0"/>
              </w:rPr>
              <w:t>55.81%</w:t>
            </w:r>
          </w:p>
        </w:tc>
        <w:tc>
          <w:tcPr>
            <w:tcW w:type="dxa" w:w="900"/>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−0.72 pp</w:t>
            </w:r>
          </w:p>
        </w:tc>
      </w:tr>
      <w:tr>
        <w:tc>
          <w:tcPr>
            <w:tcW w:type="dxa" w:w="2254"/>
          </w:tcPr>
          <w:p>
            <w:pPr>
              <w:pStyle w:val="Compact"/>
              <w:jc w:val="left"/>
            </w:pPr>
            <w:r>
              <w:rPr>
                <w:b w:val="0"/>
              </w:rPr>
              <w:t>Few-shot Español</w:t>
            </w:r>
          </w:p>
        </w:tc>
        <w:tc>
          <w:tcPr>
            <w:tcW w:type="dxa" w:w="900"/>
          </w:tcPr>
          <w:p>
            <w:pPr>
              <w:pStyle w:val="Compact"/>
              <w:jc w:val="left"/>
            </w:pPr>
            <w:r>
              <w:rPr>
                <w:b/>
              </w:rPr>
              <w:t>74.44%</w:t>
            </w:r>
          </w:p>
        </w:tc>
        <w:tc>
          <w:tcPr>
            <w:tcW w:type="dxa" w:w="900"/>
          </w:tcPr>
          <w:p>
            <w:pPr>
              <w:pStyle w:val="Compact"/>
              <w:jc w:val="left"/>
            </w:pPr>
            <w:r>
              <w:rPr>
                <w:b/>
              </w:rPr>
              <w:t>66.78%</w:t>
            </w:r>
          </w:p>
        </w:tc>
        <w:tc>
          <w:tcPr>
            <w:tcW w:type="dxa" w:w="900"/>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+10.40 pp</w:t>
            </w:r>
          </w:p>
        </w:tc>
      </w:tr>
    </w:tbl>
    <w:p>
      <w:pPr>
        <w:numPr>
          <w:ilvl w:val="0"/>
          <w:numId w:val="0"/>
        </w:numPr>
        <w:pStyle w:val="BodyText"/>
      </w:pPr>
      <w:r>
        <w:t xml:space="preserve">Medido sobre </w:t>
      </w:r>
      <w:r>
        <w:t>results/ablacion_n15_REMOTO/benchmark_results.csv</w:t>
      </w:r>
      <w:r>
        <w:t xml:space="preserve"> (N=15, modo </w:t>
      </w:r>
      <w:r>
        <w:t>entities</w:t>
      </w:r>
      <w:r>
        <w:t>), con el corrector de puntuación aplicado. El ANOVA de una vía sobre las cuatro configuraciones no alcanza significancia (F = 1,1379; p = 0,3417) ni la alcanza ninguna comparación de Tukey, consecuencia de N=15: los deltas deben leerse como una tendencia consistente y no como una diferencia demostrada.</w:t>
      </w:r>
    </w:p>
    <w:p>
      <w:pPr>
        <w:numPr>
          <w:ilvl w:val="0"/>
          <w:numId w:val="0"/>
        </w:numPr>
        <w:pStyle w:val="BodyText"/>
      </w:pPr>
      <w:r>
        <w:rPr>
          <w:b/>
        </w:rPr>
        <w:t>Hallazgo 5:</w:t>
      </w:r>
      <w:r>
        <w:t xml:space="preserve"> ninguno de los dos factores basta por separado —la localización al español aporta +4.38 pp y los ejemplos </w:t>
      </w:r>
      <w:r>
        <w:rPr>
          <w:i/>
        </w:rPr>
        <w:t>few-shot</w:t>
      </w:r>
      <w:r>
        <w:t xml:space="preserve"> en inglés restan 0.72 pp—, pero </w:t>
      </w:r>
      <w:r>
        <w:rPr>
          <w:b/>
        </w:rPr>
        <w:t>su combinación alcanza +10.40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BodyText"/>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w:t>
      </w:r>
    </w:p>
    <w:p>
      <w:pPr>
        <w:numPr>
          <w:ilvl w:val="0"/>
          <w:numId w:val="0"/>
        </w:numPr>
        <w:pStyle w:val="TableCaption"/>
      </w:pPr>
      <w:r>
        <w:t>Tabla 6. Validación estadística sobre el corpus del dominio (N=30), con intervalos de confianza del 95 %.</w:t>
      </w:r>
    </w:p>
    <w:tbl>
      <w:tblPr>
        <w:tblStyle w:val="Table"/>
        <w:tblW w:type="pct" w:w="5000.0"/>
        <w:tblLook w:firstRow="1"/>
      </w:tblPr>
      <w:tblGrid>
        <w:gridCol w:w="2028"/>
        <w:gridCol w:w="1014"/>
        <w:gridCol w:w="1303"/>
        <w:gridCol w:w="1014"/>
        <w:gridCol w:w="2579"/>
        <w:gridCol w:w="900"/>
      </w:tblGrid>
      <w:tr>
        <w:trPr>
          <w:cnfStyle w:firstRow="1"/>
        </w:trPr>
        <w:tc>
          <w:tcPr>
            <w:tcW w:type="dxa" w:w="2028"/>
            <w:tcBorders>
              <w:bottom w:val="single"/>
            </w:tcBorders>
            <w:vAlign w:val="bottom"/>
          </w:tcPr>
          <w:p>
            <w:pPr>
              <w:pStyle w:val="Compact"/>
              <w:jc w:val="left"/>
            </w:pPr>
            <w:r>
              <w:rPr>
                <w:b/>
              </w:rPr>
              <w:t>Modelo</w:t>
            </w:r>
          </w:p>
        </w:tc>
        <w:tc>
          <w:tcPr>
            <w:tcW w:type="dxa" w:w="1014"/>
            <w:tcBorders>
              <w:bottom w:val="single"/>
            </w:tcBorders>
            <w:vAlign w:val="bottom"/>
          </w:tcPr>
          <w:p>
            <w:pPr>
              <w:pStyle w:val="Compact"/>
              <w:jc w:val="left"/>
            </w:pPr>
            <w:r>
              <w:rPr>
                <w:b/>
              </w:rPr>
              <w:t>F1</w:t>
            </w:r>
          </w:p>
        </w:tc>
        <w:tc>
          <w:tcPr>
            <w:tcW w:type="dxa" w:w="1303"/>
            <w:tcBorders>
              <w:bottom w:val="single"/>
            </w:tcBorders>
            <w:vAlign w:val="bottom"/>
          </w:tcPr>
          <w:p>
            <w:pPr>
              <w:pStyle w:val="Compact"/>
              <w:jc w:val="left"/>
            </w:pPr>
            <w:r>
              <w:rPr>
                <w:b/>
              </w:rPr>
              <w:t>Precisión</w:t>
            </w:r>
          </w:p>
        </w:tc>
        <w:tc>
          <w:tcPr>
            <w:tcW w:type="dxa" w:w="1014"/>
            <w:tcBorders>
              <w:bottom w:val="single"/>
            </w:tcBorders>
            <w:vAlign w:val="bottom"/>
          </w:tcPr>
          <w:p>
            <w:pPr>
              <w:pStyle w:val="Compact"/>
              <w:jc w:val="center"/>
            </w:pPr>
            <w:r>
              <w:rPr>
                <w:b/>
              </w:rPr>
              <w:t>Recall</w:t>
            </w:r>
          </w:p>
        </w:tc>
        <w:tc>
          <w:tcPr>
            <w:tcW w:type="dxa" w:w="2579"/>
            <w:tcBorders>
              <w:bottom w:val="single"/>
            </w:tcBorders>
            <w:vAlign w:val="bottom"/>
          </w:tcPr>
          <w:p>
            <w:pPr>
              <w:pStyle w:val="Compact"/>
              <w:jc w:val="center"/>
            </w:pPr>
            <w:r>
              <w:rPr>
                <w:b/>
              </w:rPr>
              <w:t>IC 95 % del F1</w:t>
            </w:r>
          </w:p>
        </w:tc>
        <w:tc>
          <w:tcPr>
            <w:tcW w:type="dxa" w:w="900"/>
            <w:tcBorders>
              <w:bottom w:val="single"/>
            </w:tcBorders>
            <w:vAlign w:val="bottom"/>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579"/>
          </w:tcPr>
          <w:p>
            <w:pPr>
              <w:pStyle w:val="Compact"/>
              <w:jc w:val="center"/>
            </w:pPr>
            <w:r>
              <w:rPr>
                <w:b w:val="0"/>
              </w:rPr>
              <w:t>[74.22 %, 86.92 %]</w:t>
            </w:r>
          </w:p>
        </w:tc>
        <w:tc>
          <w:tcPr>
            <w:tcW w:type="dxa" w:w="900"/>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579"/>
          </w:tcPr>
          <w:p>
            <w:pPr>
              <w:pStyle w:val="Compact"/>
              <w:jc w:val="center"/>
            </w:pPr>
            <w:r>
              <w:rPr>
                <w:b w:val="0"/>
              </w:rPr>
              <w:t>[72.59 %, 84.52 %]</w:t>
            </w:r>
          </w:p>
        </w:tc>
        <w:tc>
          <w:tcPr>
            <w:tcW w:type="dxa" w:w="900"/>
          </w:tcPr>
          <w:p>
            <w:pPr>
              <w:pStyle w:val="Compact"/>
              <w:jc w:val="left"/>
            </w:pPr>
            <w:r>
              <w:rPr>
                <w:b w:val="0"/>
              </w:rPr>
              <w:t>0</w:t>
            </w:r>
          </w:p>
        </w:tc>
      </w:tr>
    </w:tbl>
    <w:p>
      <w:pPr>
        <w:numPr>
          <w:ilvl w:val="0"/>
          <w:numId w:val="0"/>
        </w:numPr>
        <w:pStyle w:val="Normal"/>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F = 0,2235 con p = 0,6382, de modo que no se rechaza la hipótesis nula y la diferencia entre ambos debe atribuirse a la variabilidad entre artículos y no a una superioridad real de una compilación sobre la otra. Los intervalos de confianza al 95 % se solapan ampliamente, lo que refuerza la misma lectura.</w:t>
      </w:r>
    </w:p>
    <w:p>
      <w:pPr>
        <w:numPr>
          <w:ilvl w:val="0"/>
          <w:numId w:val="0"/>
        </w:numPr>
        <w:pStyle w:val="Normal"/>
      </w:pPr>
      <w:r>
        <w:t xml:space="preserve">El </w:t>
      </w:r>
      <w:r>
        <w:rPr>
          <w:b/>
        </w:rPr>
        <w:t>análisis de sensibilidad</w:t>
      </w:r>
      <w:r>
        <w:t xml:space="preserve"> completa la validación. Aplicando el criterio de longitud atípica (artículos por encima de 702 caracteres) no se identifica ningún registro fuera de rango, y el F1 filtrado coincide exactamente con el original en ambos modelos. El resultado no depende, por tanto, de unos pocos textos extremos.</w:t>
      </w:r>
    </w:p>
    <w:p>
      <w:pPr>
        <w:numPr>
          <w:ilvl w:val="0"/>
          <w:numId w:val="0"/>
        </w:numPr>
        <w:pStyle w:val="Normal"/>
      </w:pPr>
      <w:r>
        <w:t xml:space="preserve">Vale la pena señalar una particularidad de procedencia. Una primera ejecución de este experimento, realizada en julio de 2026, reportó para </w:t>
      </w:r>
      <w:r>
        <w:t>gemma4:31b</w:t>
      </w:r>
      <w:r>
        <w:t xml:space="preserve"> un F1 de 79,03 %. Aquella medición empleaba la convención de puntuación anterior a la corrección descrita en §4.4 y sus datos por registro se perdieron por sobrescritura, de modo que no podía recalcularse. La ejecución aquí reportada la reemplaza y, al mismo tiempo, la valida: la precisión coincide hasta el cuarto decimal (73,34 %) y el F1 difiere en menos de medio punto, lo que confirma que el defecto de puntuación apenas afectaba a este experimento —consecuencia esperable de una exhaustividad tan alta, que deja pocas extracciones vacías sobre las que el error pudiera actuar—.</w:t>
      </w:r>
    </w:p>
    <w:p>
      <w:pPr>
        <w:numPr>
          <w:ilvl w:val="0"/>
          <w:numId w:val="0"/>
        </w:numPr>
        <w:pStyle w:val="Heading3"/>
      </w:pPr>
      <w:r>
        <w:t>5.3.5 Validación Estadística sobre Corpus Real N=120 (estudio completo)</w:t>
      </w:r>
    </w:p>
    <w:p>
      <w:pPr>
        <w:numPr>
          <w:ilvl w:val="0"/>
          <w:numId w:val="0"/>
        </w:numPr>
        <w:pStyle w:val="BodyText"/>
      </w:pPr>
      <w:r>
        <w:t xml:space="preserve">Sobre el corpus real N=120 descrito en §4.1.3 se ejecutó el mismo protocolo (ANOVA de una vía + Tukey HSD) para el estudio completo de 13 modelos, cada uno en modo </w:t>
      </w:r>
      <w:r>
        <w:rPr>
          <w:i/>
        </w:rPr>
        <w:t>baseline</w:t>
      </w:r>
      <w:r>
        <w:t xml:space="preserve"> y </w:t>
      </w:r>
      <w:r>
        <w:rPr>
          <w:i/>
        </w:rPr>
        <w:t>KB RAG</w:t>
      </w:r>
      <w:r>
        <w:t xml:space="preserve">, con N=120 observaciones por grupo (26 grupos, 3 120 observaciones). Resultados consolidados en </w:t>
      </w:r>
      <w:r>
        <w:t>results/ANALISIS_CONJUNTO_20260907/</w:t>
      </w:r>
      <w:r>
        <w:t>.</w:t>
      </w:r>
    </w:p>
    <w:p>
      <w:pPr>
        <w:numPr>
          <w:ilvl w:val="0"/>
          <w:numId w:val="0"/>
        </w:numPr>
        <w:pStyle w:val="TableCaption"/>
      </w:pPr>
      <w:r>
        <w:t>Tabla 7. Efecto de la base de conocimientos contextual sobre el corpus real (N=120, trece modelos).</w:t>
      </w:r>
    </w:p>
    <w:tbl>
      <w:tblPr>
        <w:tblStyle w:val="Table"/>
        <w:tblW w:type="pct" w:w="5000.0"/>
        <w:tblLook w:firstRow="1"/>
      </w:tblPr>
      <w:tblGrid>
        <w:gridCol w:w="2665"/>
        <w:gridCol w:w="1543"/>
        <w:gridCol w:w="1262"/>
        <w:gridCol w:w="1262"/>
        <w:gridCol w:w="2106"/>
      </w:tblGrid>
      <w:tr>
        <w:trPr>
          <w:cnfStyle w:firstRow="1"/>
        </w:trPr>
        <w:tc>
          <w:tcPr>
            <w:tcW w:type="dxa" w:w="2665"/>
            <w:tcBorders>
              <w:bottom w:val="single"/>
            </w:tcBorders>
            <w:vAlign w:val="bottom"/>
          </w:tcPr>
          <w:p>
            <w:pPr>
              <w:pStyle w:val="Compact"/>
              <w:jc w:val="left"/>
            </w:pPr>
            <w:r>
              <w:rPr>
                <w:b/>
              </w:rPr>
              <w:t>Modelo</w:t>
            </w:r>
          </w:p>
        </w:tc>
        <w:tc>
          <w:tcPr>
            <w:tcW w:type="dxa" w:w="1543"/>
            <w:tcBorders>
              <w:bottom w:val="single"/>
            </w:tcBorders>
            <w:vAlign w:val="bottom"/>
          </w:tcPr>
          <w:p>
            <w:pPr>
              <w:pStyle w:val="Compact"/>
              <w:jc w:val="left"/>
            </w:pPr>
            <w:r>
              <w:rPr>
                <w:b/>
              </w:rPr>
              <w:t>F1 baseline</w:t>
            </w:r>
          </w:p>
        </w:tc>
        <w:tc>
          <w:tcPr>
            <w:tcW w:type="dxa" w:w="1262"/>
            <w:tcBorders>
              <w:bottom w:val="single"/>
            </w:tcBorders>
            <w:vAlign w:val="bottom"/>
          </w:tcPr>
          <w:p>
            <w:pPr>
              <w:pStyle w:val="Compact"/>
              <w:jc w:val="left"/>
            </w:pPr>
            <w:r>
              <w:rPr>
                <w:b/>
              </w:rPr>
              <w:t>F1 KB RAG</w:t>
            </w:r>
          </w:p>
        </w:tc>
        <w:tc>
          <w:tcPr>
            <w:tcW w:type="dxa" w:w="1262"/>
            <w:tcBorders>
              <w:bottom w:val="single"/>
            </w:tcBorders>
            <w:vAlign w:val="bottom"/>
          </w:tcPr>
          <w:p>
            <w:pPr>
              <w:pStyle w:val="Compact"/>
              <w:jc w:val="center"/>
            </w:pPr>
            <w:r>
              <w:rPr>
                <w:b/>
              </w:rPr>
              <w:t>Δ RAG</w:t>
            </w:r>
          </w:p>
        </w:tc>
        <w:tc>
          <w:tcPr>
            <w:tcW w:type="dxa" w:w="2106"/>
            <w:tcBorders>
              <w:bottom w:val="single"/>
            </w:tcBorders>
            <w:vAlign w:val="bottom"/>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62.38%</w:t>
            </w:r>
          </w:p>
        </w:tc>
        <w:tc>
          <w:tcPr>
            <w:tcW w:type="dxa" w:w="1262"/>
          </w:tcPr>
          <w:p>
            <w:pPr>
              <w:pStyle w:val="Compact"/>
              <w:jc w:val="left"/>
            </w:pPr>
            <w:r>
              <w:rPr>
                <w:b w:val="0"/>
              </w:rPr>
              <w:t>61.85%</w:t>
            </w:r>
          </w:p>
        </w:tc>
        <w:tc>
          <w:tcPr>
            <w:tcW w:type="dxa" w:w="1262"/>
          </w:tcPr>
          <w:p>
            <w:pPr>
              <w:pStyle w:val="Compact"/>
              <w:jc w:val="center"/>
            </w:pPr>
            <w:r>
              <w:rPr>
                <w:b w:val="0"/>
              </w:rPr>
              <w:t>−0.54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59.25%</w:t>
            </w:r>
          </w:p>
        </w:tc>
        <w:tc>
          <w:tcPr>
            <w:tcW w:type="dxa" w:w="1262"/>
          </w:tcPr>
          <w:p>
            <w:pPr>
              <w:pStyle w:val="Compact"/>
              <w:jc w:val="left"/>
            </w:pPr>
            <w:r>
              <w:rPr>
                <w:b w:val="0"/>
              </w:rPr>
              <w:t>59.07%</w:t>
            </w:r>
          </w:p>
        </w:tc>
        <w:tc>
          <w:tcPr>
            <w:tcW w:type="dxa" w:w="1262"/>
          </w:tcPr>
          <w:p>
            <w:pPr>
              <w:pStyle w:val="Compact"/>
              <w:jc w:val="center"/>
            </w:pPr>
            <w:r>
              <w:rPr>
                <w:b w:val="0"/>
              </w:rPr>
              <w:t>−0.18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56.18%</w:t>
            </w:r>
          </w:p>
        </w:tc>
        <w:tc>
          <w:tcPr>
            <w:tcW w:type="dxa" w:w="1262"/>
          </w:tcPr>
          <w:p>
            <w:pPr>
              <w:pStyle w:val="Compact"/>
              <w:jc w:val="left"/>
            </w:pPr>
            <w:r>
              <w:rPr>
                <w:b w:val="0"/>
              </w:rPr>
              <w:t>58.46%</w:t>
            </w:r>
          </w:p>
        </w:tc>
        <w:tc>
          <w:tcPr>
            <w:tcW w:type="dxa" w:w="1262"/>
          </w:tcPr>
          <w:p>
            <w:pPr>
              <w:pStyle w:val="Compact"/>
              <w:jc w:val="center"/>
            </w:pPr>
            <w:r>
              <w:rPr>
                <w:b w:val="0"/>
              </w:rPr>
              <w:t>+2.28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55.91%</w:t>
            </w:r>
          </w:p>
        </w:tc>
        <w:tc>
          <w:tcPr>
            <w:tcW w:type="dxa" w:w="1262"/>
          </w:tcPr>
          <w:p>
            <w:pPr>
              <w:pStyle w:val="Compact"/>
              <w:jc w:val="left"/>
            </w:pPr>
            <w:r>
              <w:rPr>
                <w:b w:val="0"/>
              </w:rPr>
              <w:t>54.74%</w:t>
            </w:r>
          </w:p>
        </w:tc>
        <w:tc>
          <w:tcPr>
            <w:tcW w:type="dxa" w:w="1262"/>
          </w:tcPr>
          <w:p>
            <w:pPr>
              <w:pStyle w:val="Compact"/>
              <w:jc w:val="center"/>
            </w:pPr>
            <w:r>
              <w:rPr>
                <w:b w:val="0"/>
              </w:rPr>
              <w:t>−1.17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52.39%</w:t>
            </w:r>
          </w:p>
        </w:tc>
        <w:tc>
          <w:tcPr>
            <w:tcW w:type="dxa" w:w="1262"/>
          </w:tcPr>
          <w:p>
            <w:pPr>
              <w:pStyle w:val="Compact"/>
              <w:jc w:val="left"/>
            </w:pPr>
            <w:r>
              <w:rPr>
                <w:b w:val="0"/>
              </w:rPr>
              <w:t>55.67%</w:t>
            </w:r>
          </w:p>
        </w:tc>
        <w:tc>
          <w:tcPr>
            <w:tcW w:type="dxa" w:w="1262"/>
          </w:tcPr>
          <w:p>
            <w:pPr>
              <w:pStyle w:val="Compact"/>
              <w:jc w:val="center"/>
            </w:pPr>
            <w:r>
              <w:rPr>
                <w:b w:val="0"/>
              </w:rPr>
              <w:t>+3.28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50.22%</w:t>
            </w:r>
          </w:p>
        </w:tc>
        <w:tc>
          <w:tcPr>
            <w:tcW w:type="dxa" w:w="1262"/>
          </w:tcPr>
          <w:p>
            <w:pPr>
              <w:pStyle w:val="Compact"/>
              <w:jc w:val="left"/>
            </w:pPr>
            <w:r>
              <w:rPr>
                <w:b w:val="0"/>
              </w:rPr>
              <w:t>54.84%</w:t>
            </w:r>
          </w:p>
        </w:tc>
        <w:tc>
          <w:tcPr>
            <w:tcW w:type="dxa" w:w="1262"/>
          </w:tcPr>
          <w:p>
            <w:pPr>
              <w:pStyle w:val="Compact"/>
              <w:jc w:val="center"/>
            </w:pPr>
            <w:r>
              <w:rPr>
                <w:b w:val="0"/>
              </w:rPr>
              <w:t>+4.62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48.76%</w:t>
            </w:r>
          </w:p>
        </w:tc>
        <w:tc>
          <w:tcPr>
            <w:tcW w:type="dxa" w:w="1262"/>
          </w:tcPr>
          <w:p>
            <w:pPr>
              <w:pStyle w:val="Compact"/>
              <w:jc w:val="left"/>
            </w:pPr>
            <w:r>
              <w:rPr>
                <w:b w:val="0"/>
              </w:rPr>
              <w:t>50.75%</w:t>
            </w:r>
          </w:p>
        </w:tc>
        <w:tc>
          <w:tcPr>
            <w:tcW w:type="dxa" w:w="1262"/>
          </w:tcPr>
          <w:p>
            <w:pPr>
              <w:pStyle w:val="Compact"/>
              <w:jc w:val="center"/>
            </w:pPr>
            <w:r>
              <w:rPr>
                <w:b w:val="0"/>
              </w:rPr>
              <w:t>+1.99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48.21%</w:t>
            </w:r>
          </w:p>
        </w:tc>
        <w:tc>
          <w:tcPr>
            <w:tcW w:type="dxa" w:w="1262"/>
          </w:tcPr>
          <w:p>
            <w:pPr>
              <w:pStyle w:val="Compact"/>
              <w:jc w:val="left"/>
            </w:pPr>
            <w:r>
              <w:rPr>
                <w:b w:val="0"/>
              </w:rPr>
              <w:t>51.46%</w:t>
            </w:r>
          </w:p>
        </w:tc>
        <w:tc>
          <w:tcPr>
            <w:tcW w:type="dxa" w:w="1262"/>
          </w:tcPr>
          <w:p>
            <w:pPr>
              <w:pStyle w:val="Compact"/>
              <w:jc w:val="center"/>
            </w:pPr>
            <w:r>
              <w:rPr>
                <w:b w:val="0"/>
              </w:rPr>
              <w:t>+3.25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44.00%</w:t>
            </w:r>
          </w:p>
        </w:tc>
        <w:tc>
          <w:tcPr>
            <w:tcW w:type="dxa" w:w="1262"/>
          </w:tcPr>
          <w:p>
            <w:pPr>
              <w:pStyle w:val="Compact"/>
              <w:jc w:val="left"/>
            </w:pPr>
            <w:r>
              <w:rPr>
                <w:b w:val="0"/>
              </w:rPr>
              <w:t>51.36%</w:t>
            </w:r>
          </w:p>
        </w:tc>
        <w:tc>
          <w:tcPr>
            <w:tcW w:type="dxa" w:w="1262"/>
          </w:tcPr>
          <w:p>
            <w:pPr>
              <w:pStyle w:val="Compact"/>
              <w:jc w:val="center"/>
            </w:pPr>
            <w:r>
              <w:rPr>
                <w:b w:val="0"/>
              </w:rPr>
              <w:t>+7.36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43.38%</w:t>
            </w:r>
          </w:p>
        </w:tc>
        <w:tc>
          <w:tcPr>
            <w:tcW w:type="dxa" w:w="1262"/>
          </w:tcPr>
          <w:p>
            <w:pPr>
              <w:pStyle w:val="Compact"/>
              <w:jc w:val="left"/>
            </w:pPr>
            <w:r>
              <w:rPr>
                <w:b w:val="0"/>
              </w:rPr>
              <w:t>45.76%</w:t>
            </w:r>
          </w:p>
        </w:tc>
        <w:tc>
          <w:tcPr>
            <w:tcW w:type="dxa" w:w="1262"/>
          </w:tcPr>
          <w:p>
            <w:pPr>
              <w:pStyle w:val="Compact"/>
              <w:jc w:val="center"/>
            </w:pPr>
            <w:r>
              <w:rPr>
                <w:b w:val="0"/>
              </w:rPr>
              <w:t>+2.37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36.11%</w:t>
            </w:r>
          </w:p>
        </w:tc>
        <w:tc>
          <w:tcPr>
            <w:tcW w:type="dxa" w:w="1262"/>
          </w:tcPr>
          <w:p>
            <w:pPr>
              <w:pStyle w:val="Compact"/>
              <w:jc w:val="left"/>
            </w:pPr>
            <w:r>
              <w:rPr>
                <w:b w:val="0"/>
              </w:rPr>
              <w:t>46.93%</w:t>
            </w:r>
          </w:p>
        </w:tc>
        <w:tc>
          <w:tcPr>
            <w:tcW w:type="dxa" w:w="1262"/>
          </w:tcPr>
          <w:p>
            <w:pPr>
              <w:pStyle w:val="Compact"/>
              <w:jc w:val="center"/>
            </w:pPr>
            <w:r>
              <w:rPr>
                <w:b/>
              </w:rPr>
              <w:t>+10.82 pp</w:t>
            </w:r>
          </w:p>
        </w:tc>
        <w:tc>
          <w:tcPr>
            <w:tcW w:type="dxa" w:w="2106"/>
          </w:tcPr>
          <w:p>
            <w:pPr>
              <w:pStyle w:val="Compact"/>
              <w:jc w:val="center"/>
            </w:pPr>
            <w:r>
              <w:rPr>
                <w:b w:val="0"/>
              </w:rPr>
              <w:t>sí (p=0.007)</w:t>
            </w:r>
          </w:p>
        </w:tc>
      </w:tr>
      <w:tr>
        <w:tc>
          <w:tcPr>
            <w:tcW w:type="dxa" w:w="2665"/>
          </w:tcPr>
          <w:p>
            <w:pPr>
              <w:pStyle w:val="Compact"/>
              <w:jc w:val="left"/>
            </w:pPr>
            <w:r>
              <w:rPr>
                <w:b w:val="0"/>
              </w:rPr>
              <w:t>deepseek-r1:1.5b</w:t>
            </w:r>
          </w:p>
        </w:tc>
        <w:tc>
          <w:tcPr>
            <w:tcW w:type="dxa" w:w="1543"/>
          </w:tcPr>
          <w:p>
            <w:pPr>
              <w:pStyle w:val="Compact"/>
              <w:jc w:val="left"/>
            </w:pPr>
            <w:r>
              <w:rPr>
                <w:b w:val="0"/>
              </w:rPr>
              <w:t>24.83%</w:t>
            </w:r>
          </w:p>
        </w:tc>
        <w:tc>
          <w:tcPr>
            <w:tcW w:type="dxa" w:w="1262"/>
          </w:tcPr>
          <w:p>
            <w:pPr>
              <w:pStyle w:val="Compact"/>
              <w:jc w:val="left"/>
            </w:pPr>
            <w:r>
              <w:rPr>
                <w:b w:val="0"/>
              </w:rPr>
              <w:t>23.94%</w:t>
            </w:r>
          </w:p>
        </w:tc>
        <w:tc>
          <w:tcPr>
            <w:tcW w:type="dxa" w:w="1262"/>
          </w:tcPr>
          <w:p>
            <w:pPr>
              <w:pStyle w:val="Compact"/>
              <w:jc w:val="center"/>
            </w:pPr>
            <w:r>
              <w:rPr>
                <w:b w:val="0"/>
              </w:rPr>
              <w:t>−0.90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22.59%</w:t>
            </w:r>
          </w:p>
        </w:tc>
        <w:tc>
          <w:tcPr>
            <w:tcW w:type="dxa" w:w="1262"/>
          </w:tcPr>
          <w:p>
            <w:pPr>
              <w:pStyle w:val="Compact"/>
              <w:jc w:val="left"/>
            </w:pPr>
            <w:r>
              <w:rPr>
                <w:b w:val="0"/>
              </w:rPr>
              <w:t>37.12%</w:t>
            </w:r>
          </w:p>
        </w:tc>
        <w:tc>
          <w:tcPr>
            <w:tcW w:type="dxa" w:w="1262"/>
          </w:tcPr>
          <w:p>
            <w:pPr>
              <w:pStyle w:val="Compact"/>
              <w:jc w:val="center"/>
            </w:pPr>
            <w:r>
              <w:rPr>
                <w:b/>
              </w:rPr>
              <w:t>+14.52 pp</w:t>
            </w:r>
          </w:p>
        </w:tc>
        <w:tc>
          <w:tcPr>
            <w:tcW w:type="dxa" w:w="2106"/>
          </w:tcPr>
          <w:p>
            <w:pPr>
              <w:pStyle w:val="Compact"/>
              <w:jc w:val="center"/>
            </w:pPr>
            <w:r>
              <w:rPr>
                <w:b w:val="0"/>
              </w:rPr>
              <w:t>sí (p&lt;0.001)</w:t>
            </w:r>
          </w:p>
        </w:tc>
      </w:tr>
    </w:tbl>
    <w:p>
      <w:pPr>
        <w:numPr>
          <w:ilvl w:val="0"/>
          <w:numId w:val="0"/>
        </w:numPr>
        <w:pStyle w:val="BodyText"/>
      </w:pPr>
      <w:r>
        <w:rPr>
          <w:b/>
        </w:rPr>
        <w:t>Limitación del corpus N=120 — codificación defectuosa de los nombres.</w:t>
      </w:r>
      <w:r>
        <w:t xml:space="preserve"> El corpus </w:t>
      </w:r>
      <w:r>
        <w:t>data/benchmark_balanced_120.json</w:t>
      </w:r>
      <w:r>
        <w:t xml:space="preserve"> almacena los nombres con </w:t>
      </w:r>
      <w:r>
        <w:rPr>
          <w:i/>
        </w:rPr>
        <w:t>mojibake</w:t>
      </w:r>
      <w:r>
        <w:t xml:space="preserve"> (bytes UTF-8 reinterpretados como Latin-1): guarda </w:t>
      </w:r>
      <w:r>
        <w:t>JosÃ© Bono</w:t>
      </w:r>
      <w:r>
        <w:t xml:space="preserve">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+0.025</w:t>
      </w:r>
      <w:r>
        <w:t xml:space="preserve"> según el modelo. Los corpus N=15 y N=30 están </w:t>
      </w:r>
      <w:r>
        <w:rPr>
          <w:b/>
        </w:rPr>
        <w:t>libres de este defecto</w:t>
      </w:r>
      <w:r>
        <w:t xml:space="preserve"> (0 entidades afectadas), por lo que §5.1, §5.2 y §5.3 no se ven comprometidos. La corrección adecuada —normalizar la codificación </w:t>
      </w:r>
      <w:r>
        <w:rPr>
          <w:b/>
        </w:rPr>
        <w:t>en ambos lados</w:t>
      </w:r>
      <w:r>
        <w:t xml:space="preserve"> de la comparación— exige volver a inferir, ya que las extracciones por registro no se conservaron.</w:t>
      </w:r>
    </w:p>
    <w:p>
      <w:pPr>
        <w:numPr>
          <w:ilvl w:val="0"/>
          <w:numId w:val="0"/>
        </w:numPr>
        <w:pStyle w:val="BodyText"/>
      </w:pPr>
      <w:r>
        <w:rPr>
          <w:b/>
        </w:rPr>
        <w:t>Dos salvedades de procedencia.</w:t>
      </w:r>
      <w:r>
        <w:t xml:space="preserve"> (i)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(114 de sus 240 filas registran exactamente 1,02 s). Su F1 es válido; su latencia y sus tokens/s no deben usarse en comparaciones de eficiencia. (ii) Siete filas de </w:t>
      </w:r>
      <w:r>
        <w:t>nemotron-mini:4b</w:t>
      </w:r>
      <w:r>
        <w:t xml:space="preserve"> tienen </w:t>
      </w:r>
      <w:r>
        <w:t>latencia = 0</w:t>
      </w:r>
      <w:r>
        <w:t xml:space="preserve"> y </w:t>
      </w:r>
      <w:r>
        <w:t>0 tokens/s</w:t>
      </w:r>
      <w:r>
        <w:t xml:space="preserve"> porque se re-extrajeron fuera del arnés de lotes tras un fallo de contexto; sus valores de precisión, </w:t>
      </w:r>
      <w:r>
        <w:rPr>
          <w:i/>
        </w:rPr>
        <w:t>recall</w:t>
      </w:r>
      <w:r>
        <w:t xml:space="preserve"> y F1 son reales, pero su telemetría no existe.</w:t>
      </w:r>
    </w:p>
    <w:p>
      <w:pPr>
        <w:numPr>
          <w:ilvl w:val="0"/>
          <w:numId w:val="0"/>
        </w:numPr>
        <w:pStyle w:val="Normal"/>
      </w:pPr>
      <w:r>
        <w:t xml:space="preserve">El ANOVA de una vía sobre los veintiséis grupos arroja </w:t>
      </w:r>
      <w:r>
        <w:rPr>
          <w:b/>
        </w:rPr>
        <w:t>F = 38,2222</w:t>
      </w:r>
      <w:r>
        <w:t xml:space="preserve"> con p = 3,4453 × 10⁻¹⁶⁰, de modo que se rechaza la hipótesis nula: las diferencias de desempeño entre modelos y modos son estadísticamente significativas, con una potencia muy superior a la del corpus del dominio, donde la comparación entre las dos compilaciones de 31B no alcanzaba significancia. El post-hoc de Tukey identifica 158 comparaciones significativas de las 325 posibles; pero al contrastar cada modelo consigo mismo (extracción directa frente a KB RAG) la mejora solo supera la corrección por comparaciones múltiples en </w:t>
      </w:r>
      <w:r>
        <w:t>nemotron-mini:4b</w:t>
      </w:r>
      <w:r>
        <w:t xml:space="preserve">, con 14,52 puntos, y en </w:t>
      </w:r>
      <w:r>
        <w:t>llama3.2:latest</w:t>
      </w:r>
      <w:r>
        <w:t>, con 10,82. Conviene declarar una limitación del contraste: los veintiséis grupos evalúan los mismos 120 artículos, de modo que las observaciones están apareadas y un modelo de medidas repetidas sería el procedimiento estrictamente correcto. La homocedasticidad se verifica (Levene, p = 0,18) y, al ser el diseño pareado más potente que el independiente, la significancia obtenida por esta vía es conservadora.</w:t>
      </w:r>
    </w:p>
    <w:p>
      <w:pPr>
        <w:numPr>
          <w:ilvl w:val="0"/>
          <w:numId w:val="0"/>
        </w:numPr>
        <w:pStyle w:val="Normal"/>
      </w:pPr>
      <w:r>
        <w:t>Ese resultado dibuja el hallazgo central del estudio: el beneficio del KB RAG es inversamente proporcional a la capacidad del modelo. Aporta de forma demostrable en los dos modelos más débiles, es positivo pero no concluyente en la franja intermedia y se anula o revierte en los de mayor capacidad (−0,54 y −0,18 puntos en los dos de 31B), que ya siguen correctamente las instrucciones sin contexto adicional. Nueve de los trece modelos mejoran, aunque solo dos lo hagan de manera estadísticamente sólida.</w:t>
      </w:r>
    </w:p>
    <w:p>
      <w:pPr>
        <w:numPr>
          <w:ilvl w:val="0"/>
          <w:numId w:val="0"/>
        </w:numPr>
        <w:pStyle w:val="Normal"/>
      </w:pPr>
      <w:r>
        <w:t>Lectura conjunta con el corpus N=30 (§5.3):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w:t>
      </w:r>
    </w:p>
    <w:p>
      <w:pPr>
        <w:numPr>
          <w:ilvl w:val="0"/>
          <w:numId w:val="0"/>
        </w:numPr>
        <w:pStyle w:val="BodyText"/>
      </w:pPr>
      <w:r>
        <w:t xml:space="preserve">El análisis cualitativo de las extracciones revela tres patrones de error recurrentes. Los </w:t>
      </w:r>
      <w:r>
        <w:rPr>
          <w:b/>
        </w:rPr>
        <w:t>errores de límite</w:t>
      </w:r>
      <w:r>
        <w:t xml:space="preserve"> son los más frecuentes: el modelo incorpora al nombre preposiciones o aposiciones descriptivas, y extrae «Isabel dos Santos, hija del expresidente» donde la referencia registra solo «Isabel dos Santos». El cotejo difuso descrito en §4.4 absorbe buena parte de estos casos, que rara vez alteran la identificación de la entidad. La </w:t>
      </w:r>
      <w:r>
        <w:rPr>
          <w:b/>
        </w:rPr>
        <w:t>confusión de tipo</w:t>
      </w:r>
      <w:r>
        <w:t xml:space="preserve"> aparece cuando una organización se clasifica como localización («Sonangol», la petrolera estatal angoleña según el propio artículo del corpus, etiquetada como lugar), error más costoso porque desplaza la entidad de la categoría en que un analista de cumplimiento la buscaría. Las </w:t>
      </w:r>
      <w:r>
        <w:rPr>
          <w:b/>
        </w:rPr>
        <w:t>alucinaciones extrínsecas</w:t>
      </w:r>
      <w:r>
        <w:t xml:space="preserve">, en las que el modelo propone entidades procedentes de su memoria paramétrica y ausentes del texto, resultaron ser el problema menos extendido: la instrucción de restringir la extracción al artículo presente las mantiene por debajo del 1 % en los modelos de mayor capacidad, aunque superan el 13 % en </w:t>
      </w:r>
      <w:r>
        <w:t>deepseek-r1:1.5b</w:t>
      </w:r>
      <w:r>
        <w:t>.</w:t>
      </w:r>
    </w:p>
    <w:p>
      <w:pPr>
        <w:numPr>
          <w:ilvl w:val="0"/>
          <w:numId w:val="0"/>
        </w:numPr>
        <w:pStyle w:val="Heading2"/>
      </w:pPr>
      <w:r>
        <w:t>5.5 Análisis de Eficiencia en Hardware Soberano</w:t>
      </w:r>
    </w:p>
    <w:p>
      <w:pPr>
        <w:numPr>
          <w:ilvl w:val="0"/>
          <w:numId w:val="0"/>
        </w:numPr>
        <w:pStyle w:val="TableCaption"/>
      </w:pPr>
      <w:r>
        <w:t>Tabla 8. Eficiencia en hardware soberano: memoria, rendimiento y coste estimado por artículo.</w:t>
      </w:r>
    </w:p>
    <w:tbl>
      <w:tblPr>
        <w:tblStyle w:val="Table"/>
        <w:tblW w:type="pct" w:w="5000.0"/>
        <w:tblLook w:firstRow="1"/>
      </w:tblPr>
      <w:tblGrid>
        <w:gridCol w:w="1753"/>
        <w:gridCol w:w="1127"/>
        <w:gridCol w:w="900"/>
        <w:gridCol w:w="1753"/>
        <w:gridCol w:w="1753"/>
        <w:gridCol w:w="1552"/>
      </w:tblGrid>
      <w:tr>
        <w:trPr>
          <w:cnfStyle w:firstRow="1"/>
        </w:trPr>
        <w:tc>
          <w:tcPr>
            <w:tcW w:type="dxa" w:w="1753"/>
            <w:tcBorders>
              <w:bottom w:val="single"/>
            </w:tcBorders>
            <w:vAlign w:val="bottom"/>
          </w:tcPr>
          <w:p>
            <w:pPr>
              <w:pStyle w:val="Compact"/>
              <w:jc w:val="left"/>
            </w:pPr>
            <w:r>
              <w:rPr>
                <w:b/>
              </w:rPr>
              <w:t>Modelo</w:t>
            </w:r>
          </w:p>
        </w:tc>
        <w:tc>
          <w:tcPr>
            <w:tcW w:type="dxa" w:w="1127"/>
            <w:tcBorders>
              <w:bottom w:val="single"/>
            </w:tcBorders>
            <w:vAlign w:val="bottom"/>
          </w:tcPr>
          <w:p>
            <w:pPr>
              <w:pStyle w:val="Compact"/>
              <w:jc w:val="left"/>
            </w:pPr>
            <w:r>
              <w:rPr>
                <w:b/>
              </w:rPr>
              <w:t>VRAM (MB)</w:t>
            </w:r>
          </w:p>
        </w:tc>
        <w:tc>
          <w:tcPr>
            <w:tcW w:type="dxa" w:w="900"/>
            <w:tcBorders>
              <w:bottom w:val="single"/>
            </w:tcBorders>
            <w:vAlign w:val="bottom"/>
          </w:tcPr>
          <w:p>
            <w:pPr>
              <w:pStyle w:val="Compact"/>
              <w:jc w:val="left"/>
            </w:pPr>
            <w:r>
              <w:rPr>
                <w:b/>
              </w:rPr>
              <w:t>Tok/s</w:t>
            </w:r>
          </w:p>
        </w:tc>
        <w:tc>
          <w:tcPr>
            <w:tcW w:type="dxa" w:w="1753"/>
            <w:tcBorders>
              <w:bottom w:val="single"/>
            </w:tcBorders>
            <w:vAlign w:val="bottom"/>
          </w:tcPr>
          <w:p>
            <w:pPr>
              <w:pStyle w:val="Compact"/>
              <w:jc w:val="center"/>
            </w:pPr>
            <w:r>
              <w:rPr>
                <w:b/>
              </w:rPr>
              <w:t>Parámetros (B)</w:t>
            </w:r>
          </w:p>
        </w:tc>
        <w:tc>
          <w:tcPr>
            <w:tcW w:type="dxa" w:w="1753"/>
            <w:tcBorders>
              <w:bottom w:val="single"/>
            </w:tcBorders>
            <w:vAlign w:val="bottom"/>
          </w:tcPr>
          <w:p>
            <w:pPr>
              <w:pStyle w:val="Compact"/>
              <w:jc w:val="center"/>
            </w:pPr>
            <w:r>
              <w:rPr>
                <w:b/>
              </w:rPr>
              <w:t>Índice Tok/s/B</w:t>
            </w:r>
          </w:p>
        </w:tc>
        <w:tc>
          <w:tcPr>
            <w:tcW w:type="dxa" w:w="1552"/>
            <w:tcBorders>
              <w:bottom w:val="single"/>
            </w:tcBorders>
            <w:vAlign w:val="bottom"/>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900"/>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552"/>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900"/>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552"/>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900"/>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26.5</w:t>
            </w:r>
          </w:p>
        </w:tc>
        <w:tc>
          <w:tcPr>
            <w:tcW w:type="dxa" w:w="1552"/>
          </w:tcPr>
          <w:p>
            <w:pPr>
              <w:pStyle w:val="Compact"/>
              <w:jc w:val="left"/>
            </w:pPr>
            <w:r>
              <w:rPr>
                <w:b w:val="0"/>
              </w:rPr>
              <w:t>$0.052</w:t>
            </w:r>
          </w:p>
        </w:tc>
      </w:tr>
    </w:tbl>
    <w:p>
      <w:pPr>
        <w:numPr>
          <w:ilvl w:val="0"/>
          <w:numId w:val="0"/>
        </w:numPr>
        <w:pStyle w:val="BodyText"/>
      </w:pPr>
      <w:r>
        <w:t xml:space="preserve">Valores medidos sobre </w:t>
      </w:r>
      <w:r>
        <w:t>benchmark_results.csv</w:t>
      </w:r>
      <w:r>
        <w:t xml:space="preserve"> (subconjunto </w:t>
      </w:r>
      <w:r>
        <w:t>_baseline</w:t>
      </w:r>
      <w:r>
        <w:t xml:space="preserve">, N=15; columnas </w:t>
      </w:r>
      <w:r>
        <w:t>vram_mb</w:t>
      </w:r>
      <w:r>
        <w:t xml:space="preserve"> y </w:t>
      </w:r>
      <w:r>
        <w:t>tokens_per_sec</w:t>
      </w:r>
      <w:r>
        <w:t xml:space="preserve">), salvo la fila de </w:t>
      </w:r>
      <w:r>
        <w:t>gemma4:31b</w:t>
      </w:r>
      <w:r>
        <w:t xml:space="preserve">, medida sobre </w:t>
      </w:r>
      <w:r>
        <w:t>results/gemma4_31b_n15_REMOTO/benchmark_results.csv</w:t>
      </w:r>
      <w:r>
        <w:t xml:space="preserve"> (equipo de 48 GB).</w:t>
      </w:r>
    </w:p>
    <w:p>
      <w:pPr>
        <w:numPr>
          <w:ilvl w:val="0"/>
          <w:numId w:val="0"/>
        </w:numPr>
        <w:pStyle w:val="Normal"/>
      </w:pPr>
      <w:r>
        <w:t xml:space="preserve">El coste por artículo de la columna final merece una precisión, porque es idéntico en las tres filas y eso podría inducir a error: no mide el coste de cómputo de cada modelo, sino el coste amortizado de la infraestructura. Se </w:t>
      </w:r>
      <w:r>
        <w:rPr>
          <w:b/>
        </w:rPr>
        <w:t>estima</w:t>
      </w:r>
      <w:r>
        <w:t xml:space="preserve"> a partir de la amortización del equipo a un año, unos USD 0,050 por artículo procesado, más el consumo eléctrico, unos USD 0,002. Conviene subrayar que todas las cifras económicas de esta sección son estimaciones, no mediciones: dependen del precio del equipo, de su vida útil, de la tarifa eléctrica y del volumen realmente procesado, parámetros que varían con cada despliegue. Al tratarse de un coste de capital repartido entre el volumen procesado, no varía con el modelo elegido; lo que sí varía es cuántos artículos permite procesar ese mismo hardware en el mismo tiempo, y de eso da cuenta el índice Tok/s/B.</w:t>
      </w:r>
    </w:p>
    <w:p>
      <w:pPr>
        <w:numPr>
          <w:ilvl w:val="0"/>
          <w:numId w:val="0"/>
        </w:numPr>
        <w:pStyle w:val="Normal"/>
      </w:pPr>
      <w:r>
        <w:t xml:space="preserve">Frente a esos USD 0,052, la revisión manual cuesta unos USD 8,75 por artículo, cifra que resulta de valorar el tiempo de un analista de cumplimiento en USD 35 por hora y estimar en quince minutos la revisión de cada noticia, ambos parámetros tomados de la observación interna del proceso vigente en Austranet y no de una fuente publicada. La comparación, igualmente estimada, arroja una reducción del </w:t>
      </w:r>
      <w:r>
        <w:rPr>
          <w:b/>
        </w:rPr>
        <w:t>99,4 %</w:t>
      </w:r>
      <w:r>
        <w:t xml:space="preserve"> en coste unitario, si bien conviene leerla con cautela: el sistema automatizado no sustituye al analista, sino que le entrega una preselección que aún debe validar, de modo que el ahorro real depende de cuánto reduzca el volumen que llega a revisión humana.</w:t>
      </w:r>
    </w:p>
    <w:p>
      <w:pPr>
        <w:numPr>
          <w:ilvl w:val="0"/>
          <w:numId w:val="0"/>
        </w:numPr>
        <w:pStyle w:val="Heading2"/>
      </w:pPr>
      <w:r>
        <w:t>5.6 De los diccionarios de entidades a la base de conocimientos contextual</w:t>
      </w:r>
    </w:p>
    <w:p>
      <w:pPr>
        <w:numPr>
          <w:ilvl w:val="0"/>
          <w:numId w:val="0"/>
        </w:numPr>
        <w:pStyle w:val="BodyText"/>
      </w:pPr>
      <w:r>
        <w:t xml:space="preserve">La primera versión del módulo de recuperación indexaba </w:t>
      </w:r>
      <w:r>
        <w:rPr>
          <w:b/>
        </w:rPr>
        <w:t>nombres de entidades</w:t>
      </w:r>
      <w:r>
        <w:t xml:space="preserve"> —3 605 personas y 1 848 organizaciones de las listas de sanciones de OpenSanctions [19], más 12 000 nombres personales sintéticos de aumento: 17 453 documentos en total— y anteponía al </w:t>
      </w:r>
      <w:r>
        <w:rPr>
          <w:i/>
        </w:rPr>
        <w:t>prompt</w:t>
      </w:r>
      <w:r>
        <w:t xml:space="preserve"> los más próximos al artículo según similitud vectorial. El resultado fue el contrario del esperado: sobre el corpus N=120, doce de los catorce modelos con par completo de resultados empeoraron al activarlo (los quince solicitados menos </w:t>
      </w:r>
      <w:r>
        <w:t>gpt-oss:20b</w:t>
      </w:r>
      <w:r>
        <w:t>, que no llegó a ejecutarse), y entre ellos los de mejor desempeño base; solo mejoraron los dos servidos en la nube.</w:t>
      </w:r>
    </w:p>
    <w:p>
      <w:pPr>
        <w:numPr>
          <w:ilvl w:val="0"/>
          <w:numId w:val="0"/>
        </w:numPr>
        <w:pStyle w:val="Normal"/>
      </w:pPr>
      <w:r>
        <w:t xml:space="preserve">El diagnóstico apunta a un </w:t>
      </w:r>
      <w:r>
        <w:rPr>
          <w:b/>
        </w:rPr>
        <w:t>desajuste semántico estructural</w:t>
      </w:r>
      <w:r>
        <w:t>. La consulta es un artículo completo de varios centenares de palabras y los documentos indexados son cadenas nominales de dos o tres términos, de modo que la similitud coseno entre ambos carece de significado: para una noticia política española, el sistema recuperaba razones sociales colombianas sin relación alguna con el texto. A ello se sumaba la formulación restrictiva de la plantilla de inyección («no extraigas entidades salvo que aparezcan explícitamente»), que ante un contexto irrelevante inhibía la extracción en lugar de orientarla. Recuperar nombres, en definitiva, sugiere al modelo qué esperar y lo penaliza cuando lo sugerido no viene al caso.</w:t>
      </w:r>
    </w:p>
    <w:p>
      <w:pPr>
        <w:numPr>
          <w:ilvl w:val="0"/>
          <w:numId w:val="0"/>
        </w:numPr>
        <w:pStyle w:val="Normal"/>
      </w:pPr>
      <w:r>
        <w:t xml:space="preserve">La segunda versión invierte la naturaleza de lo recuperado. En lugar de entidades, la base de conocimientos almacena </w:t>
      </w:r>
      <w:r>
        <w:rPr>
          <w:b/>
        </w:rPr>
        <w:t>criterios</w:t>
      </w:r>
      <w:r>
        <w:t xml:space="preserve">: guías tipológicas por dominio (sanciones financieras, política, empresas, lo judicial y lo deportivo) que describen qué constituye una persona o una organización en cada contexto, junto con ejemplares anotados que fijan el formato de salida. La recuperación deja de responder a «qué entidades hay en este texto» para responder a «de qué dominio es este texto y qué reglas se le aplican», pregunta que un modelo de lenguaje resuelve con fiabilidad mucho mayor. El módulo expone cuatro modos seleccionables por línea de órdenes (recuperación por entidades, solo guías, solo ejemplares y la combinación de ambos), de manera que la versión anterior permanece disponible como línea base y la comparación entre estrategias no exige modificar el código. El detalle de implementación, el catálogo de guías y los ejemplares figuran en el </w:t>
      </w:r>
      <w:r>
        <w:rPr>
          <w:b/>
        </w:rPr>
        <w:t>Anexo D</w:t>
      </w:r>
      <w:r>
        <w:t>.</w:t>
      </w:r>
    </w:p>
    <w:p>
      <w:pPr>
        <w:numPr>
          <w:ilvl w:val="0"/>
          <w:numId w:val="0"/>
        </w:numPr>
        <w:pStyle w:val="Normal"/>
      </w:pPr>
      <w:r>
        <w:t>Los resultados de esta segunda versión sobre el corpus completo se recogen en la tabla de §5.3.5, que compara los trece modelos del estudio en ambos modos. Su lectura confirma que el cambio de estrategia revierte la degradación (nueve de los trece modelos mejoran) y revela un patrón que la primera versión no permitía observar: el beneficio decrece conforme aumenta la capacidad del modelo, hasta anularse en los de mayor tamaño. La interpretación de ese patrón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BodyText"/>
      </w:pPr>
      <w:r>
        <w:t>La hipótesis fijaba un F1 igual o superior al 70 % como umbral de viabilidad. El umbral se alcanza sobre el corpus del dominio —</w:t>
      </w:r>
      <w:r>
        <w:t>gemma4:31b-mlx</w:t>
      </w:r>
      <w:r>
        <w:t xml:space="preserve"> obtiene 80,57 % con intervalo de confianza al 95 % de [74,22 %, 86,92 %] y ninguna extracción fallida sobre N=30— y no se alcanza sobre el corpus periodístico general, cuyo mejor resultado local es 59,25 % (</w:t>
      </w:r>
      <w:r>
        <w:t>gemma4:31b-mlx</w:t>
      </w:r>
      <w:r>
        <w:t>) sobre N=120. La hipótesis queda por tanto confirmada para el dominio específico de sanciones financieras y no confirmada para corpus periodísticos heterogéneos. La brecha de unos veinte puntos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Normal"/>
      </w:pPr>
      <w:r>
        <w:t xml:space="preserve">Tres factores explican la distribución de resultados observada. El primero es el idioma del prompt y de sus ejemplos. Redactar ambos en español aporta 10,40 puntos de F1 sin cambiar de modelo, mejora que ninguno de los dos factores consigue por separado: traducir solo el prompt aporta 4,38 puntos y añadir ejemplos en inglés resta 0,72. La interpretación de esa interacción exige cuidado, porque la que sugiere la intuición no se sostiene: el corpus sobre el que se midió está redactado </w:t>
      </w:r>
      <w:r>
        <w:rPr>
          <w:b/>
        </w:rPr>
        <w:t>en inglés</w:t>
      </w:r>
      <w:r>
        <w:t xml:space="preserve">, de modo que la instrucción en español no puede estar ayudando al modelo a leer el texto. Lo que sí caracteriza a ese corpus es una minoría de entidades ibéricas, doce de sus ochenta y cuatro personas, procedentes en su mayoría de un caso de corrupción angoleño y por tanto de grafía portuguesa: </w:t>
      </w:r>
      <w:r>
        <w:t>Isabel dos Santos</w:t>
      </w:r>
      <w:r>
        <w:t xml:space="preserve">, </w:t>
      </w:r>
      <w:r>
        <w:t>José Eduardo dos Santos</w:t>
      </w:r>
      <w:r>
        <w:t xml:space="preserve">, </w:t>
      </w:r>
      <w:r>
        <w:t>Hélder Pitta Grós</w:t>
      </w:r>
      <w:r>
        <w:t xml:space="preserve"> o </w:t>
      </w:r>
      <w:r>
        <w:t>Mario Leite da Silva</w:t>
      </w:r>
      <w:r>
        <w:t>. Son nombres con partículas y acentos cuya delimitación es precisamente donde un tokenizador anglocéntrico falla, partiendo la entidad en dos, y donde una instrucción en español orienta mejor al modelo, en línea con el sobrecoste de tokenización documentado para lenguas distintas del inglés [11]. La explicación es entonces más estrecha que la que se suponía, y predice un efecto proporcional a esa minoría, no una mejora general; predicción compatible con que la corrida que replica el experimento arroje 3,11 puntos y no 10,40, y con que el efecto se anule sobre el corpus mayor por la razón que se expone a continuación.</w:t>
      </w:r>
    </w:p>
    <w:p>
      <w:pPr>
        <w:numPr>
          <w:ilvl w:val="0"/>
          <w:numId w:val="0"/>
        </w:numPr>
        <w:pStyle w:val="Normal"/>
      </w:pPr>
      <w:r>
        <w:t xml:space="preserve">El segundo factor es el compromiso entre tamaño y eficiencia.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Normal"/>
      </w:pPr>
      <w:r>
        <w:t>El tercer factor es la equivalencia entre ejecución local y en la nube. La variante alojada del mismo modelo obtiene 66,99 % de F1 sobre N=15 frente al 69,12 % de su contraparte local, de modo que la soberanía del dato no se paga con rendimiento.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BodyText"/>
      </w:pPr>
      <w:r>
        <w:t>El resultado de mayor alcance metodológico no es el desempeño de ningún modelo concreto sino la comparación entre dos formas de aumentar la generación con información recuperada.</w:t>
      </w:r>
    </w:p>
    <w:p>
      <w:pPr>
        <w:numPr>
          <w:ilvl w:val="0"/>
          <w:numId w:val="0"/>
        </w:numPr>
        <w:pStyle w:val="Normal"/>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y ahí reside el hallazgo: su efectividad está modulada por la capacidad del modelo receptor.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Normal"/>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Normal"/>
      </w:pPr>
      <w:r>
        <w:t>De ahí se sigue tanto la explicación del fracaso de la primera versión como una recomendación práctica. El problema del RAG por diccionario no estaba en el concepto de recuperación sino en la naturaleza de lo recuperado: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BodyText"/>
      </w:pPr>
      <w:r>
        <w:rPr>
          <w:b/>
        </w:rPr>
        <w:t>Viabilidad demostrada:</w:t>
      </w:r>
      <w:r>
        <w:t xml:space="preserve"> Es técnicamente viable implementar un sistema NER soberano para cumplimiento AML/KYC con modelos de lenguaje de código abierto ejecutados localmente sobre hardware Apple Silicon M4, alcanzando, con la medición restringida a las categorías que el corpus anota, </w:t>
      </w:r>
      <w:r>
        <w:rPr>
          <w:b/>
        </w:rPr>
        <w:t xml:space="preserve">76,55 % de F1 sobre el corpus periodístico de ciento veinte artículos</w:t>
      </w:r>
      <w:r>
        <w:t xml:space="preserve"> —de los que 105 están en español— y </w:t>
      </w:r>
      <w:r>
        <w:rPr>
          <w:b/>
        </w:rPr>
        <w:t xml:space="preserve">90,16 % sobre el corpus del dominio de treinta artículos</w:t>
      </w:r>
      <w:r>
        <w:t>, que está redactado en inglés. Bajo la convención original, que puntúa también una categoría sin anotar, las cifras equivalentes son 62,67 % y 80,51 %. En ninguno de los dos corpus se registraron extracciones fallidas.</w:t>
      </w:r>
    </w:p>
    <w:p>
      <w:pPr>
        <w:numPr>
          <w:ilvl w:val="0"/>
          <w:numId w:val="0"/>
        </w:numPr>
        <w:pStyle w:val="BodyText"/>
      </w:pPr>
      <w:r>
        <w:t xml:space="preserve">Localización lingüística como tendencia no replicada: sobre el corpus de quince artículos, el idioma de la instrucción y el de los ejemplos </w:t>
      </w:r>
      <w:r>
        <w:rPr>
          <w:i/>
        </w:rPr>
        <w:t>few-shot</w:t>
      </w:r>
      <w:r>
        <w:t xml:space="preserve"> parecen </w:t>
      </w:r>
      <w:r>
        <w:rPr>
          <w:b/>
        </w:rPr>
        <w:t>interactuar</w:t>
      </w:r>
      <w:r>
        <w:t xml:space="preserve">, pues por separado aportan +4,38 y −0,72 puntos de F1 mientras combinados alcanzan +10,40. El efecto, sin embargo, </w:t>
      </w:r>
      <w:r>
        <w:rPr>
          <w:b/>
        </w:rPr>
        <w:t>no replica</w:t>
      </w:r>
      <w:r>
        <w:t>: una segunda ejecución sobre el mismo corpus y modelo lo reduce a +3,11 puntos, y sobre el corpus de ciento veinte artículos se anula, con una diferencia de −0,43 puntos y p = 0,9328. La conclusión defendible es por tanto más débil de lo que sugería la primera medición, y además el mecanismo que se le atribuía —que los ejemplos rinden en el idioma del corpus— no puede ser el correcto, porque la mejora se obtuvo sobre artículos redactados en inglés. Determinarlo exige el diseño con réplicas que se propone en §7.2.</w:t>
      </w:r>
    </w:p>
    <w:p>
      <w:pPr>
        <w:numPr>
          <w:ilvl w:val="0"/>
          <w:numId w:val="0"/>
        </w:numPr>
        <w:pStyle w:val="BodyText"/>
      </w:pPr>
      <w:r>
        <w:t xml:space="preserve">Soberanía de datos con un coste de rendimiento acotado: sobre el corpus de quince artículos la ejecución local supera a la alojada (69,12 % frente a 66,99 % de F1), pero ese experimento es el de menor potencia estadística y el estudio principal lo contradice: sobre los ciento veinte artículos, y con la medición restringida a las categorías anotadas, la variante en la nube del mismo modelo obtiene 80,42 % frente al 76,55 % del mejor local. La conclusión sostenible no es la equivalencia sino que </w:t>
      </w:r>
      <w:r>
        <w:rPr>
          <w:b/>
        </w:rPr>
        <w:t>la soberanía cuesta unos cinco puntos de F1</w:t>
      </w:r>
      <w:r>
        <w:t>, un precio que en un entorno regulado puede resultar razonable, y que se paga a cambio de no transferir texto de clientes a un tercero.</w:t>
      </w:r>
    </w:p>
    <w:p>
      <w:pPr>
        <w:numPr>
          <w:ilvl w:val="0"/>
          <w:numId w:val="0"/>
        </w:numPr>
        <w:pStyle w:val="BodyText"/>
      </w:pPr>
      <w:r>
        <w:rPr>
          <w:b/>
        </w:rPr>
        <w:t>Reducción estimada de costos operativos:</w:t>
      </w:r>
      <w:r>
        <w:t xml:space="preserve"> ambas cifras son </w:t>
      </w:r>
      <w:r>
        <w:rPr>
          <w:b/>
        </w:rPr>
        <w:t>estimaciones y no mediciones</w:t>
      </w:r>
      <w:r>
        <w:t>: el coste del sistema soberano (0,052 dólares por artículo) reparte infraestructura amortizada y no mide cómputo, de modo que no varía entre modelos, y el de la revisión manual (8,75 dólares por artículo) procede de valorar el tiempo de un analista. Sobre esa base, la reducción estimada es del 99,4 % en el coste unitario directo (60–80% del costo operativo total, que incluye la supervisión humana), con potencial de procesamiento de cientos de artículos diarios sin personal analista dedicado.</w:t>
      </w:r>
    </w:p>
    <w:p>
      <w:pPr>
        <w:numPr>
          <w:ilvl w:val="0"/>
          <w:numId w:val="0"/>
        </w:numPr>
        <w:pStyle w:val="BodyText"/>
      </w:pPr>
      <w:r>
        <w:rPr>
          <w:b/>
        </w:rPr>
        <w:t>Robustez arquitectural, con su alcance declarado:</w:t>
      </w:r>
      <w:r>
        <w:t xml:space="preserve"> el controlador AIMD acota la concurrencia y reacciona de forma autónoma ante dos señales, las respuestas de limitación de tasa del proveedor —que detecta por coincidencia de subcadenas en el mensaje de error, buscando códigos 429 y 503 y menciones de cuota o sobrecarga— y una racha de errores consecutivos, que abre un cortacircuitos y reduce el número de trabajadores al mínimo. Conviene precisar lo que </w:t>
      </w:r>
      <w:r>
        <w:rPr>
          <w:b/>
        </w:rPr>
        <w:t>no</w:t>
      </w:r>
      <w:r>
        <w:t xml:space="preserve"> hace, porque el diseño no lo contempla: el controlador no recibe telemetría de memoria, de modo que no detecta ni previene el agotamiento de la VRAM. Esa contención se obtiene por otra vía, ejecutando un solo modelo por turno, que es además la condición que garantiza mediciones de telemetría limpias en una GPU de memoria unificada. El </w:t>
      </w:r>
      <w:r>
        <w:rPr>
          <w:i/>
        </w:rPr>
        <w:t>checkpointing</w:t>
      </w:r>
      <w:r>
        <w:t xml:space="preserve"> permite reanudar una corrida interrumpida sin repetir el trabajo ya hecho.</w:t>
      </w:r>
    </w:p>
    <w:p>
      <w:pPr>
        <w:numPr>
          <w:ilvl w:val="0"/>
          <w:numId w:val="0"/>
        </w:numPr>
        <w:pStyle w:val="BodyText"/>
      </w:pPr>
      <w:r>
        <w:t xml:space="preserve">El RAG contextual supera al RAG por diccionario: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dos de los trece modelos (</w:t>
      </w:r>
      <w:r>
        <w:t>nemotron-mini:4b</w:t>
      </w:r>
      <w:r>
        <w:t xml:space="preserve"> </w:t>
      </w:r>
      <w:r>
        <w:rPr>
          <w:b/>
        </w:rPr>
        <w:t>+14,52 pp</w:t>
      </w:r>
      <w:r>
        <w:t xml:space="preserve">, p&lt;0,001, y </w:t>
      </w:r>
      <w:r>
        <w:t>llama3.2:latest</w:t>
      </w:r>
      <w:r>
        <w:t xml:space="preserve"> </w:t>
      </w:r>
      <w:r>
        <w:rPr>
          <w:b/>
        </w:rPr>
        <w:t>+10,82 pp</w:t>
      </w:r>
      <w:r>
        <w:t xml:space="preserve">, p=0,007; conviene precisar que este último no es el segundo más débil del estudio sino el tercero por la cola, y que el segundo, </w:t>
      </w:r>
      <w:r>
        <w:t>deepseek-r1:1.5b</w:t>
      </w:r>
      <w:r>
        <w:t xml:space="preserve">, empeora 0,90 puntos con KB RAG), con ganancias positivas pero no concluyentes en la franja intermedia y efecto nulo en los modelos de 31B, versus el dict-RAG (v1.0), que en un sondeo exploratorio N=5 sobre el mismo modelo, no persistido en </w:t>
      </w:r>
      <w:r>
        <w:t>results/</w:t>
      </w:r>
      <w:r>
        <w:t xml:space="preserve">, degradó el F1 hasta 0.2367 (−57.8% respecto de su propio baseline), degradación confirmada después en la corrida reproducible N=120, donde ese mismo modelo cae de 0.3611 a 0.3113. Su efectividad parece modularse por la capacidad paramétrica, beneficiando sobre todo a los modelos de 3 a 14 mil millones de parámetros, donde actúa como memoria externa de conocimiento lingüístico sin coste adicional de hardware. La relación es una </w:t>
      </w:r>
      <w:r>
        <w:rPr>
          <w:b/>
        </w:rPr>
        <w:t>tendencia y no un resultado significativo</w:t>
      </w:r>
      <w:r>
        <w:t>: la correlación por rangos entre capacidad y beneficio da ρ = −0,52 con p = 0,071, que no alcanza el nivel de significación que este trabajo fija, con trece modelos como tamaño de muestra. Este hallazgo tiene implicaciones directas para el diseño de sistemas RAG en dominio abierto con LLMs soberanos.</w:t>
      </w:r>
    </w:p>
    <w:p>
      <w:pPr>
        <w:numPr>
          <w:ilvl w:val="0"/>
          <w:numId w:val="0"/>
        </w:numPr>
        <w:pStyle w:val="BodyText"/>
      </w:pPr>
      <w:r>
        <w:t xml:space="preserve">La codificación del corpus condiciona la medición, y no de forma neutra: el corpus N=120 almacena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Al ser </w:t>
      </w:r>
      <w:r>
        <w:rPr>
          <w:b/>
        </w:rPr>
        <w:t>coherente entre ambos</w:t>
      </w:r>
      <w:r>
        <w:t xml:space="preserve">, no introduce el sesgo uniforme que cabría suponer: favorece a los modelos que transcriben literalmente y penaliza a los que normalizan la ortografía, con un efecto cuyo </w:t>
      </w:r>
      <w:r>
        <w:rPr>
          <w:b/>
        </w:rPr>
        <w:t>signo depende de dónde esté la corrupción</w:t>
      </w:r>
      <w:r>
        <w:t xml:space="preserve">, y esa dependencia es el resultado. Cuando está en la anotación de referencia, diecinueve de las veinticuatro configuraciones medidas puntúan </w:t>
      </w:r>
      <w:r>
        <w:rPr>
          <w:b/>
        </w:rPr>
        <w:t>mejor</w:t>
      </w:r>
      <w:r>
        <w:t xml:space="preserve"> en los artículos afectados, porque el cotejo premia transcribir los bytes literalmente y penaliza al modelo que escribe el nombre correctamente. Cuando está en el texto de entrada, diecinueve de veinticuatro puntúan </w:t>
      </w:r>
      <w:r>
        <w:rPr>
          <w:b/>
        </w:rPr>
        <w:t>peor</w:t>
      </w:r>
      <w:r>
        <w:t xml:space="preserve">, porque la corrupción dificulta la extracción para todos. Los dos efectos se contraponen, y su cancelación explica que la ventaja de la instrucción en español desaparezca precisamente sobre el corpus con más entidades hispanas: allí la competencia lingüística se vuelve desventaja frente a una referencia corrompida. La implicación metodológica excede a este trabajo: en una evaluación de NER un defecto de codificación no es ruido de fondo sino una variable que interactúa con el comportamiento del modelo, y verificar la codificación </w:t>
      </w:r>
      <w:r>
        <w:rPr>
          <w:b/>
        </w:rPr>
        <w:t>de la entrada y de la referencia por separado</w:t>
      </w:r>
      <w:r>
        <w:t xml:space="preserve"> debe formar parte del protocolo antes de dar por válida cualquier cifra. El detalle, con el script que permite reproducirlo, se desarrolla en el </w:t>
      </w:r>
      <w:r>
        <w:rPr>
          <w:b/>
        </w:rPr>
        <w:t>Anexo H</w:t>
      </w:r>
      <w:r>
        <w:t>.</w:t>
      </w:r>
    </w:p>
    <w:p>
      <w:pPr>
        <w:numPr>
          <w:ilvl w:val="0"/>
          <w:numId w:val="0"/>
        </w:numPr>
        <w:pStyle w:val="Heading2"/>
      </w:pPr>
      <w:r>
        <w:t>7.2 Trabajo Futuro</w:t>
      </w:r>
    </w:p>
    <w:p>
      <w:pPr>
        <w:numPr>
          <w:ilvl w:val="0"/>
          <w:numId w:val="0"/>
        </w:numPr>
        <w:pStyle w:val="BodyText"/>
      </w:pPr>
      <w:r>
        <w:t>Expansión de la Base de Conocimientos KB RAG (Prioridad Alta):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BodyText"/>
      </w:pPr>
      <w:r>
        <w:rPr>
          <w:b/>
        </w:rPr>
        <w:t>Fine-tuning supervisado (Fase 1):</w:t>
      </w:r>
      <w:r>
        <w:t xml:space="preserve"> Aplicar LoRA (</w:t>
      </w:r>
      <w:r>
        <w:rPr>
          <w:i/>
        </w:rPr>
        <w:t>Low-Rank Adaptation</w:t>
      </w:r>
      <w:r>
        <w:t xml:space="preserve">) [27], técnica que ajusta un modelo a un dominio entrenando solo un pequeño conjunto de matrices añadidas y dejando intactos los pesos originales, lo que reduce drásticamente el coste del ajuste fino sobre </w:t>
      </w:r>
      <w:r>
        <w:t>gemma4:31b</w:t>
      </w:r>
      <w:r>
        <w:t xml:space="preserve"> con 200+ ejemplos anotados de Kleptotrace/CoNLL-2002 para cerrar la brecha hacia la meta aspiracional de 85% de F1 (§6.1).</w:t>
      </w:r>
    </w:p>
    <w:p>
      <w:pPr>
        <w:numPr>
          <w:ilvl w:val="0"/>
          <w:numId w:val="0"/>
        </w:numPr>
        <w:pStyle w:val="BodyText"/>
      </w:pPr>
      <w:r>
        <w:t>Expansión del corpus de evaluación (Fase 2): Ampliar el corpus de N=120 a N≥200 artículos reales del dominio AML/KYC chileno, incorporando fuentes como la UAF, CMF y bases de datos de OpenSanctions [19].</w:t>
      </w:r>
    </w:p>
    <w:p>
      <w:pPr>
        <w:numPr>
          <w:ilvl w:val="0"/>
          <w:numId w:val="0"/>
        </w:numPr>
        <w:pStyle w:val="BodyText"/>
      </w:pPr>
      <w:r>
        <w:t xml:space="preserve">Ensemble de modelos (Fase 3):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BodyText"/>
      </w:pPr>
      <w:r>
        <w:t>Evaluación en producción (Fase 4): Despliegue piloto en Austranet con feeds reales de Google Alerts y medición de KPIs operacionales (tiempo de respuesta, carga, satisfacción del analista).</w:t>
      </w:r>
    </w:p>
    <w:p>
      <w:pPr>
        <w:numPr>
          <w:ilvl w:val="0"/>
          <w:numId w:val="0"/>
        </w:numPr>
        <w:pStyle w:val="BodyText"/>
      </w:pPr>
      <w:r>
        <w:rPr>
          <w:b/>
        </w:rPr>
        <w:t>Extensión multiidioma (Fase 5):</w:t>
      </w:r>
      <w:r>
        <w:t xml:space="preserve"> Evaluar la robustez del sistema sobre textos en portugués, dado el alcance latinoamericano del problema de cumplimiento. El comportamiento en inglés ya queda caracterizado por los corpus del dominio empleados aquí, y el contraste entre ambos idiomas sobre el corpus N=120 aporta la primera evidencia comparativa.</w:t>
      </w:r>
    </w:p>
    <w:p>
      <w:pPr>
        <w:numPr>
          <w:ilvl w:val="0"/>
          <w:numId w:val="0"/>
        </w:numPr>
        <w:pStyle w:val="BodyText"/>
      </w:pPr>
      <w:r>
        <w:t xml:space="preserve">Normalización de codificación del corpus y re-evaluación (Fase 6): el corpus N=120 almacena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Esto favorece a los modelos que transcriben literalmente y penaliza a los que normalizan la ortografía, con un efecto que varía entre −0.070 y +0.025 de F1 según el modelo (§5.3.5). La línea de trabajo consiste en normalizar la codificación en ambos lados de la comparación —reparando la referencia y la extracción antes del cotejo difuso, de modo que el resultado deje de depender de la representación de bytes— y </w:t>
      </w:r>
      <w:r>
        <w:rPr>
          <w:b/>
        </w:rPr>
        <w:t>re-ejecutar el estudio N=120</w:t>
      </w:r>
      <w:r>
        <w:t xml:space="preserve"> para obtener valores absolutos libres de esta interacción. No se abordó en este trabajo porque el cotejo se resuelve en tiempo de inferencia y las extracciones por registro no se conservaron, lo que obliga a repetir la inferencia completa.</w:t>
      </w:r>
    </w:p>
    <w:p>
      <w:pPr>
        <w:numPr>
          <w:ilvl w:val="0"/>
          <w:numId w:val="0"/>
        </w:numPr>
        <w:pStyle w:val="Heading1"/>
      </w:pPr>
      <w:r>
        <w:t>8 REFERENCIAS BIBLIOGRÁFICAS</w:t>
      </w:r>
    </w:p>
    <w:p>
      <w:pPr>
        <w:numPr>
          <w:ilvl w:val="0"/>
          <w:numId w:val="0"/>
        </w:numPr>
        <w:pStyle w:val="BodyText"/>
      </w:pPr>
      <w:r>
        <w:t>Anotación de localizaciones en el corpus de referencia (Prioridad Alta): los prompts del sistema solicitan</w:t>
      </w:r>
    </w:p>
    <w:p>
      <w:pPr>
        <w:numPr>
          <w:ilvl w:val="0"/>
          <w:numId w:val="0"/>
        </w:numPr>
        <w:pStyle w:val="Normal"/>
      </w:pPr>
      <w:r>
        <w:t xml:space="preserve">tres categorías de entidad, personas, organizaciones y localizaciones, pero ninguno de los tres corpus anota la tercera. Como se explica en §3.3, eso convierte toda localización correctamente identificada en un falso positivo, y de ahí procede el 66,0 % de los falsos positivos del estudio. La medición restringida a las dos categorías anotadas, que este informe publica en paralelo, corrige el efecto sin reejecutar inferencia, pero no sustituye a la solución de fondo: anotar las localizaciones y medir las tres categorías, que es la única vía para saber cuánto de la precisión aparente se debe a la habilidad del modelo y cuánto al vacío del gold.</w:t>
      </w:r>
    </w:p>
    <w:p>
      <w:pPr>
        <w:numPr>
          <w:ilvl w:val="0"/>
          <w:numId w:val="0"/>
        </w:numPr>
        <w:pStyle w:val="BodyText"/>
      </w:pPr>
      <w:r>
        <w:t>Construcción de un corpus periodístico del dominio en español (Prioridad Alta): los dos corpus específicos</w:t>
      </w:r>
    </w:p>
    <w:p>
      <w:pPr>
        <w:numPr>
          <w:ilvl w:val="0"/>
          <w:numId w:val="0"/>
        </w:numPr>
        <w:pStyle w:val="Normal"/>
      </w:pPr>
      <w:r>
        <w:t>de cumplimiento empleados aquí, el de quince artículos anotados y el sintético de treinta, están redactados en inglés, y el material en español proviene de CoNLL-2002, que es periodismo general y no del dominio. Falta por tanto un corpus que reúna ambas condiciones a la vez. Las fuentes naturales son las resoluciones sancionatorias de la UAF y de la CMF chilenas y la prensa económica regional, y su anotación por especialistas en cumplimiento es el paso que este trabajo no pudo dar por falta de un corpus etiquetado en el dominio.</w:t>
      </w:r>
    </w:p>
    <w:p>
      <w:pPr>
        <w:numPr>
          <w:ilvl w:val="0"/>
          <w:numId w:val="0"/>
        </w:numPr>
        <w:pStyle w:val="BodyText"/>
      </w:pPr>
      <w:r>
        <w:t>Replicación del efecto del idioma del prompt (Prioridad Media): la ventaja de redactar la instrucción y los</w:t>
      </w:r>
    </w:p>
    <w:p>
      <w:pPr>
        <w:numPr>
          <w:ilvl w:val="0"/>
          <w:numId w:val="0"/>
        </w:numPr>
        <w:pStyle w:val="Normal"/>
      </w:pPr>
      <w:r>
        <w:t>ejemplos en español se midió en +10,40 puntos sobre el corpus de quince artículos, pero no replica: una segunda ejecución sobre el mismo corpus y modelo da +3,11 puntos, y sobre el corpus de ciento veinte el efecto se anula, con una diferencia de −0,43 puntos y p = 0,9328. Determinar si la ventaja existe exige un diseño con réplicas y semillas declaradas sobre un corpus del tamaño suficiente, y conviene hacerlo porque el mecanismo que se le atribuía, la concordancia de idioma entre prompt y texto, no puede ser el correcto: la mejora se obtuvo sobre artículos en inglés.</w:t>
      </w:r>
    </w:p>
    <w:p>
      <w:pPr>
        <w:numPr>
          <w:ilvl w:val="0"/>
          <w:numId w:val="0"/>
        </w:numPr>
        <w:pStyle w:val="BodyText"/>
      </w:pPr>
      <w:r>
        <w:rPr>
          <w:i/>
        </w:rPr>
        <w:t>Formato IEEE</w:t>
      </w:r>
    </w:p>
    <w:p>
      <w:pPr>
        <w:numPr>
          <w:ilvl w:val="0"/>
          <w:numId w:val="0"/>
        </w:numPr>
        <w:pStyle w:val="BodyText"/>
      </w:pPr>
      <w:r>
        <w:t xml:space="preserve">[1] P. Lewis et al., "Retrieval-Augmented Generation for Knowledge-Intensive NLP Tasks," </w:t>
      </w:r>
      <w:r>
        <w:rPr>
          <w:i/>
        </w:rPr>
        <w:t>Advances in Neural Information Processing Systems</w:t>
      </w:r>
      <w:r>
        <w:t>, vol. 33, pp. 9459-9474, 2020. [En línea]. Disponible: https://proceedings.neurips.cc/paper/2020/hash/6b493230205f780e1bc26945df7481e5-Abstract.html</w:t>
      </w:r>
    </w:p>
    <w:p>
      <w:pPr>
        <w:numPr>
          <w:ilvl w:val="0"/>
          <w:numId w:val="0"/>
        </w:numPr>
        <w:pStyle w:val="BodyText"/>
      </w:pPr>
      <w:r>
        <w:t xml:space="preserve">[2] J. Devlin, M.-W. Chang, K. Lee, and K. Toutanova, "BERT: Pre-training of Deep Bidirectional Transformers for Language Understanding," </w:t>
      </w:r>
      <w:r>
        <w:rPr>
          <w:i/>
        </w:rPr>
        <w:t>Proceedings of NAACL</w:t>
      </w:r>
      <w:r>
        <w:t>, pp. 4171-4186, 2019. [En línea]. Disponible: https://doi.org/10.18653/v1/N19-1423</w:t>
      </w:r>
    </w:p>
    <w:p>
      <w:pPr>
        <w:numPr>
          <w:ilvl w:val="0"/>
          <w:numId w:val="0"/>
        </w:numPr>
        <w:pStyle w:val="BodyText"/>
      </w:pPr>
      <w:r>
        <w:t>[3] S. Wu et al., "BloombergGPT: A Large Language Model for Finance," 2023, arXiv:2303.17564. [Online]. Available: https://arxiv.org/abs/2303.17564</w:t>
      </w:r>
    </w:p>
    <w:p>
      <w:pPr>
        <w:numPr>
          <w:ilvl w:val="0"/>
          <w:numId w:val="0"/>
        </w:numPr>
        <w:pStyle w:val="BodyText"/>
      </w:pPr>
      <w:r>
        <w:t xml:space="preserve">[4] A. Vaswani et al., "Attention is All you Need," </w:t>
      </w:r>
      <w:r>
        <w:rPr>
          <w:i/>
        </w:rPr>
        <w:t>Advances in Neural Information Processing Systems</w:t>
      </w:r>
      <w:r>
        <w:t>, vol. 30, 2017. [En línea]. Disponible: https://proceedings.neurips.cc/paper/2017/hash/3f5ee243547dee91fbd053c1c4a845aa-Abstract.html</w:t>
      </w:r>
    </w:p>
    <w:p>
      <w:pPr>
        <w:numPr>
          <w:ilvl w:val="0"/>
          <w:numId w:val="0"/>
        </w:numPr>
        <w:pStyle w:val="BodyText"/>
      </w:pPr>
      <w:r>
        <w:t xml:space="preserve">[5] K. Bourne, </w:t>
      </w:r>
      <w:r>
        <w:rPr>
          <w:i/>
        </w:rPr>
        <w:t>Unlocking Data with Generative AI and RAG</w:t>
      </w:r>
      <w:r>
        <w:t>. Birmingham, R.U.: Packt Publishing, 2024, ISBN 978-1-83588-790-5. [En línea]. Disponible: https://books.google.com/books?vid=ISBN9781835887905</w:t>
      </w:r>
    </w:p>
    <w:p>
      <w:pPr>
        <w:numPr>
          <w:ilvl w:val="0"/>
          <w:numId w:val="0"/>
        </w:numPr>
        <w:pStyle w:val="BodyText"/>
      </w:pPr>
      <w:r>
        <w:t>[6] Y. Gao et al., "Retrieval-Augmented Generation for Large Language Models: A Survey," 2024, arXiv:2312.10997. [Online]. Available: https://arxiv.org/abs/2312.10997</w:t>
      </w:r>
    </w:p>
    <w:p>
      <w:pPr>
        <w:numPr>
          <w:ilvl w:val="0"/>
          <w:numId w:val="0"/>
        </w:numPr>
        <w:pStyle w:val="BodyText"/>
      </w:pPr>
      <w:r>
        <w:t xml:space="preserve">[7] J. Cañete, G. Chaperon, R. Fuentes, J.-H. Ho, H. Kang, and J. Pérez, "Spanish Pre-Trained BERT Model and Evaluation Data," in </w:t>
      </w:r>
      <w:r>
        <w:rPr>
          <w:i/>
        </w:rPr>
        <w:t>Proc. Practical ML for Developing Countries Workshop (PML4DC) at ICLR 2020</w:t>
      </w:r>
      <w:r>
        <w:t>, Addis Abeba, Etiopía, 2020. [En línea]. Disponible: https://arxiv.org/abs/2308.02976</w:t>
      </w:r>
    </w:p>
    <w:p>
      <w:pPr>
        <w:numPr>
          <w:ilvl w:val="0"/>
          <w:numId w:val="0"/>
        </w:numPr>
        <w:pStyle w:val="BodyText"/>
      </w:pPr>
      <w:r>
        <w:t xml:space="preserve">[8] T. Brown et al., "Language Models are Few-Shot Learners," </w:t>
      </w:r>
      <w:r>
        <w:rPr>
          <w:i/>
        </w:rPr>
        <w:t>Advances in Neural Information Processing Systems</w:t>
      </w:r>
      <w:r>
        <w:t>, vol. 33, pp. 1877-1901, 2020. [En línea]. Disponible: https://proceedings.neurips.cc/paper/2020/hash/1457c0d6bfcb4967418bfb8ac142f64a-Abstract.html</w:t>
      </w:r>
    </w:p>
    <w:p>
      <w:pPr>
        <w:numPr>
          <w:ilvl w:val="0"/>
          <w:numId w:val="0"/>
        </w:numPr>
        <w:pStyle w:val="BodyText"/>
      </w:pPr>
      <w:r>
        <w:t>[9] P. Islam, A. Kannappan, D. Kiela, R. Qian, N. Scherrer, and B. Vidgen, "FinanceBench: A New Benchmark for Financial Question Answering," 2023, arXiv:2311.11944. [En línea]. Disponible: https://arxiv.org/abs/2311.11944</w:t>
      </w:r>
    </w:p>
    <w:p>
      <w:pPr>
        <w:numPr>
          <w:ilvl w:val="0"/>
          <w:numId w:val="0"/>
        </w:numPr>
        <w:pStyle w:val="BodyText"/>
      </w:pPr>
      <w:r>
        <w:t xml:space="preserve">[10] J. C. Salinas Alvarado, K. Verspoor, and T. Baldwin, "Domain Adaption of Named Entity Recognition to Support Credit Risk Assessment," in </w:t>
      </w:r>
      <w:r>
        <w:rPr>
          <w:i/>
        </w:rPr>
        <w:t>Proc. Australasian Language Technology Association Workshop (ALTA)</w:t>
      </w:r>
      <w:r>
        <w:t>, Parramatta, Australia, dic. 2015, pp. 84-90. [En línea]. Disponible: https://aclanthology.org/U15-1010/</w:t>
      </w:r>
    </w:p>
    <w:p>
      <w:pPr>
        <w:numPr>
          <w:ilvl w:val="0"/>
          <w:numId w:val="0"/>
        </w:numPr>
        <w:pStyle w:val="BodyText"/>
      </w:pPr>
      <w:r>
        <w:t xml:space="preserve">[11] O. Ahia et al., "Do All Languages Cost the Same? Tokenization in the Era of Commercial Language Models," in </w:t>
      </w:r>
      <w:r>
        <w:rPr>
          <w:i/>
        </w:rPr>
        <w:t>Proc. Conf. Empirical Methods in Natural Language Processing (EMNLP)</w:t>
      </w:r>
      <w:r>
        <w:t>, 2023, pp. 9904-9923. [En línea]. Disponible: https://doi.org/10.18653/v1/2023.emnlp-main.614</w:t>
      </w:r>
    </w:p>
    <w:p>
      <w:pPr>
        <w:numPr>
          <w:ilvl w:val="0"/>
          <w:numId w:val="0"/>
        </w:numPr>
        <w:pStyle w:val="BodyText"/>
      </w:pPr>
      <w:r>
        <w:t xml:space="preserve">[12] E. F. Tjong Kim Sang, "Introduction to the CoNLL-2002 Shared Task: Language-Independent Named Entity Recognition," </w:t>
      </w:r>
      <w:r>
        <w:rPr>
          <w:i/>
        </w:rPr>
        <w:t>Proceedings of CoNLL-2002</w:t>
      </w:r>
      <w:r>
        <w:t>, pp. 155-158, 2002. [Online]. Available: https://aclanthology.org/W02-2024/</w:t>
      </w:r>
    </w:p>
    <w:p>
      <w:pPr>
        <w:numPr>
          <w:ilvl w:val="0"/>
          <w:numId w:val="0"/>
        </w:numPr>
        <w:pStyle w:val="BodyText"/>
      </w:pPr>
      <w:r>
        <w:t xml:space="preserve">[13] J. Wei et al., "Chain-of-Thought Prompting Elicits Reasoning in Large Language Models," </w:t>
      </w:r>
      <w:r>
        <w:rPr>
          <w:i/>
        </w:rPr>
        <w:t>Advances in Neural Information Processing Systems</w:t>
      </w:r>
      <w:r>
        <w:t>, vol. 35, pp. 24824-24837, 2022. [En línea]. Disponible: https://doi.org/10.52202/068431-1800</w:t>
      </w:r>
    </w:p>
    <w:p>
      <w:pPr>
        <w:numPr>
          <w:ilvl w:val="0"/>
          <w:numId w:val="0"/>
        </w:numPr>
        <w:pStyle w:val="BodyText"/>
      </w:pPr>
      <w:r>
        <w:t xml:space="preserve">[14] Z. Zhao et al., "Calibrate Before Use: Improving Few-shot Performance of Language Models," in </w:t>
      </w:r>
      <w:r>
        <w:rPr>
          <w:i/>
        </w:rPr>
        <w:t>Proc. 38th Int. Conf. Machine Learning (ICML)</w:t>
      </w:r>
      <w:r>
        <w:t>, PMLR vol. 139, 2021, pp. 12697-12706. [En línea]. Disponible: https://proceedings.mlr.press/v139/zhao21c.html</w:t>
      </w:r>
    </w:p>
    <w:p>
      <w:pPr>
        <w:numPr>
          <w:ilvl w:val="0"/>
          <w:numId w:val="0"/>
        </w:numPr>
        <w:pStyle w:val="BodyText"/>
      </w:pPr>
      <w:r>
        <w:t xml:space="preserve">[15] L. Loukas, M. Fergadiotis, I. Chalkidis, E. Spyropoulou, P. Malakasiotis, I. Androutsopoulos, and G. Paliouras, "FiNER: Financial Numeric Entity Recognition for XBRL Tagging," in </w:t>
      </w:r>
      <w:r>
        <w:rPr>
          <w:i/>
        </w:rPr>
        <w:t>Proc. 60th Annu. Meeting Assoc. Comput. Linguistics (ACL)</w:t>
      </w:r>
      <w:r>
        <w:t>, vol. 1, Dublín, Irlanda, mayo 2022, pp. 4419-4431, doi: 10.18653/v1/2022.acl-long.303. [En línea]. Disponible: https://aclanthology.org/2022.acl-long.303/</w:t>
      </w:r>
    </w:p>
    <w:p>
      <w:pPr>
        <w:numPr>
          <w:ilvl w:val="0"/>
          <w:numId w:val="0"/>
        </w:numPr>
        <w:pStyle w:val="BodyText"/>
      </w:pPr>
      <w:r>
        <w:t xml:space="preserve">[16] R. Schwartz et al., "Green AI," </w:t>
      </w:r>
      <w:r>
        <w:rPr>
          <w:i/>
        </w:rPr>
        <w:t>Communications of the ACM</w:t>
      </w:r>
      <w:r>
        <w:t>, vol. 63, no. 12, pp. 54-63, 2020. [En línea]. Disponible: https://doi.org/10.1145/3381831</w:t>
      </w:r>
    </w:p>
    <w:p>
      <w:pPr>
        <w:numPr>
          <w:ilvl w:val="0"/>
          <w:numId w:val="0"/>
        </w:numPr>
        <w:pStyle w:val="BodyText"/>
      </w:pPr>
      <w:r>
        <w:t xml:space="preserve">[17] J. Lafferty, A. McCallum, and F. Pereira, "Conditional Random Fields: Probabilistic Models for Segmenting and Labeling Sequence Data," </w:t>
      </w:r>
      <w:r>
        <w:rPr>
          <w:i/>
        </w:rPr>
        <w:t>Proceedings of ICML</w:t>
      </w:r>
      <w:r>
        <w:t>, pp. 282-289, 2001. [En línea]. Disponible: https://dl.acm.org/doi/10.5555/645530.655813</w:t>
      </w:r>
    </w:p>
    <w:p>
      <w:pPr>
        <w:numPr>
          <w:ilvl w:val="0"/>
          <w:numId w:val="0"/>
        </w:numPr>
        <w:pStyle w:val="BodyText"/>
      </w:pPr>
      <w:r>
        <w:t>[18] Proyecto KLEPTOTRACE, "Kleptotrace-micro-dataset," conjunto de datos, Zenodo, 2024 (15 artículos y 441 frases sobre corrupción financiera, con listas de personas y organizaciones anotadas). doi: 10.5281/zenodo.14027005. [En línea]. Disponible: https://doi.org/10.5281/zenodo.14027005</w:t>
      </w:r>
    </w:p>
    <w:p>
      <w:pPr>
        <w:numPr>
          <w:ilvl w:val="0"/>
          <w:numId w:val="0"/>
        </w:numPr>
        <w:pStyle w:val="BodyText"/>
      </w:pPr>
      <w:r>
        <w:t xml:space="preserve">[19] OpenSanctions. (2024). </w:t>
      </w:r>
      <w:r>
        <w:rPr>
          <w:i/>
        </w:rPr>
        <w:t>OpenSanctions: Open Data on Sanctions Lists and Politically Exposed Persons</w:t>
      </w:r>
      <w:r>
        <w:t xml:space="preserve"> [Online]. Available: https://www.opensanctions.org (accedido: 8 sep. 2026).</w:t>
      </w:r>
    </w:p>
    <w:p>
      <w:pPr>
        <w:numPr>
          <w:ilvl w:val="0"/>
          <w:numId w:val="0"/>
        </w:numPr>
        <w:pStyle w:val="BodyText"/>
      </w:pPr>
      <w:r>
        <w:t xml:space="preserve">[20] T. Dettmers, A. Pagnoni, A. Holtzman, and L. Zettlemoyer, "QLoRA: Efficient Finetuning of Quantized LLMs," </w:t>
      </w:r>
      <w:r>
        <w:rPr>
          <w:i/>
        </w:rPr>
        <w:t>Advances in Neural Information Processing Systems</w:t>
      </w:r>
      <w:r>
        <w:t>, vol. 36, pp. 10088-10115, 2023. [En línea]. Disponible: https://doi.org/10.52202/075280-0441</w:t>
      </w:r>
    </w:p>
    <w:p>
      <w:pPr>
        <w:numPr>
          <w:ilvl w:val="0"/>
          <w:numId w:val="0"/>
        </w:numPr>
        <w:pStyle w:val="BodyText"/>
      </w:pPr>
      <w:r>
        <w:t xml:space="preserve">[21] Verified Market Research. (2022, mar. 8). </w:t>
      </w:r>
      <w:r>
        <w:rPr>
          <w:i/>
        </w:rPr>
        <w:t>RegTech Market Size Worth $87.17 Billion, Globally, by 2028 at 23.92% CAGR</w:t>
      </w:r>
      <w:r>
        <w:t xml:space="preserve"> [Online]. Available: https://www.prnewswire.com/news-releases/regtech-market-size-worth--87-17-billion-globally-by-2028-at-23-92-cagr-verified-market-research-301497770.html (accedido: 8 sep. 2026).</w:t>
      </w:r>
    </w:p>
    <w:p>
      <w:pPr>
        <w:numPr>
          <w:ilvl w:val="0"/>
          <w:numId w:val="0"/>
        </w:numPr>
        <w:pStyle w:val="BodyText"/>
      </w:pPr>
      <w:r>
        <w:t xml:space="preserve">[22] Chile, </w:t>
      </w:r>
      <w:r>
        <w:rPr>
          <w:i/>
        </w:rPr>
        <w:t>Ley N.º 19.913: Crea la Unidad de Análisis Financiero y modifica diversas disposiciones en materia de lavado y blanqueo de activos</w:t>
      </w:r>
      <w:r>
        <w:t>, Diario Oficial, 18 dic. 2003. [Online]. Available: https://www.uaf.cl/es-cl/normativa/nuestra-ley (accedido: 8 sep. 2026).</w:t>
      </w:r>
    </w:p>
    <w:p>
      <w:pPr>
        <w:numPr>
          <w:ilvl w:val="0"/>
          <w:numId w:val="0"/>
        </w:numPr>
        <w:pStyle w:val="BodyText"/>
      </w:pPr>
      <w:r>
        <w:t xml:space="preserve">[23] A. Conneau et al., "Unsupervised Cross-lingual Representation Learning at Scale," in </w:t>
      </w:r>
      <w:r>
        <w:rPr>
          <w:i/>
        </w:rPr>
        <w:t>Proc. 58th Annual Meeting of the Association for Computational Linguistics (ACL)</w:t>
      </w:r>
      <w:r>
        <w:t>, 2020, pp. 8440-8451. [En línea]. Disponible: https://doi.org/10.18653/v1/2020.acl-main.747</w:t>
      </w:r>
    </w:p>
    <w:p>
      <w:pPr>
        <w:numPr>
          <w:ilvl w:val="0"/>
          <w:numId w:val="0"/>
        </w:numPr>
        <w:pStyle w:val="BodyText"/>
      </w:pPr>
      <w:r>
        <w:t xml:space="preserve">[24] G. Lample et al., "Neural Architectures for Named Entity Recognition," in </w:t>
      </w:r>
      <w:r>
        <w:rPr>
          <w:i/>
        </w:rPr>
        <w:t>Proc. Conf. North American Chapter of the Association for Computational Linguistics: Human Language Technologies (NAACL-HLT)</w:t>
      </w:r>
      <w:r>
        <w:t>, San Diego, CA, USA, 2016, pp. 260-270. [En línea]. Disponible: https://doi.org/10.18653/v1/N16-1030</w:t>
      </w:r>
    </w:p>
    <w:p>
      <w:pPr>
        <w:numPr>
          <w:ilvl w:val="0"/>
          <w:numId w:val="0"/>
        </w:numPr>
        <w:pStyle w:val="BodyText"/>
      </w:pPr>
      <w:r>
        <w:t xml:space="preserve">[25] J. W. Tukey, "Comparing Individual Means in the Analysis of Variance," </w:t>
      </w:r>
      <w:r>
        <w:rPr>
          <w:i/>
        </w:rPr>
        <w:t>Biometrics</w:t>
      </w:r>
      <w:r>
        <w:t>, vol. 5, no. 2, pp. 99-114, 1949. [En línea]. Disponible: https://doi.org/10.2307/3001913</w:t>
      </w:r>
    </w:p>
    <w:p>
      <w:pPr>
        <w:numPr>
          <w:ilvl w:val="0"/>
          <w:numId w:val="0"/>
        </w:numPr>
        <w:pStyle w:val="BodyText"/>
      </w:pPr>
      <w:r>
        <w:t xml:space="preserve">[26] D.-M. Chiu and R. Jain, "Analysis of the Increase and Decrease Algorithms for Congestion Avoidance in Computer Networks," </w:t>
      </w:r>
      <w:r>
        <w:rPr>
          <w:i/>
        </w:rPr>
        <w:t>Computer Networks and ISDN Systems</w:t>
      </w:r>
      <w:r>
        <w:t>, vol. 17, no. 1, pp. 1-14, 1989. [En línea]. Disponible: https://doi.org/10.1016/0169-7552(89)90019-6</w:t>
      </w:r>
    </w:p>
    <w:p>
      <w:pPr>
        <w:numPr>
          <w:ilvl w:val="0"/>
          <w:numId w:val="0"/>
        </w:numPr>
        <w:pStyle w:val="BodyText"/>
      </w:pPr>
      <w:r>
        <w:t xml:space="preserve">[27] E. J. Hu et al., "LoRA: Low-Rank Adaptation of Large Language Models," in </w:t>
      </w:r>
      <w:r>
        <w:rPr>
          <w:i/>
        </w:rPr>
        <w:t>Proc. Int. Conf. on Learning Representations (ICLR)</w:t>
      </w:r>
      <w:r>
        <w:t>, 2022. [En línea]. Disponible: https://iclr.cc/virtual/2022/poster/6319</w:t>
      </w:r>
    </w:p>
    <w:p>
      <w:pPr>
        <w:numPr>
          <w:ilvl w:val="0"/>
          <w:numId w:val="0"/>
        </w:numPr>
        <w:pStyle w:val="BodyText"/>
      </w:pPr>
      <w:r>
        <w:t xml:space="preserve">[28] W. Kwon et al., "Efficient Memory Management for Large Language Model Serving with PagedAttention," in </w:t>
      </w:r>
      <w:r>
        <w:rPr>
          <w:i/>
        </w:rPr>
        <w:t>Proc. 29th ACM Symp. on Operating Systems Principles (SOSP)</w:t>
      </w:r>
      <w:r>
        <w:t>, 2023, pp. 611-626. doi: 10.1145/3600006.3613165. [En línea]. Disponible: https://doi.org/10.1145/3600006.3613165</w:t>
      </w:r>
    </w:p>
    <w:p>
      <w:pPr>
        <w:numPr>
          <w:ilvl w:val="0"/>
          <w:numId w:val="0"/>
        </w:numPr>
        <w:pStyle w:val="BodyText"/>
      </w:pPr>
      <w:r>
        <w:t xml:space="preserve">[29] Ollama. </w:t>
      </w:r>
      <w:r>
        <w:rPr>
          <w:i/>
        </w:rPr>
        <w:t>Ollama</w:t>
      </w:r>
      <w:r>
        <w:t xml:space="preserve"> [Online]. Available: https://github.com/ollama/ollama (accedido: 8 sep. 2026).</w:t>
      </w:r>
    </w:p>
    <w:p>
      <w:pPr>
        <w:numPr>
          <w:ilvl w:val="0"/>
          <w:numId w:val="0"/>
        </w:numPr>
        <w:pStyle w:val="BodyText"/>
      </w:pPr>
      <w:r>
        <w:t xml:space="preserve">[30] llama.cpp contributors. </w:t>
      </w:r>
      <w:r>
        <w:rPr>
          <w:i/>
        </w:rPr>
        <w:t>llama.cpp: LLM inference in C/C++</w:t>
      </w:r>
      <w:r>
        <w:t xml:space="preserve"> [Online]. Available: https://github.com/ggml-org/llama.cpp (accedido: 8 sep. 2026).</w:t>
      </w:r>
    </w:p>
    <w:p>
      <w:pPr>
        <w:numPr>
          <w:ilvl w:val="0"/>
          <w:numId w:val="0"/>
        </w:numPr>
        <w:pStyle w:val="BodyText"/>
      </w:pPr>
      <w:r>
        <w:t xml:space="preserve">[31] Apple Machine Learning Research. </w:t>
      </w:r>
      <w:r>
        <w:rPr>
          <w:i/>
        </w:rPr>
        <w:t>MLX: An array framework for Apple silicon</w:t>
      </w:r>
      <w:r>
        <w:t xml:space="preserve"> [Online]. Available: https://github.com/ml-explore/mlx (accedido: 8 sep. 2026).</w:t>
      </w:r>
    </w:p>
    <w:p>
      <w:pPr>
        <w:numPr>
          <w:ilvl w:val="0"/>
          <w:numId w:val="0"/>
        </w:numPr>
        <w:pStyle w:val="BodyText"/>
      </w:pPr>
      <w:r>
        <w:t xml:space="preserve">[32] Chroma. </w:t>
      </w:r>
      <w:r>
        <w:rPr>
          <w:i/>
        </w:rPr>
        <w:t>chroma: search infrastructure for AI</w:t>
      </w:r>
      <w:r>
        <w:t xml:space="preserve"> [Online]. Available: https://github.com/chroma-core/chroma (accedido: 8 sep. 2026).</w:t>
      </w:r>
    </w:p>
    <w:p>
      <w:pPr>
        <w:numPr>
          <w:ilvl w:val="0"/>
          <w:numId w:val="0"/>
        </w:numPr>
        <w:pStyle w:val="BodyText"/>
      </w:pPr>
      <w:r>
        <w:t xml:space="preserve">[33] M. Bachmann et al. </w:t>
      </w:r>
      <w:r>
        <w:rPr>
          <w:i/>
        </w:rPr>
        <w:t>RapidFuzz: rapid fuzzy string matching in Python</w:t>
      </w:r>
      <w:r>
        <w:t xml:space="preserve"> [Online]. Available: https://pypi.org/project/RapidFuzz/ (accedido: 8 sep. 2026).</w:t>
      </w:r>
    </w:p>
    <w:p>
      <w:pPr>
        <w:numPr>
          <w:ilvl w:val="0"/>
          <w:numId w:val="0"/>
        </w:numPr>
        <w:pStyle w:val="BodyText"/>
      </w:pPr>
      <w:r>
        <w:t xml:space="preserve">[34] F. Pedregosa et al., "Scikit-learn: Machine Learning in Python," </w:t>
      </w:r>
      <w:r>
        <w:rPr>
          <w:i/>
        </w:rPr>
        <w:t>Journal of Machine Learning Research</w:t>
      </w:r>
      <w:r>
        <w:t>, vol. 12, pp. 2825-2830, 2011. [En línea]. Disponible: https://www.jmlr.org/papers/v12/pedregosa11a.html</w:t>
      </w:r>
    </w:p>
    <w:p>
      <w:pPr>
        <w:numPr>
          <w:ilvl w:val="0"/>
          <w:numId w:val="0"/>
        </w:numPr>
        <w:pStyle w:val="BodyText"/>
      </w:pPr>
      <w:r>
        <w:t xml:space="preserve">[35] S. Seabold and J. Perktold, "Statsmodels: Econometric and Statistical Modeling with Python," in </w:t>
      </w:r>
      <w:r>
        <w:rPr>
          <w:i/>
        </w:rPr>
        <w:t>Proc. 9th Python in Science Conf. (SciPy)</w:t>
      </w:r>
      <w:r>
        <w:t>, Austin, TX, USA, 2010, pp. 92-96. [En línea]. Disponible: https://doi.org/10.25080/Majora-92bf1922-011</w:t>
      </w:r>
    </w:p>
    <w:p>
      <w:pPr>
        <w:numPr>
          <w:ilvl w:val="0"/>
          <w:numId w:val="0"/>
        </w:numPr>
        <w:pStyle w:val="BodyText"/>
      </w:pPr>
      <w:r>
        <w:t xml:space="preserve">[36] Apple Inc. </w:t>
      </w:r>
      <w:r>
        <w:rPr>
          <w:i/>
        </w:rPr>
        <w:t>recommendedMaxWorkingSetSize (Metal, MTLDevice)</w:t>
      </w:r>
      <w:r>
        <w:t xml:space="preserve"> [Online]. Available: https://developer.apple.com/documentation/metal/mtldevice/recommendedmaxworkingsetsize (accedido: 8 sep. 2026).</w:t>
      </w:r>
    </w:p>
    <w:p>
      <w:pPr>
        <w:numPr>
          <w:ilvl w:val="0"/>
          <w:numId w:val="0"/>
        </w:numPr>
        <w:pStyle w:val="BodyText"/>
      </w:pPr>
      <w:r>
        <w:t xml:space="preserve">[37] E. Ahumada Gallardo. </w:t>
      </w:r>
      <w:r>
        <w:rPr>
          <w:i/>
        </w:rPr>
        <w:t>mti-pge-tesina-ner-llm-local</w:t>
      </w:r>
      <w:r>
        <w:t>, repositorio de código del trabajo, 2026. [Online]. Available: https://github.com/eahumada/mti-pge-tesina-ner-llm-local (accedido: 8 sep. 2026).</w:t>
      </w:r>
    </w:p>
    <w:p>
      <w:pPr>
        <w:numPr>
          <w:ilvl w:val="0"/>
          <w:numId w:val="0"/>
        </w:numPr>
        <w:pStyle w:val="Heading1"/>
      </w:pPr>
      <w:r>
        <w:t>9 ANEXOS</w:t>
      </w:r>
    </w:p>
    <w:p>
      <w:pPr>
        <w:numPr>
          <w:ilvl w:val="0"/>
          <w:numId w:val="0"/>
        </w:numPr>
        <w:pStyle w:val="Heading2"/>
      </w:pPr>
      <w:r>
        <w:t>Anexo A — Estructura del Repositorio de Código</w:t>
      </w:r>
    </w:p>
    <w:p>
      <w:pPr>
        <w:numPr>
          <w:ilvl w:val="0"/>
          <w:numId w:val="0"/>
        </w:numPr>
        <w:pStyle w:val="BodyText"/>
      </w:pPr>
      <w:r>
        <w:t>El código, los corpus, los resultados por corrida y los documentos de trabajo están publicados en el repositorio del trabajo [37] (</w:t>
      </w:r>
      <w:r>
        <w:rPr>
          <w:b/>
        </w:rPr>
        <w:t>https://github.com/eahumada/mti-pge-tesina-ner-llm-local</w:t>
      </w:r>
      <w:r>
        <w:t xml:space="preserve">). Cada corrida conserva su </w:t>
      </w:r>
      <w:r>
        <w:t>run_config.json</w:t>
      </w:r>
      <w:r>
        <w:t xml:space="preserve"> con los parámetros exactos y su </w:t>
      </w:r>
      <w:r>
        <w:t>benchmark_results.csv</w:t>
      </w:r>
      <w:r>
        <w:t xml:space="preserve"> con las métricas por artículo, de modo que las cifras de este informe pueden rehacerse sin repetir la inferencia. La estructura del repositorio es la siguiente:</w:t>
      </w:r>
    </w:p>
    <w:p>
      <w:pPr>
        <w:numPr>
          <w:ilvl w:val="0"/>
          <w:numId w:val="0"/>
        </w:numPr>
        <w:pStyle w:val="TableCaption"/>
      </w:pPr>
      <w:r>
        <w:t>Tabla 9. Estructura del repositorio de código.</w:t>
      </w:r>
    </w:p>
    <w:tbl>
      <w:tblPr>
        <w:tblStyle w:val="Table"/>
        <w:tblW w:type="pct" w:w="5000.0"/>
        <w:tblLook w:firstRow="1"/>
      </w:tblPr>
      <w:tblGrid>
        <w:gridCol w:w="5461"/>
        <w:gridCol w:w="3377"/>
      </w:tblGrid>
      <w:tr>
        <w:trPr>
          <w:cnfStyle w:firstRow="1"/>
        </w:trPr>
        <w:tc>
          <w:tcPr>
            <w:tcW w:type="dxa" w:w="5461"/>
            <w:tcBorders>
              <w:bottom w:val="single"/>
            </w:tcBorders>
            <w:vAlign w:val="bottom"/>
          </w:tcPr>
          <w:p>
            <w:pPr>
              <w:pStyle w:val="Compact"/>
              <w:jc w:val="left"/>
            </w:pPr>
            <w:r>
              <w:rPr>
                <w:b/>
              </w:rPr>
              <w:t>Ruta</w:t>
            </w:r>
          </w:p>
        </w:tc>
        <w:tc>
          <w:tcPr>
            <w:tcW w:type="dxa" w:w="3377"/>
            <w:tcBorders>
              <w:bottom w:val="single"/>
            </w:tcBorders>
            <w:vAlign w:val="bottom"/>
          </w:tcPr>
          <w:p>
            <w:pPr>
              <w:pStyle w:val="Compact"/>
              <w:jc w:val="left"/>
            </w:pPr>
            <w:r>
              <w:rPr>
                <w:b/>
              </w:rPr>
              <w:t>Descripción</w:t>
            </w:r>
          </w:p>
        </w:tc>
      </w:tr>
      <w:tr>
        <w:tc>
          <w:tcPr>
            <w:tcW w:type="dxa" w:w="5461"/>
          </w:tcPr>
          <w:p>
            <w:pPr>
              <w:pStyle w:val="Compact"/>
              <w:jc w:val="left"/>
            </w:pPr>
            <w:r>
              <w:rPr>
                <w:b w:val="0"/>
              </w:rPr>
              <w:t>repos/ner-llm-entity-benchmark/</w:t>
            </w:r>
          </w:p>
        </w:tc>
        <w:tc>
          <w:tcPr>
            <w:tcW w:type="dxa" w:w="3377"/>
          </w:tcPr>
          <w:p>
            <w:pPr>
              <w:pStyle w:val="Compact"/>
              <w:jc w:val="left"/>
            </w:pPr>
          </w:p>
        </w:tc>
      </w:tr>
      <w:tr>
        <w:tc>
          <w:tcPr>
            <w:tcW w:type="dxa" w:w="5461"/>
          </w:tcPr>
          <w:p>
            <w:pPr>
              <w:pStyle w:val="Compact"/>
              <w:jc w:val="left"/>
            </w:pPr>
            <w:r>
              <w:rPr>
                <w:b w:val="0"/>
              </w:rPr>
              <w:t>src/</w:t>
            </w:r>
          </w:p>
        </w:tc>
        <w:tc>
          <w:tcPr>
            <w:tcW w:type="dxa" w:w="3377"/>
          </w:tcPr>
          <w:p>
            <w:pPr>
              <w:pStyle w:val="Compact"/>
              <w:jc w:val="left"/>
            </w:pPr>
          </w:p>
        </w:tc>
      </w:tr>
      <w:tr>
        <w:tc>
          <w:tcPr>
            <w:tcW w:type="dxa" w:w="5461"/>
          </w:tcPr>
          <w:p>
            <w:pPr>
              <w:pStyle w:val="Compact"/>
              <w:jc w:val="left"/>
            </w:pPr>
            <w:r>
              <w:rPr>
                <w:b w:val="0"/>
              </w:rPr>
              <w:t xml:space="preserve">    main.py</w:t>
            </w:r>
          </w:p>
        </w:tc>
        <w:tc>
          <w:tcPr>
            <w:tcW w:type="dxa" w:w="3377"/>
          </w:tcPr>
          <w:p>
            <w:pPr>
              <w:pStyle w:val="Compact"/>
              <w:jc w:val="left"/>
            </w:pPr>
            <w:r>
              <w:rPr>
                <w:b w:val="0"/>
              </w:rPr>
              <w:t>Orquestador principal (+--rag-mode CLI, v1.1)</w:t>
            </w:r>
          </w:p>
        </w:tc>
      </w:tr>
      <w:tr>
        <w:tc>
          <w:tcPr>
            <w:tcW w:type="dxa" w:w="5461"/>
          </w:tcPr>
          <w:p>
            <w:pPr>
              <w:pStyle w:val="Compact"/>
              <w:jc w:val="left"/>
            </w:pPr>
            <w:r>
              <w:rPr>
                <w:b w:val="0"/>
              </w:rPr>
              <w:t xml:space="preserve">    config.py</w:t>
            </w:r>
          </w:p>
        </w:tc>
        <w:tc>
          <w:tcPr>
            <w:tcW w:type="dxa" w:w="3377"/>
          </w:tcPr>
          <w:p>
            <w:pPr>
              <w:pStyle w:val="Compact"/>
              <w:jc w:val="left"/>
            </w:pPr>
            <w:r>
              <w:rPr>
                <w:b w:val="0"/>
              </w:rPr>
              <w:t>Configuración global (+rag_mode field, v1.1)</w:t>
            </w:r>
          </w:p>
        </w:tc>
      </w:tr>
      <w:tr>
        <w:tc>
          <w:tcPr>
            <w:tcW w:type="dxa" w:w="5461"/>
          </w:tcPr>
          <w:p>
            <w:pPr>
              <w:pStyle w:val="Compact"/>
              <w:jc w:val="left"/>
            </w:pPr>
            <w:r>
              <w:rPr>
                <w:b w:val="0"/>
              </w:rPr>
              <w:t xml:space="preserve">    data_loader.py</w:t>
            </w:r>
          </w:p>
        </w:tc>
        <w:tc>
          <w:tcPr>
            <w:tcW w:type="dxa" w:w="3377"/>
          </w:tcPr>
          <w:p>
            <w:pPr>
              <w:pStyle w:val="Compact"/>
              <w:jc w:val="left"/>
            </w:pPr>
            <w:r>
              <w:rPr>
                <w:b w:val="0"/>
              </w:rPr>
              <w:t>Carga y validación del corpus</w:t>
            </w:r>
          </w:p>
        </w:tc>
      </w:tr>
      <w:tr>
        <w:tc>
          <w:tcPr>
            <w:tcW w:type="dxa" w:w="5461"/>
          </w:tcPr>
          <w:p>
            <w:pPr>
              <w:pStyle w:val="Compact"/>
              <w:jc w:val="left"/>
            </w:pPr>
            <w:r>
              <w:rPr>
                <w:b w:val="0"/>
              </w:rPr>
              <w:t xml:space="preserve">    llm_runner.py</w:t>
            </w:r>
          </w:p>
        </w:tc>
        <w:tc>
          <w:tcPr>
            <w:tcW w:type="dxa" w:w="3377"/>
          </w:tcPr>
          <w:p>
            <w:pPr>
              <w:pStyle w:val="Compact"/>
              <w:jc w:val="left"/>
            </w:pPr>
            <w:r>
              <w:rPr>
                <w:b w:val="0"/>
              </w:rPr>
              <w:t>Runner LLM con parseo en cascada</w:t>
            </w:r>
          </w:p>
        </w:tc>
      </w:tr>
      <w:tr>
        <w:tc>
          <w:tcPr>
            <w:tcW w:type="dxa" w:w="5461"/>
          </w:tcPr>
          <w:p>
            <w:pPr>
              <w:pStyle w:val="Compact"/>
              <w:jc w:val="left"/>
            </w:pPr>
            <w:r>
              <w:rPr>
                <w:b w:val="0"/>
              </w:rPr>
              <w:t xml:space="preserve">    evaluator.py</w:t>
            </w:r>
          </w:p>
        </w:tc>
        <w:tc>
          <w:tcPr>
            <w:tcW w:type="dxa" w:w="3377"/>
          </w:tcPr>
          <w:p>
            <w:pPr>
              <w:pStyle w:val="Compact"/>
              <w:jc w:val="left"/>
            </w:pPr>
            <w:r>
              <w:rPr>
                <w:b w:val="0"/>
              </w:rPr>
              <w:t>Métricas F1 + taxonomía de errores</w:t>
            </w:r>
          </w:p>
        </w:tc>
      </w:tr>
      <w:tr>
        <w:tc>
          <w:tcPr>
            <w:tcW w:type="dxa" w:w="5461"/>
          </w:tcPr>
          <w:p>
            <w:pPr>
              <w:pStyle w:val="Compact"/>
              <w:jc w:val="left"/>
            </w:pPr>
            <w:r>
              <w:rPr>
                <w:b w:val="0"/>
              </w:rPr>
              <w:t xml:space="preserve">    pub_sub.py</w:t>
            </w:r>
          </w:p>
        </w:tc>
        <w:tc>
          <w:tcPr>
            <w:tcW w:type="dxa" w:w="3377"/>
          </w:tcPr>
          <w:p>
            <w:pPr>
              <w:pStyle w:val="Compact"/>
              <w:jc w:val="left"/>
            </w:pPr>
            <w:r>
              <w:rPr>
                <w:b w:val="0"/>
              </w:rPr>
              <w:t>Cola Pub/Sub multithreading</w:t>
            </w:r>
          </w:p>
        </w:tc>
      </w:tr>
      <w:tr>
        <w:tc>
          <w:tcPr>
            <w:tcW w:type="dxa" w:w="5461"/>
          </w:tcPr>
          <w:p>
            <w:pPr>
              <w:pStyle w:val="Compact"/>
              <w:jc w:val="left"/>
            </w:pPr>
            <w:r>
              <w:rPr>
                <w:b w:val="0"/>
              </w:rPr>
              <w:t xml:space="preserve">    adaptive_workers.py</w:t>
            </w:r>
          </w:p>
        </w:tc>
        <w:tc>
          <w:tcPr>
            <w:tcW w:type="dxa" w:w="3377"/>
          </w:tcPr>
          <w:p>
            <w:pPr>
              <w:pStyle w:val="Compact"/>
              <w:jc w:val="left"/>
            </w:pPr>
            <w:r>
              <w:rPr>
                <w:b w:val="0"/>
              </w:rPr>
              <w:t>Controlador AIMD</w:t>
            </w:r>
          </w:p>
        </w:tc>
      </w:tr>
      <w:tr>
        <w:tc>
          <w:tcPr>
            <w:tcW w:type="dxa" w:w="5461"/>
          </w:tcPr>
          <w:p>
            <w:pPr>
              <w:pStyle w:val="Compact"/>
              <w:jc w:val="left"/>
            </w:pPr>
            <w:r>
              <w:rPr>
                <w:b w:val="0"/>
              </w:rPr>
              <w:t xml:space="preserve">    checkpoint.py</w:t>
            </w:r>
          </w:p>
        </w:tc>
        <w:tc>
          <w:tcPr>
            <w:tcW w:type="dxa" w:w="3377"/>
          </w:tcPr>
          <w:p>
            <w:pPr>
              <w:pStyle w:val="Compact"/>
              <w:jc w:val="left"/>
            </w:pPr>
            <w:r>
              <w:rPr>
                <w:b w:val="0"/>
              </w:rPr>
              <w:t>Persistencia de estado</w:t>
            </w:r>
          </w:p>
        </w:tc>
      </w:tr>
      <w:tr>
        <w:tc>
          <w:tcPr>
            <w:tcW w:type="dxa" w:w="5461"/>
          </w:tcPr>
          <w:p>
            <w:pPr>
              <w:pStyle w:val="Compact"/>
              <w:jc w:val="left"/>
            </w:pPr>
            <w:r>
              <w:rPr>
                <w:b w:val="0"/>
              </w:rPr>
              <w:t xml:space="preserve">    rag_manager.py</w:t>
            </w:r>
          </w:p>
        </w:tc>
        <w:tc>
          <w:tcPr>
            <w:tcW w:type="dxa" w:w="3377"/>
          </w:tcPr>
          <w:p>
            <w:pPr>
              <w:pStyle w:val="Compact"/>
              <w:jc w:val="left"/>
            </w:pPr>
            <w:r>
              <w:rPr>
                <w:b w:val="0"/>
              </w:rPr>
              <w:t>RAGManager: Dict-RAG legacy (v1.0)</w:t>
            </w:r>
          </w:p>
        </w:tc>
      </w:tr>
      <w:tr>
        <w:tc>
          <w:tcPr>
            <w:tcW w:type="dxa" w:w="5461"/>
          </w:tcPr>
          <w:p>
            <w:pPr>
              <w:pStyle w:val="Compact"/>
              <w:jc w:val="left"/>
            </w:pPr>
            <w:r>
              <w:rPr>
                <w:b w:val="0"/>
              </w:rPr>
              <w:t xml:space="preserve">    kb_rag_manager.py</w:t>
            </w:r>
          </w:p>
        </w:tc>
        <w:tc>
          <w:tcPr>
            <w:tcW w:type="dxa" w:w="3377"/>
          </w:tcPr>
          <w:p>
            <w:pPr>
              <w:pStyle w:val="Compact"/>
              <w:jc w:val="left"/>
            </w:pPr>
            <w:r>
              <w:rPr>
                <w:b w:val="0"/>
              </w:rPr>
              <w:t>KBRAGManager: KB RAG contextual (v1.1, NUEVO)</w:t>
            </w:r>
          </w:p>
        </w:tc>
      </w:tr>
      <w:tr>
        <w:tc>
          <w:tcPr>
            <w:tcW w:type="dxa" w:w="5461"/>
          </w:tcPr>
          <w:p>
            <w:pPr>
              <w:pStyle w:val="Compact"/>
              <w:jc w:val="left"/>
            </w:pPr>
            <w:r>
              <w:rPr>
                <w:b w:val="0"/>
              </w:rPr>
              <w:t xml:space="preserve">    dashboard.py</w:t>
            </w:r>
          </w:p>
        </w:tc>
        <w:tc>
          <w:tcPr>
            <w:tcW w:type="dxa" w:w="3377"/>
          </w:tcPr>
          <w:p>
            <w:pPr>
              <w:pStyle w:val="Compact"/>
              <w:jc w:val="left"/>
            </w:pPr>
            <w:r>
              <w:rPr>
                <w:b w:val="0"/>
              </w:rPr>
              <w:t>Interfaz Streamlit (7 pestañas)</w:t>
            </w:r>
          </w:p>
        </w:tc>
      </w:tr>
      <w:tr>
        <w:tc>
          <w:tcPr>
            <w:tcW w:type="dxa" w:w="5461"/>
          </w:tcPr>
          <w:p>
            <w:pPr>
              <w:pStyle w:val="Compact"/>
              <w:jc w:val="left"/>
            </w:pPr>
            <w:r>
              <w:rPr>
                <w:b w:val="0"/>
              </w:rPr>
              <w:t xml:space="preserve">    statistics.py</w:t>
            </w:r>
          </w:p>
        </w:tc>
        <w:tc>
          <w:tcPr>
            <w:tcW w:type="dxa" w:w="3377"/>
          </w:tcPr>
          <w:p>
            <w:pPr>
              <w:pStyle w:val="Compact"/>
              <w:jc w:val="left"/>
            </w:pPr>
            <w:r>
              <w:rPr>
                <w:b w:val="0"/>
              </w:rPr>
              <w:t>ANOVA + Tukey HSD + IC95</w:t>
            </w:r>
          </w:p>
        </w:tc>
      </w:tr>
      <w:tr>
        <w:tc>
          <w:tcPr>
            <w:tcW w:type="dxa" w:w="5461"/>
          </w:tcPr>
          <w:p>
            <w:pPr>
              <w:pStyle w:val="Compact"/>
              <w:jc w:val="left"/>
            </w:pPr>
            <w:r>
              <w:rPr>
                <w:b w:val="0"/>
              </w:rPr>
              <w:t xml:space="preserve">    providers/</w:t>
            </w:r>
          </w:p>
        </w:tc>
        <w:tc>
          <w:tcPr>
            <w:tcW w:type="dxa" w:w="3377"/>
          </w:tcPr>
          <w:p>
            <w:pPr>
              <w:pStyle w:val="Compact"/>
              <w:jc w:val="left"/>
            </w:pPr>
          </w:p>
        </w:tc>
      </w:tr>
      <w:tr>
        <w:tc>
          <w:tcPr>
            <w:tcW w:type="dxa" w:w="5461"/>
          </w:tcPr>
          <w:p>
            <w:pPr>
              <w:pStyle w:val="Compact"/>
              <w:jc w:val="left"/>
            </w:pPr>
            <w:r>
              <w:rPr>
                <w:b w:val="0"/>
              </w:rPr>
              <w:t xml:space="preserve">        base.py</w:t>
            </w:r>
          </w:p>
        </w:tc>
        <w:tc>
          <w:tcPr>
            <w:tcW w:type="dxa" w:w="3377"/>
          </w:tcPr>
          <w:p>
            <w:pPr>
              <w:pStyle w:val="Compact"/>
              <w:jc w:val="left"/>
            </w:pPr>
            <w:r>
              <w:rPr>
                <w:b w:val="0"/>
              </w:rPr>
              <w:t>LLMProvider ABC</w:t>
            </w:r>
          </w:p>
        </w:tc>
      </w:tr>
      <w:tr>
        <w:tc>
          <w:tcPr>
            <w:tcW w:type="dxa" w:w="5461"/>
          </w:tcPr>
          <w:p>
            <w:pPr>
              <w:pStyle w:val="Compact"/>
              <w:jc w:val="left"/>
            </w:pPr>
            <w:r>
              <w:rPr>
                <w:b w:val="0"/>
              </w:rPr>
              <w:t xml:space="preserve">        factory.py</w:t>
            </w:r>
          </w:p>
        </w:tc>
        <w:tc>
          <w:tcPr>
            <w:tcW w:type="dxa" w:w="3377"/>
          </w:tcPr>
          <w:p>
            <w:pPr>
              <w:pStyle w:val="Compact"/>
              <w:jc w:val="left"/>
            </w:pPr>
            <w:r>
              <w:rPr>
                <w:b w:val="0"/>
              </w:rPr>
              <w:t>LLMProviderFactory</w:t>
            </w:r>
          </w:p>
        </w:tc>
      </w:tr>
      <w:tr>
        <w:tc>
          <w:tcPr>
            <w:tcW w:type="dxa" w:w="5461"/>
          </w:tcPr>
          <w:p>
            <w:pPr>
              <w:pStyle w:val="Compact"/>
              <w:jc w:val="left"/>
            </w:pPr>
            <w:r>
              <w:rPr>
                <w:b w:val="0"/>
              </w:rPr>
              <w:t xml:space="preserve">        ollama_provider.py</w:t>
            </w:r>
          </w:p>
        </w:tc>
        <w:tc>
          <w:tcPr>
            <w:tcW w:type="dxa" w:w="3377"/>
          </w:tcPr>
          <w:p>
            <w:pPr>
              <w:pStyle w:val="Compact"/>
              <w:jc w:val="left"/>
            </w:pPr>
            <w:r>
              <w:rPr>
                <w:b w:val="0"/>
              </w:rPr>
              <w:t>Proveedor Ollama (+template KB RAG, v1.1)</w:t>
            </w:r>
          </w:p>
        </w:tc>
      </w:tr>
      <w:tr>
        <w:tc>
          <w:tcPr>
            <w:tcW w:type="dxa" w:w="5461"/>
          </w:tcPr>
          <w:p>
            <w:pPr>
              <w:pStyle w:val="Compact"/>
              <w:jc w:val="left"/>
            </w:pPr>
            <w:r>
              <w:rPr>
                <w:b w:val="0"/>
              </w:rPr>
              <w:t xml:space="preserve">        openai_provider.py</w:t>
            </w:r>
          </w:p>
        </w:tc>
        <w:tc>
          <w:tcPr>
            <w:tcW w:type="dxa" w:w="3377"/>
          </w:tcPr>
          <w:p>
            <w:pPr>
              <w:pStyle w:val="Compact"/>
              <w:jc w:val="left"/>
            </w:pPr>
            <w:r>
              <w:rPr>
                <w:b w:val="0"/>
              </w:rPr>
              <w:t>Proveedor OpenAI (cloud)</w:t>
            </w:r>
          </w:p>
        </w:tc>
      </w:tr>
      <w:tr>
        <w:tc>
          <w:tcPr>
            <w:tcW w:type="dxa" w:w="5461"/>
          </w:tcPr>
          <w:p>
            <w:pPr>
              <w:pStyle w:val="Compact"/>
              <w:jc w:val="left"/>
            </w:pPr>
            <w:r>
              <w:rPr>
                <w:b w:val="0"/>
              </w:rPr>
              <w:t xml:space="preserve">        __init__.py</w:t>
            </w:r>
          </w:p>
        </w:tc>
        <w:tc>
          <w:tcPr>
            <w:tcW w:type="dxa" w:w="3377"/>
          </w:tcPr>
          <w:p>
            <w:pPr>
              <w:pStyle w:val="Compact"/>
              <w:jc w:val="left"/>
            </w:pPr>
            <w:r>
              <w:rPr>
                <w:b w:val="0"/>
              </w:rPr>
              <w:t>Facade get_provider()</w:t>
            </w:r>
          </w:p>
        </w:tc>
      </w:tr>
      <w:tr>
        <w:tc>
          <w:tcPr>
            <w:tcW w:type="dxa" w:w="5461"/>
          </w:tcPr>
          <w:p>
            <w:pPr>
              <w:pStyle w:val="Compact"/>
              <w:jc w:val="left"/>
            </w:pPr>
            <w:r>
              <w:rPr>
                <w:b w:val="0"/>
              </w:rPr>
              <w:t>data/</w:t>
            </w:r>
          </w:p>
        </w:tc>
        <w:tc>
          <w:tcPr>
            <w:tcW w:type="dxa" w:w="3377"/>
          </w:tcPr>
          <w:p>
            <w:pPr>
              <w:pStyle w:val="Compact"/>
              <w:jc w:val="left"/>
            </w:pPr>
          </w:p>
        </w:tc>
      </w:tr>
      <w:tr>
        <w:tc>
          <w:tcPr>
            <w:tcW w:type="dxa" w:w="5461"/>
          </w:tcPr>
          <w:p>
            <w:pPr>
              <w:pStyle w:val="Compact"/>
              <w:jc w:val="left"/>
            </w:pPr>
            <w:r>
              <w:rPr>
                <w:b w:val="0"/>
              </w:rPr>
              <w:t xml:space="preserve">    benchmark_balanced_120.json</w:t>
            </w:r>
          </w:p>
        </w:tc>
        <w:tc>
          <w:tcPr>
            <w:tcW w:type="dxa" w:w="3377"/>
          </w:tcPr>
          <w:p>
            <w:pPr>
              <w:pStyle w:val="Compact"/>
              <w:jc w:val="left"/>
            </w:pPr>
            <w:r>
              <w:rPr>
                <w:b w:val="0"/>
              </w:rPr>
              <w:t>Corpus N=120 (Gold Standard real)</w:t>
            </w:r>
          </w:p>
        </w:tc>
      </w:tr>
      <w:tr>
        <w:tc>
          <w:tcPr>
            <w:tcW w:type="dxa" w:w="5461"/>
          </w:tcPr>
          <w:p>
            <w:pPr>
              <w:pStyle w:val="Compact"/>
              <w:jc w:val="left"/>
            </w:pPr>
            <w:r>
              <w:rPr>
                <w:b w:val="0"/>
              </w:rPr>
              <w:t xml:space="preserve">    dictionaries/</w:t>
            </w:r>
          </w:p>
        </w:tc>
        <w:tc>
          <w:tcPr>
            <w:tcW w:type="dxa" w:w="3377"/>
          </w:tcPr>
          <w:p>
            <w:pPr>
              <w:pStyle w:val="Compact"/>
              <w:jc w:val="left"/>
            </w:pPr>
          </w:p>
        </w:tc>
      </w:tr>
      <w:tr>
        <w:tc>
          <w:tcPr>
            <w:tcW w:type="dxa" w:w="5461"/>
          </w:tcPr>
          <w:p>
            <w:pPr>
              <w:pStyle w:val="Compact"/>
              <w:jc w:val="left"/>
            </w:pPr>
            <w:r>
              <w:rPr>
                <w:b w:val="0"/>
              </w:rPr>
              <w:t xml:space="preserve">        persons.json</w:t>
            </w:r>
          </w:p>
        </w:tc>
        <w:tc>
          <w:tcPr>
            <w:tcW w:type="dxa" w:w="3377"/>
          </w:tcPr>
          <w:p>
            <w:pPr>
              <w:pStyle w:val="Compact"/>
              <w:jc w:val="left"/>
            </w:pPr>
            <w:r>
              <w:rPr>
                <w:b w:val="0"/>
              </w:rPr>
              <w:t>Diccionario de personas (v1.0)</w:t>
            </w:r>
          </w:p>
        </w:tc>
      </w:tr>
      <w:tr>
        <w:tc>
          <w:tcPr>
            <w:tcW w:type="dxa" w:w="5461"/>
          </w:tcPr>
          <w:p>
            <w:pPr>
              <w:pStyle w:val="Compact"/>
              <w:jc w:val="left"/>
            </w:pPr>
            <w:r>
              <w:rPr>
                <w:b w:val="0"/>
              </w:rPr>
              <w:t xml:space="preserve">        organizations.json</w:t>
            </w:r>
          </w:p>
        </w:tc>
        <w:tc>
          <w:tcPr>
            <w:tcW w:type="dxa" w:w="3377"/>
          </w:tcPr>
          <w:p>
            <w:pPr>
              <w:pStyle w:val="Compact"/>
              <w:jc w:val="left"/>
            </w:pPr>
            <w:r>
              <w:rPr>
                <w:b w:val="0"/>
              </w:rPr>
              <w:t>Diccionario de organizaciones (v1.0)</w:t>
            </w:r>
          </w:p>
        </w:tc>
      </w:tr>
      <w:tr>
        <w:tc>
          <w:tcPr>
            <w:tcW w:type="dxa" w:w="5461"/>
          </w:tcPr>
          <w:p>
            <w:pPr>
              <w:pStyle w:val="Compact"/>
              <w:jc w:val="left"/>
            </w:pPr>
            <w:r>
              <w:rPr>
                <w:b w:val="0"/>
              </w:rPr>
              <w:t xml:space="preserve">        augmented_persons.json</w:t>
            </w:r>
          </w:p>
        </w:tc>
        <w:tc>
          <w:tcPr>
            <w:tcW w:type="dxa" w:w="3377"/>
          </w:tcPr>
          <w:p>
            <w:pPr>
              <w:pStyle w:val="Compact"/>
              <w:jc w:val="left"/>
            </w:pPr>
            <w:r>
              <w:rPr>
                <w:b w:val="0"/>
              </w:rPr>
              <w:t>Personas aumentadas (v1.0)</w:t>
            </w:r>
          </w:p>
        </w:tc>
      </w:tr>
      <w:tr>
        <w:tc>
          <w:tcPr>
            <w:tcW w:type="dxa" w:w="5461"/>
          </w:tcPr>
          <w:p>
            <w:pPr>
              <w:pStyle w:val="Compact"/>
              <w:jc w:val="left"/>
            </w:pPr>
            <w:r>
              <w:rPr>
                <w:b w:val="0"/>
              </w:rPr>
              <w:t xml:space="preserve">    knowledge_base/</w:t>
            </w:r>
          </w:p>
        </w:tc>
        <w:tc>
          <w:tcPr>
            <w:tcW w:type="dxa" w:w="3377"/>
          </w:tcPr>
          <w:p>
            <w:pPr>
              <w:pStyle w:val="Compact"/>
              <w:jc w:val="left"/>
            </w:pPr>
            <w:r>
              <w:rPr>
                <w:b w:val="0"/>
              </w:rPr>
              <w:t>Base de Conocimientos KB RAG (v1.1, NUEVO)</w:t>
            </w:r>
          </w:p>
        </w:tc>
      </w:tr>
      <w:tr>
        <w:tc>
          <w:tcPr>
            <w:tcW w:type="dxa" w:w="5461"/>
          </w:tcPr>
          <w:p>
            <w:pPr>
              <w:pStyle w:val="Compact"/>
              <w:jc w:val="left"/>
            </w:pPr>
            <w:r>
              <w:rPr>
                <w:b w:val="0"/>
              </w:rPr>
              <w:t xml:space="preserve">        domain_guidelines.json</w:t>
            </w:r>
          </w:p>
        </w:tc>
        <w:tc>
          <w:tcPr>
            <w:tcW w:type="dxa" w:w="3377"/>
          </w:tcPr>
          <w:p>
            <w:pPr>
              <w:pStyle w:val="Compact"/>
              <w:jc w:val="left"/>
            </w:pPr>
            <w:r>
              <w:rPr>
                <w:b w:val="0"/>
              </w:rPr>
              <w:t>5 dominios con reglas NER tipológicas</w:t>
            </w:r>
          </w:p>
        </w:tc>
      </w:tr>
      <w:tr>
        <w:tc>
          <w:tcPr>
            <w:tcW w:type="dxa" w:w="5461"/>
          </w:tcPr>
          <w:p>
            <w:pPr>
              <w:pStyle w:val="Compact"/>
              <w:jc w:val="left"/>
            </w:pPr>
            <w:r>
              <w:rPr>
                <w:b w:val="0"/>
              </w:rPr>
              <w:t xml:space="preserve">        few_shot_exemplars.json</w:t>
            </w:r>
          </w:p>
        </w:tc>
        <w:tc>
          <w:tcPr>
            <w:tcW w:type="dxa" w:w="3377"/>
          </w:tcPr>
          <w:p>
            <w:pPr>
              <w:pStyle w:val="Compact"/>
              <w:jc w:val="left"/>
            </w:pPr>
            <w:r>
              <w:rPr>
                <w:b w:val="0"/>
              </w:rPr>
              <w:t>7 ejemplares anotados (artículos reales)</w:t>
            </w:r>
          </w:p>
        </w:tc>
      </w:tr>
      <w:tr>
        <w:tc>
          <w:tcPr>
            <w:tcW w:type="dxa" w:w="5461"/>
          </w:tcPr>
          <w:p>
            <w:pPr>
              <w:pStyle w:val="Compact"/>
              <w:jc w:val="left"/>
            </w:pPr>
            <w:r>
              <w:rPr>
                <w:b w:val="0"/>
              </w:rPr>
              <w:t>results/</w:t>
            </w:r>
          </w:p>
        </w:tc>
        <w:tc>
          <w:tcPr>
            <w:tcW w:type="dxa" w:w="3377"/>
          </w:tcPr>
          <w:p>
            <w:pPr>
              <w:pStyle w:val="Compact"/>
              <w:jc w:val="left"/>
            </w:pPr>
            <w:r>
              <w:rPr>
                <w:b w:val="0"/>
              </w:rPr>
              <w:t>Salidas del benchmark</w:t>
            </w:r>
          </w:p>
        </w:tc>
      </w:tr>
      <w:tr>
        <w:tc>
          <w:tcPr>
            <w:tcW w:type="dxa" w:w="5461"/>
          </w:tcPr>
          <w:p>
            <w:pPr>
              <w:pStyle w:val="Compact"/>
              <w:jc w:val="left"/>
            </w:pPr>
            <w:r>
              <w:rPr>
                <w:b w:val="0"/>
              </w:rPr>
              <w:t xml:space="preserve">    benchmark_results.csv</w:t>
            </w:r>
          </w:p>
        </w:tc>
        <w:tc>
          <w:tcPr>
            <w:tcW w:type="dxa" w:w="3377"/>
          </w:tcPr>
          <w:p>
            <w:pPr>
              <w:pStyle w:val="Compact"/>
              <w:jc w:val="left"/>
            </w:pPr>
          </w:p>
        </w:tc>
      </w:tr>
      <w:tr>
        <w:tc>
          <w:tcPr>
            <w:tcW w:type="dxa" w:w="5461"/>
          </w:tcPr>
          <w:p>
            <w:pPr>
              <w:pStyle w:val="Compact"/>
              <w:jc w:val="left"/>
            </w:pPr>
            <w:r>
              <w:rPr>
                <w:b w:val="0"/>
              </w:rPr>
              <w:t xml:space="preserve">    statistical_report.md</w:t>
            </w:r>
          </w:p>
        </w:tc>
        <w:tc>
          <w:tcPr>
            <w:tcW w:type="dxa" w:w="3377"/>
          </w:tcPr>
          <w:p>
            <w:pPr>
              <w:pStyle w:val="Compact"/>
              <w:jc w:val="left"/>
            </w:pPr>
          </w:p>
        </w:tc>
      </w:tr>
      <w:tr>
        <w:tc>
          <w:tcPr>
            <w:tcW w:type="dxa" w:w="5461"/>
          </w:tcPr>
          <w:p>
            <w:pPr>
              <w:pStyle w:val="Compact"/>
              <w:jc w:val="left"/>
            </w:pPr>
            <w:r>
              <w:rPr>
                <w:b w:val="0"/>
              </w:rPr>
              <w:t xml:space="preserve">    benchmark_balanced_120_&lt;timestamp&gt;/</w:t>
            </w:r>
          </w:p>
        </w:tc>
        <w:tc>
          <w:tcPr>
            <w:tcW w:type="dxa" w:w="3377"/>
          </w:tcPr>
          <w:p>
            <w:pPr>
              <w:pStyle w:val="Compact"/>
              <w:jc w:val="left"/>
            </w:pPr>
            <w:r>
              <w:rPr>
                <w:b w:val="0"/>
              </w:rPr>
              <w:t>Resultados por ejecución</w:t>
            </w:r>
          </w:p>
        </w:tc>
      </w:tr>
      <w:tr>
        <w:tc>
          <w:tcPr>
            <w:tcW w:type="dxa" w:w="5461"/>
          </w:tcPr>
          <w:p>
            <w:pPr>
              <w:pStyle w:val="Compact"/>
              <w:jc w:val="left"/>
            </w:pPr>
            <w:r>
              <w:rPr>
                <w:b w:val="0"/>
              </w:rPr>
              <w:t>research/</w:t>
            </w:r>
          </w:p>
        </w:tc>
        <w:tc>
          <w:tcPr>
            <w:tcW w:type="dxa" w:w="3377"/>
          </w:tcPr>
          <w:p>
            <w:pPr>
              <w:pStyle w:val="Compact"/>
              <w:jc w:val="left"/>
            </w:pPr>
          </w:p>
        </w:tc>
      </w:tr>
      <w:tr>
        <w:tc>
          <w:tcPr>
            <w:tcW w:type="dxa" w:w="5461"/>
          </w:tcPr>
          <w:p>
            <w:pPr>
              <w:pStyle w:val="Compact"/>
              <w:jc w:val="left"/>
            </w:pPr>
            <w:r>
              <w:rPr>
                <w:b w:val="0"/>
              </w:rPr>
              <w:t xml:space="preserve">    rag/</w:t>
            </w:r>
          </w:p>
        </w:tc>
        <w:tc>
          <w:tcPr>
            <w:tcW w:type="dxa" w:w="3377"/>
          </w:tcPr>
          <w:p>
            <w:pPr>
              <w:pStyle w:val="Compact"/>
              <w:jc w:val="left"/>
            </w:pPr>
          </w:p>
        </w:tc>
      </w:tr>
      <w:tr>
        <w:tc>
          <w:tcPr>
            <w:tcW w:type="dxa" w:w="5461"/>
          </w:tcPr>
          <w:p>
            <w:pPr>
              <w:pStyle w:val="Compact"/>
              <w:jc w:val="left"/>
            </w:pPr>
            <w:r>
              <w:rPr>
                <w:b w:val="0"/>
              </w:rPr>
              <w:t xml:space="preserve">        2026-08-31_analisis_contenido_rag_base_conocimientos.md</w:t>
            </w:r>
          </w:p>
        </w:tc>
        <w:tc>
          <w:tcPr>
            <w:tcW w:type="dxa" w:w="3377"/>
          </w:tcPr>
          <w:p>
            <w:pPr>
              <w:pStyle w:val="Compact"/>
              <w:jc w:val="left"/>
            </w:pPr>
            <w:r>
              <w:rPr>
                <w:b w:val="0"/>
              </w:rPr>
              <w:t>Investigación RAG</w:t>
            </w:r>
          </w:p>
        </w:tc>
      </w:tr>
      <w:tr>
        <w:tc>
          <w:tcPr>
            <w:tcW w:type="dxa" w:w="5461"/>
          </w:tcPr>
          <w:p>
            <w:pPr>
              <w:pStyle w:val="Compact"/>
              <w:jc w:val="left"/>
            </w:pPr>
            <w:r>
              <w:rPr>
                <w:b w:val="0"/>
              </w:rPr>
              <w:t xml:space="preserve">        TODO-RAG-20260901.md</w:t>
            </w:r>
          </w:p>
        </w:tc>
        <w:tc>
          <w:tcPr>
            <w:tcW w:type="dxa" w:w="3377"/>
          </w:tcPr>
          <w:p>
            <w:pPr>
              <w:pStyle w:val="Compact"/>
              <w:jc w:val="left"/>
            </w:pPr>
            <w:r>
              <w:rPr>
                <w:b w:val="0"/>
              </w:rPr>
              <w:t>Tracking implementación</w:t>
            </w:r>
          </w:p>
        </w:tc>
      </w:tr>
      <w:tr>
        <w:tc>
          <w:tcPr>
            <w:tcW w:type="dxa" w:w="5461"/>
          </w:tcPr>
          <w:p>
            <w:pPr>
              <w:pStyle w:val="Compact"/>
              <w:jc w:val="left"/>
            </w:pPr>
            <w:r>
              <w:rPr>
                <w:b w:val="0"/>
              </w:rPr>
              <w:t xml:space="preserve">        WORKLOG.md</w:t>
            </w:r>
          </w:p>
        </w:tc>
        <w:tc>
          <w:tcPr>
            <w:tcW w:type="dxa" w:w="3377"/>
          </w:tcPr>
          <w:p>
            <w:pPr>
              <w:pStyle w:val="Compact"/>
              <w:jc w:val="left"/>
            </w:pPr>
            <w:r>
              <w:rPr>
                <w:b w:val="0"/>
              </w:rPr>
              <w:t>Bitácora de trabajo</w:t>
            </w:r>
          </w:p>
        </w:tc>
      </w:tr>
      <w:tr>
        <w:tc>
          <w:tcPr>
            <w:tcW w:type="dxa" w:w="5461"/>
          </w:tcPr>
          <w:p>
            <w:pPr>
              <w:pStyle w:val="Compact"/>
              <w:jc w:val="left"/>
            </w:pPr>
            <w:r>
              <w:rPr>
                <w:b w:val="0"/>
              </w:rPr>
              <w:t>SYSTEM_PROMPT.md</w:t>
            </w:r>
          </w:p>
        </w:tc>
        <w:tc>
          <w:tcPr>
            <w:tcW w:type="dxa" w:w="3377"/>
          </w:tcPr>
          <w:p>
            <w:pPr>
              <w:pStyle w:val="Compact"/>
              <w:jc w:val="left"/>
            </w:pPr>
            <w:r>
              <w:rPr>
                <w:b w:val="0"/>
              </w:rPr>
              <w:t>Prompt del sistema (few-shot español)</w:t>
            </w:r>
          </w:p>
        </w:tc>
      </w:tr>
      <w:tr>
        <w:tc>
          <w:tcPr>
            <w:tcW w:type="dxa" w:w="5461"/>
          </w:tcPr>
          <w:p>
            <w:pPr>
              <w:pStyle w:val="Compact"/>
              <w:jc w:val="left"/>
            </w:pPr>
            <w:r>
              <w:rPr>
                <w:b w:val="0"/>
              </w:rPr>
              <w:t>SYSTEM_PROMPT_EN.md</w:t>
            </w:r>
          </w:p>
        </w:tc>
        <w:tc>
          <w:tcPr>
            <w:tcW w:type="dxa" w:w="3377"/>
          </w:tcPr>
          <w:p>
            <w:pPr>
              <w:pStyle w:val="Compact"/>
              <w:jc w:val="left"/>
            </w:pPr>
            <w:r>
              <w:rPr>
                <w:b w:val="0"/>
              </w:rPr>
              <w:t>Prompt del sistema (inglés)</w:t>
            </w:r>
          </w:p>
        </w:tc>
      </w:tr>
      <w:tr>
        <w:tc>
          <w:tcPr>
            <w:tcW w:type="dxa" w:w="5461"/>
          </w:tcPr>
          <w:p>
            <w:pPr>
              <w:pStyle w:val="Compact"/>
              <w:jc w:val="left"/>
            </w:pPr>
            <w:r>
              <w:rPr>
                <w:b w:val="0"/>
              </w:rPr>
              <w:t>SYSTEM_PROMPT_ES.md</w:t>
            </w:r>
          </w:p>
        </w:tc>
        <w:tc>
          <w:tcPr>
            <w:tcW w:type="dxa" w:w="3377"/>
          </w:tcPr>
          <w:p>
            <w:pPr>
              <w:pStyle w:val="Compact"/>
              <w:jc w:val="left"/>
            </w:pPr>
            <w:r>
              <w:rPr>
                <w:b w:val="0"/>
              </w:rPr>
              <w:t>Prompt del sistema (español)</w:t>
            </w:r>
          </w:p>
        </w:tc>
      </w:tr>
    </w:tbl>
    <w:p>
      <w:pPr>
        <w:numPr>
          <w:ilvl w:val="0"/>
          <w:numId w:val="0"/>
        </w:numPr>
        <w:pStyle w:val="Heading2"/>
      </w:pPr>
      <w:r>
        <w:t>Anexo B — Prompt del Sistema (Versión Few-Shot Español)</w:t>
      </w:r>
    </w:p>
    <w:p>
      <w:pPr>
        <w:numPr>
          <w:ilvl w:val="0"/>
          <w:numId w:val="0"/>
        </w:numPr>
        <w:pStyle w:val="BodyText"/>
      </w:pPr>
      <w:r>
        <w:t>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numPr>
          <w:ilvl w:val="0"/>
          <w:numId w:val="0"/>
        </w:numPr>
        <w:pStyle w:val="Normal"/>
      </w:pPr>
      <w:r>
        <w:rPr>
          <w:b/>
        </w:rPr>
        <w:t>Ejemplos few-shot de la configuración FS-ES</w:t>
      </w:r>
      <w:r>
        <w:t xml:space="preserve"> (§4.3):</w:t>
      </w:r>
    </w:p>
    <w:p>
      <w:pPr>
        <w:numPr>
          <w:ilvl w:val="0"/>
          <w:numId w:val="0"/>
        </w:numPr>
        <w:pStyle w:val="Normal"/>
      </w:pPr>
      <w:r>
        <w:rPr>
          <w:b/>
        </w:rPr>
        <w:t>Ejemplo few-shot 1 (caso persona sancionada):</w:t>
      </w:r>
    </w:p>
    <w:p>
      <w:pPr>
        <w:numPr>
          <w:ilvl w:val="0"/>
          <w:numId w:val="0"/>
        </w:numPr>
        <w:pStyle w:val="SourceCode"/>
      </w:pPr>
      <w:r>
        <w:t>Texto: "El empresario ruso Roman Abramovich fue incluido en las listas de sanciones de la Unión Europea por sus vínculos con el régimen del Kremlin a través de su empresa Evraz PLC."</w:t>
      </w:r>
      <w:r>
        <w:br/>
      </w:r>
      <w:r>
        <w:t>Respuesta: {"Persons": ["Roman Abramovich"], "Organizations": ["Evraz PLC"]}</w:t>
      </w:r>
    </w:p>
    <w:p>
      <w:pPr>
        <w:numPr>
          <w:ilvl w:val="0"/>
          <w:numId w:val="0"/>
        </w:numPr>
        <w:pStyle w:val="Normal"/>
      </w:pPr>
      <w:r>
        <w:rPr>
          <w:b/>
        </w:rPr>
        <w:t>Ejemplo few-shot 2 (caso organización sancionada):</w:t>
      </w:r>
    </w:p>
    <w:p>
      <w:pPr>
        <w:numPr>
          <w:ilvl w:val="0"/>
          <w:numId w:val="0"/>
        </w:numPr>
        <w:pStyle w:val="SourceCode"/>
      </w:pPr>
      <w:r>
        <w:t>Texto: "El Departamento del Tesoro de los Estados Unidos sancionó al banco Rossiya, señalándolo como banco personal de altos funcionarios del gobierno ruso."</w:t>
      </w:r>
      <w:r>
        <w:br/>
      </w:r>
      <w:r>
        <w:t>Respuesta: {"Persons": [], "Organizations": ["Banco Rossiya", "Departamento del Tesoro"]}</w:t>
      </w:r>
    </w:p>
    <w:p>
      <w:pPr>
        <w:numPr>
          <w:ilvl w:val="0"/>
          <w:numId w:val="0"/>
        </w:numPr>
        <w:pStyle w:val="Normal"/>
      </w:pPr>
      <w:r>
        <w:rPr>
          <w:b/>
        </w:rPr>
        <w:t>Ejemplo few-shot 3 (caso PEP complejo):</w:t>
      </w:r>
    </w:p>
    <w:p>
      <w:pPr>
        <w:numPr>
          <w:ilvl w:val="0"/>
          <w:numId w:val="0"/>
        </w:numPr>
        <w:pStyle w:val="SourceCode"/>
      </w:pPr>
      <w:r>
        <w:t>Texto: "Isabel dos Santos, hija del expresidente angoleño José Eduardo dos Santos, figura en investigaciones de la empresa estatal Sonangol por presunto desvío de fondos."</w:t>
      </w:r>
      <w:r>
        <w:br/>
      </w:r>
      <w:r>
        <w:t>Respuesta: {"Persons": ["Isabel dos Santos", "José Eduardo dos Santos"], "Organizations": ["Sonangol"]}</w:t>
      </w:r>
    </w:p>
    <w:p>
      <w:pPr>
        <w:numPr>
          <w:ilvl w:val="0"/>
          <w:numId w:val="0"/>
        </w:numPr>
        <w:pStyle w:val="Normal"/>
      </w:pPr>
      <w:r>
        <w:rPr>
          <w:b/>
        </w:rPr>
        <w:t>Prompt de generación del corpus sintético N=30</w:t>
      </w:r>
      <w:r>
        <w:t xml:space="preserve"> (§4.1.1), ejecutado sobre </w:t>
      </w:r>
      <w:r>
        <w:t>gemma4:31b</w:t>
      </w:r>
      <w:r>
        <w:t>:</w:t>
      </w:r>
    </w:p>
    <w:p>
      <w:pPr>
        <w:numPr>
          <w:ilvl w:val="0"/>
          <w:numId w:val="0"/>
        </w:numPr>
        <w:pStyle w:val="SourceCode"/>
      </w:pPr>
      <w:r>
        <w:t>Eres un periodista de investigación financiera. Redacta un párrafo corto (2-4 oraciones) en español sobre la entidad "{entidad_PER}" vinculada a "{entidad_ORG}" en el contexto de [temática aleatoria]. El texto debe ser fáctico, neutro y similiar en estilo a noticias de compliance financiero. Debe mencionar exactamente estas entidades y no otras personas u organizaciones adicionales.</w:t>
      </w:r>
    </w:p>
    <w:p>
      <w:pPr>
        <w:numPr>
          <w:ilvl w:val="0"/>
          <w:numId w:val="0"/>
        </w:numPr>
        <w:pStyle w:val="Heading2"/>
      </w:pPr>
      <w:r>
        <w:t>Anexo C — Configuración del Entorno de Pruebas</w:t>
      </w:r>
    </w:p>
    <w:p>
      <w:pPr>
        <w:numPr>
          <w:ilvl w:val="0"/>
          <w:numId w:val="0"/>
        </w:numPr>
        <w:pStyle w:val="TableCaption"/>
      </w:pPr>
      <w:r>
        <w:t>Tabla 10. Configuración del entorno de pruebas.</w:t>
      </w:r>
    </w:p>
    <w:tbl>
      <w:tblPr>
        <w:tblStyle w:val="Table"/>
        <w:tblW w:type="pct" w:w="5000.0"/>
        <w:tblLook w:firstRow="1"/>
      </w:tblPr>
      <w:tblGrid>
        <w:gridCol w:w="4419"/>
        <w:gridCol w:w="4419"/>
      </w:tblGrid>
      <w:tr>
        <w:trPr>
          <w:cnfStyle w:firstRow="1"/>
        </w:trPr>
        <w:tc>
          <w:tcPr>
            <w:tcW w:type="dxa" w:w="4419"/>
            <w:tcBorders>
              <w:bottom w:val="single"/>
            </w:tcBorders>
            <w:vAlign w:val="bottom"/>
          </w:tcPr>
          <w:p>
            <w:pPr>
              <w:pStyle w:val="Compact"/>
              <w:jc w:val="left"/>
            </w:pPr>
            <w:r>
              <w:rPr>
                <w:b/>
              </w:rPr>
              <w:t>Componente</w:t>
            </w:r>
          </w:p>
        </w:tc>
        <w:tc>
          <w:tcPr>
            <w:tcW w:type="dxa" w:w="4419"/>
            <w:tcBorders>
              <w:bottom w:val="single"/>
            </w:tcBorders>
            <w:vAlign w:val="bottom"/>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gemma4:12b-mlx (7,7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Heading2"/>
      </w:pPr>
      <w:r>
        <w:t>Anexo D — Detalle Técnico de la Optimización del Módulo RAG Contextual (KB RAG)</w:t>
      </w:r>
    </w:p>
    <w:p>
      <w:pPr>
        <w:numPr>
          <w:ilvl w:val="0"/>
          <w:numId w:val="0"/>
        </w:numPr>
        <w:pStyle w:val="BodyText"/>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3"/>
      </w:pPr>
      <w:r>
        <w:t>D.1 Implementación técnica del módulo KB RAG (src/kb_rag_manager.py)</w:t>
      </w:r>
    </w:p>
    <w:p>
      <w:pPr>
        <w:numPr>
          <w:ilvl w:val="0"/>
          <w:numId w:val="0"/>
        </w:numPr>
        <w:pStyle w:val="BodyText"/>
      </w:pPr>
      <w:r>
        <w:t xml:space="preserve">El módulo src/kb_rag_manager.py (KBRAGManager) implementa cuatro modos de operación configurables; para el modo </w:t>
      </w:r>
      <w:r>
        <w:t>entities</w:t>
      </w:r>
      <w:r>
        <w:t xml:space="preserve"> el orquestador conserva la clase original </w:t>
      </w:r>
      <w:r>
        <w:t>RAGManager</w:t>
      </w:r>
      <w:r>
        <w:t xml:space="preserve"> de src/rag_manager.py, de modo que la línea base dict-RAG se ejecuta con el código previo sin modificar:</w:t>
      </w:r>
    </w:p>
    <w:p>
      <w:pPr>
        <w:numPr>
          <w:ilvl w:val="0"/>
          <w:numId w:val="0"/>
        </w:numPr>
        <w:pStyle w:val="TableCaption"/>
      </w:pPr>
      <w:r>
        <w:t>Tabla 11. Configuración CLI del Módulo KB RAG.</w:t>
      </w:r>
    </w:p>
    <w:tbl>
      <w:tblPr>
        <w:tblStyle w:val="Table"/>
        <w:tblW w:type="pct" w:w="5000.0"/>
        <w:tblLook w:firstRow="1"/>
      </w:tblPr>
      <w:tblGrid>
        <w:gridCol w:w="1148"/>
        <w:gridCol w:w="2121"/>
        <w:gridCol w:w="3004"/>
        <w:gridCol w:w="2565"/>
      </w:tblGrid>
      <w:tr>
        <w:trPr>
          <w:cnfStyle w:firstRow="1"/>
        </w:trPr>
        <w:tc>
          <w:tcPr>
            <w:tcW w:type="dxa" w:w="1148"/>
            <w:tcBorders>
              <w:bottom w:val="single"/>
            </w:tcBorders>
            <w:vAlign w:val="bottom"/>
          </w:tcPr>
          <w:p>
            <w:pPr>
              <w:pStyle w:val="Compact"/>
              <w:jc w:val="left"/>
            </w:pPr>
            <w:r>
              <w:rPr>
                <w:b/>
              </w:rPr>
              <w:t>Modo</w:t>
            </w:r>
          </w:p>
        </w:tc>
        <w:tc>
          <w:tcPr>
            <w:tcW w:type="dxa" w:w="2121"/>
            <w:tcBorders>
              <w:bottom w:val="single"/>
            </w:tcBorders>
            <w:vAlign w:val="bottom"/>
          </w:tcPr>
          <w:p>
            <w:pPr>
              <w:pStyle w:val="Compact"/>
              <w:jc w:val="left"/>
            </w:pPr>
            <w:r>
              <w:rPr>
                <w:b/>
              </w:rPr>
              <w:t>Flag CLI</w:t>
            </w:r>
          </w:p>
        </w:tc>
        <w:tc>
          <w:tcPr>
            <w:tcW w:type="dxa" w:w="3004"/>
            <w:tcBorders>
              <w:bottom w:val="single"/>
            </w:tcBorders>
            <w:vAlign w:val="bottom"/>
          </w:tcPr>
          <w:p>
            <w:pPr>
              <w:pStyle w:val="Compact"/>
              <w:jc w:val="left"/>
            </w:pPr>
            <w:r>
              <w:rPr>
                <w:b/>
              </w:rPr>
              <w:t>Descripción</w:t>
            </w:r>
          </w:p>
        </w:tc>
        <w:tc>
          <w:tcPr>
            <w:tcW w:type="dxa" w:w="2565"/>
            <w:tcBorders>
              <w:bottom w:val="single"/>
            </w:tcBorders>
            <w:vAlign w:val="bottom"/>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Normal"/>
      </w:pPr>
      <w:r>
        <w:t>La base de conocimientos se organiza en dos colecciones ChromaDB [32] separadas para garantizar compatibilidad con el sistema preexistente:</w:t>
      </w:r>
    </w:p>
    <w:p>
      <w:pPr>
        <w:numPr>
          <w:ilvl w:val="0"/>
          <w:numId w:val="0"/>
        </w:numPr>
        <w:pStyle w:val="Normal"/>
      </w:pPr>
      <w:r>
        <w:t>ner_dictionaries: Colección legacy (diccionarios de entidades, preservada)</w:t>
      </w:r>
    </w:p>
    <w:p>
      <w:pPr>
        <w:numPr>
          <w:ilvl w:val="0"/>
          <w:numId w:val="0"/>
        </w:numPr>
        <w:pStyle w:val="Normal"/>
      </w:pPr>
      <w:r>
        <w:t>ner_knowledge_base: Nueva colección (guías + ejemplares, 12 documentos)</w:t>
      </w:r>
    </w:p>
    <w:p>
      <w:pPr>
        <w:numPr>
          <w:ilvl w:val="0"/>
          <w:numId w:val="0"/>
        </w:numPr>
        <w:pStyle w:val="Normal"/>
      </w:pPr>
      <w:r>
        <w:t>Configurabilidad garantizada: El sistema es activable/desactivable mediante flags CLI sin modificar código:</w:t>
      </w:r>
    </w:p>
    <w:p>
      <w:pPr>
        <w:numPr>
          <w:ilvl w:val="0"/>
          <w:numId w:val="0"/>
        </w:numPr>
        <w:pStyle w:val="Source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Normal"/>
      </w:pPr>
      <w:r>
        <w:t>Template de inyección diferenciado: El módulo ollama_provider.py detecta automáticamente el tipo de contexto RAG y aplica el template apropiado:</w:t>
      </w:r>
    </w:p>
    <w:p>
      <w:pPr>
        <w:numPr>
          <w:ilvl w:val="0"/>
          <w:numId w:val="0"/>
        </w:numPr>
        <w:pStyle w:val="Normal"/>
      </w:pPr>
      <w:r>
        <w:t>Entity-dict RAG (legacy): Template restrictivo — "DO NOT extract unless they explicitly appear..." — previene alucinaciones de entidades ausentes.</w:t>
      </w:r>
    </w:p>
    <w:p>
      <w:pPr>
        <w:numPr>
          <w:ilvl w:val="0"/>
          <w:numId w:val="0"/>
        </w:numPr>
        <w:pStyle w:val="Normal"/>
      </w:pPr>
      <w:r>
        <w:t>KB RAG (nuevo): Template positivo — "[EXTRACTION GUIDANCE] Apply these rules to the news text" — instruye activamente al LLM sin suprimir su capacidad de extracción.</w:t>
      </w:r>
    </w:p>
    <w:p>
      <w:pPr>
        <w:numPr>
          <w:ilvl w:val="0"/>
          <w:numId w:val="0"/>
        </w:numPr>
        <w:pStyle w:val="Heading3"/>
      </w:pPr>
      <w:r>
        <w:t>D.2 Catálogo de guías tipológicas y ejemplares de la base de Conocimientos</w:t>
      </w:r>
    </w:p>
    <w:p>
      <w:pPr>
        <w:numPr>
          <w:ilvl w:val="0"/>
          <w:numId w:val="0"/>
        </w:numPr>
        <w:pStyle w:val="TableCaption"/>
      </w:pPr>
      <w:r>
        <w:t>Tabla 12. Guías Tipológicas de Dominio de la Base de Conocimientos.</w:t>
      </w:r>
    </w:p>
    <w:tbl>
      <w:tblPr>
        <w:tblStyle w:val="Table"/>
        <w:tblW w:type="pct" w:w="5000.0"/>
        <w:tblLook w:firstRow="1"/>
      </w:tblPr>
      <w:tblGrid>
        <w:gridCol w:w="2513"/>
        <w:gridCol w:w="2211"/>
        <w:gridCol w:w="900"/>
        <w:gridCol w:w="3214"/>
      </w:tblGrid>
      <w:tr>
        <w:trPr>
          <w:cnfStyle w:firstRow="1"/>
        </w:trPr>
        <w:tc>
          <w:tcPr>
            <w:tcW w:type="dxa" w:w="2513"/>
            <w:tcBorders>
              <w:bottom w:val="single"/>
            </w:tcBorders>
            <w:vAlign w:val="bottom"/>
          </w:tcPr>
          <w:p>
            <w:pPr>
              <w:pStyle w:val="Compact"/>
              <w:jc w:val="left"/>
            </w:pPr>
            <w:r>
              <w:rPr>
                <w:b/>
              </w:rPr>
              <w:t>Dominio</w:t>
            </w:r>
          </w:p>
        </w:tc>
        <w:tc>
          <w:tcPr>
            <w:tcW w:type="dxa" w:w="2211"/>
            <w:tcBorders>
              <w:bottom w:val="single"/>
            </w:tcBorders>
            <w:vAlign w:val="bottom"/>
          </w:tcPr>
          <w:p>
            <w:pPr>
              <w:pStyle w:val="Compact"/>
              <w:jc w:val="left"/>
            </w:pPr>
            <w:r>
              <w:rPr>
                <w:b/>
              </w:rPr>
              <w:t>ID</w:t>
            </w:r>
          </w:p>
        </w:tc>
        <w:tc>
          <w:tcPr>
            <w:tcW w:type="dxa" w:w="900"/>
            <w:tcBorders>
              <w:bottom w:val="single"/>
            </w:tcBorders>
            <w:vAlign w:val="bottom"/>
          </w:tcPr>
          <w:p>
            <w:pPr>
              <w:pStyle w:val="Compact"/>
              <w:jc w:val="left"/>
            </w:pPr>
            <w:r>
              <w:rPr>
                <w:b/>
              </w:rPr>
              <w:t>Idioma</w:t>
            </w:r>
          </w:p>
        </w:tc>
        <w:tc>
          <w:tcPr>
            <w:tcW w:type="dxa" w:w="3214"/>
            <w:tcBorders>
              <w:bottom w:val="single"/>
            </w:tcBorders>
            <w:vAlign w:val="bottom"/>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900"/>
          </w:tcPr>
          <w:p>
            <w:pPr>
              <w:pStyle w:val="Compact"/>
              <w:jc w:val="left"/>
            </w:pPr>
            <w:r>
              <w:rPr>
                <w:b w:val="0"/>
              </w:rPr>
              <w:t>ES</w:t>
            </w:r>
          </w:p>
        </w:tc>
        <w:tc>
          <w:tcPr>
            <w:tcW w:type="dxa" w:w="3214"/>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900"/>
          </w:tcPr>
          <w:p>
            <w:pPr>
              <w:pStyle w:val="Compact"/>
              <w:jc w:val="left"/>
            </w:pPr>
            <w:r>
              <w:rPr>
                <w:b w:val="0"/>
              </w:rPr>
              <w:t>ES</w:t>
            </w:r>
          </w:p>
        </w:tc>
        <w:tc>
          <w:tcPr>
            <w:tcW w:type="dxa" w:w="3214"/>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900"/>
          </w:tcPr>
          <w:p>
            <w:pPr>
              <w:pStyle w:val="Compact"/>
              <w:jc w:val="left"/>
            </w:pPr>
            <w:r>
              <w:rPr>
                <w:b w:val="0"/>
              </w:rPr>
              <w:t>EN</w:t>
            </w:r>
          </w:p>
        </w:tc>
        <w:tc>
          <w:tcPr>
            <w:tcW w:type="dxa" w:w="3214"/>
          </w:tcPr>
          <w:p>
            <w:pPr>
              <w:pStyle w:val="Compact"/>
              <w:jc w:val="center"/>
            </w:pPr>
            <w:r>
              <w:rPr>
                <w:b w:val="0"/>
              </w:rPr>
              <w:t>OFAC, indictment, money laundering, kleptocracy</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900"/>
          </w:tcPr>
          <w:p>
            <w:pPr>
              <w:pStyle w:val="Compact"/>
              <w:jc w:val="left"/>
            </w:pPr>
            <w:r>
              <w:rPr>
                <w:b w:val="0"/>
              </w:rPr>
              <w:t>ES</w:t>
            </w:r>
          </w:p>
        </w:tc>
        <w:tc>
          <w:tcPr>
            <w:tcW w:type="dxa" w:w="3214"/>
          </w:tcPr>
          <w:p>
            <w:pPr>
              <w:pStyle w:val="Compact"/>
              <w:jc w:val="center"/>
            </w:pPr>
            <w:r>
              <w:rPr>
                <w:b w:val="0"/>
              </w:rPr>
              <w:t>tribunal, fiscal, audiencia, sentencia</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900"/>
          </w:tcPr>
          <w:p>
            <w:pPr>
              <w:pStyle w:val="Compact"/>
              <w:jc w:val="left"/>
            </w:pPr>
            <w:r>
              <w:rPr>
                <w:b w:val="0"/>
              </w:rPr>
              <w:t>ES</w:t>
            </w:r>
          </w:p>
        </w:tc>
        <w:tc>
          <w:tcPr>
            <w:tcW w:type="dxa" w:w="3214"/>
          </w:tcPr>
          <w:p>
            <w:pPr>
              <w:pStyle w:val="Compact"/>
              <w:jc w:val="center"/>
            </w:pPr>
            <w:r>
              <w:rPr>
                <w:b w:val="0"/>
              </w:rPr>
              <w:t>liga, federación, torneo</w:t>
            </w:r>
          </w:p>
        </w:tc>
      </w:tr>
    </w:tbl>
    <w:p>
      <w:pPr>
        <w:numPr>
          <w:ilvl w:val="0"/>
          <w:numId w:val="0"/>
        </w:numPr>
        <w:pStyle w:val="TableCaption"/>
      </w:pPr>
      <w:r>
        <w:t>Tabla 13. Ejemplares Few-Shot de la Base de Conocimientos.</w:t>
      </w:r>
    </w:p>
    <w:tbl>
      <w:tblPr>
        <w:tblStyle w:val="Table"/>
        <w:tblW w:type="pct" w:w="5000.0"/>
        <w:tblLook w:firstRow="1"/>
      </w:tblPr>
      <w:tblGrid>
        <w:gridCol w:w="4344"/>
        <w:gridCol w:w="2396"/>
        <w:gridCol w:w="2098"/>
      </w:tblGrid>
      <w:tr>
        <w:trPr>
          <w:cnfStyle w:firstRow="1"/>
        </w:trPr>
        <w:tc>
          <w:tcPr>
            <w:tcW w:type="dxa" w:w="4344"/>
            <w:tcBorders>
              <w:bottom w:val="single"/>
            </w:tcBorders>
            <w:vAlign w:val="bottom"/>
          </w:tcPr>
          <w:p>
            <w:pPr>
              <w:pStyle w:val="Compact"/>
              <w:jc w:val="left"/>
            </w:pPr>
            <w:r>
              <w:rPr>
                <w:b/>
              </w:rPr>
              <w:t>ID Ejemplar</w:t>
            </w:r>
          </w:p>
        </w:tc>
        <w:tc>
          <w:tcPr>
            <w:tcW w:type="dxa" w:w="2396"/>
            <w:tcBorders>
              <w:bottom w:val="single"/>
            </w:tcBorders>
            <w:vAlign w:val="bottom"/>
          </w:tcPr>
          <w:p>
            <w:pPr>
              <w:pStyle w:val="Compact"/>
              <w:jc w:val="left"/>
            </w:pPr>
            <w:r>
              <w:rPr>
                <w:b/>
              </w:rPr>
              <w:t>Dominio</w:t>
            </w:r>
          </w:p>
        </w:tc>
        <w:tc>
          <w:tcPr>
            <w:tcW w:type="dxa" w:w="2098"/>
            <w:tcBorders>
              <w:bottom w:val="single"/>
            </w:tcBorders>
            <w:vAlign w:val="bottom"/>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D.3 Reglas de la base de conocimientos contextual</w:t>
      </w:r>
    </w:p>
    <w:p>
      <w:pPr>
        <w:numPr>
          <w:ilvl w:val="0"/>
          <w:numId w:val="0"/>
        </w:numPr>
        <w:pStyle w:val="TableCaption"/>
      </w:pPr>
      <w:r>
        <w:t>Tabla 14. Reglas de la guía tipológica del dominio político-administrativo (politics_es), a modo de ejemplo.</w:t>
      </w:r>
    </w:p>
    <w:tbl>
      <w:tblPr>
        <w:tblStyle w:val="Table"/>
        <w:tblW w:type="pct" w:w="5000.0"/>
        <w:tblLook w:firstRow="1"/>
      </w:tblPr>
      <w:tblGrid>
        <w:gridCol w:w="3130"/>
        <w:gridCol w:w="5708"/>
      </w:tblGrid>
      <w:tr>
        <w:trPr>
          <w:cnfStyle w:firstRow="1"/>
        </w:trPr>
        <w:tc>
          <w:tcPr>
            <w:tcW w:type="dxa" w:w="3130"/>
            <w:tcBorders>
              <w:bottom w:val="single"/>
            </w:tcBorders>
            <w:vAlign w:val="bottom"/>
          </w:tcPr>
          <w:p>
            <w:pPr>
              <w:pStyle w:val="Compact"/>
              <w:jc w:val="left"/>
            </w:pPr>
            <w:r>
              <w:rPr>
                <w:b/>
              </w:rPr>
              <w:t>Regla</w:t>
            </w:r>
          </w:p>
        </w:tc>
        <w:tc>
          <w:tcPr>
            <w:tcW w:type="dxa" w:w="5708"/>
            <w:tcBorders>
              <w:bottom w:val="single"/>
            </w:tcBorders>
            <w:vAlign w:val="bottom"/>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E — Procedencia de los Datos del Benchmark General (N=15)</w:t>
      </w:r>
    </w:p>
    <w:p>
      <w:pPr>
        <w:numPr>
          <w:ilvl w:val="0"/>
          <w:numId w:val="0"/>
        </w:numPr>
        <w:pStyle w:val="TableCaption"/>
      </w:pPr>
      <w:r>
        <w:t>Tabla 15. Procedencia de cada fila del benchmark exploratorio: correspondencia con su corrida de origen.</w:t>
      </w:r>
    </w:p>
    <w:tbl>
      <w:tblPr>
        <w:tblStyle w:val="Table"/>
        <w:tblW w:type="pct" w:w="5000.0"/>
        <w:tblLook w:firstRow="1"/>
      </w:tblPr>
      <w:tblGrid>
        <w:gridCol w:w="4215"/>
        <w:gridCol w:w="4623"/>
      </w:tblGrid>
      <w:tr>
        <w:trPr>
          <w:cnfStyle w:firstRow="1"/>
        </w:trPr>
        <w:tc>
          <w:tcPr>
            <w:tcW w:type="dxa" w:w="4215"/>
            <w:tcBorders>
              <w:bottom w:val="single"/>
            </w:tcBorders>
            <w:vAlign w:val="bottom"/>
          </w:tcPr>
          <w:p>
            <w:pPr>
              <w:pStyle w:val="Compact"/>
              <w:jc w:val="left"/>
            </w:pPr>
            <w:r>
              <w:rPr>
                <w:b/>
              </w:rPr>
              <w:t>Filas de la Tabla 4</w:t>
            </w:r>
          </w:p>
        </w:tc>
        <w:tc>
          <w:tcPr>
            <w:tcW w:type="dxa" w:w="4623"/>
            <w:tcBorders>
              <w:bottom w:val="single"/>
            </w:tcBorders>
            <w:vAlign w:val="bottom"/>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bl>
    <w:p>
      <w:pPr>
        <w:numPr>
          <w:ilvl w:val="0"/>
          <w:numId w:val="0"/>
        </w:numPr>
        <w:pStyle w:val="Heading2"/>
      </w:pPr>
      <w:r>
        <w:t>Anexo F — Metodología Detallada de Generación del Corpus Sintético N=30</w:t>
      </w:r>
    </w:p>
    <w:p>
      <w:pPr>
        <w:numPr>
          <w:ilvl w:val="0"/>
          <w:numId w:val="0"/>
        </w:numPr>
        <w:pStyle w:val="BodyText"/>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Normal"/>
      </w:pPr>
      <w:r>
        <w:t>Paso 2 — Generación controlada por plantillas de entidad: Para cada artículo sintético se definió a priori un par {entidad_PER, entidad_ORG} que debía aparecer en el texto, actuando como ground truth objetivo. Las entidades fueron seleccionadas de la base de datos OpenSanctions [19] para garantizar realismo regulatorio (personas y organizaciones sancionadas reales).</w:t>
      </w:r>
    </w:p>
    <w:p>
      <w:pPr>
        <w:numPr>
          <w:ilvl w:val="0"/>
          <w:numId w:val="0"/>
        </w:numPr>
        <w:pStyle w:val="Normal"/>
      </w:pPr>
      <w:r>
        <w:t>Paso 3 — Instrucción al LLM generador: El modelo gemma4:31b recibió el siguiente prompt de generación:</w:t>
      </w:r>
    </w:p>
    <w:p>
      <w:pPr>
        <w:numPr>
          <w:ilvl w:val="0"/>
          <w:numId w:val="0"/>
        </w:numPr>
        <w:pStyle w:val="Source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Normal"/>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Normal"/>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2"/>
      </w:pPr>
      <w:r>
        <w:t>Anexo G — Declaración de Uso de Inteligencia Artificial en la Elaboración de esta Tesina</w:t>
      </w:r>
    </w:p>
    <w:p>
      <w:pPr>
        <w:numPr>
          <w:ilvl w:val="0"/>
          <w:numId w:val="0"/>
        </w:numPr>
        <w:pStyle w:val="BodyText"/>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(más de 130 commits entre el 1 de julio y el 8 de septiembre de 2026), los registros de trabajo WORKLOG.md (raíz del repositorio y research/rag/), y los informes de investigación asociados.</w:t>
      </w:r>
    </w:p>
    <w:p>
      <w:pPr>
        <w:numPr>
          <w:ilvl w:val="0"/>
          <w:numId w:val="0"/>
        </w:numPr>
        <w:pStyle w:val="Heading3"/>
      </w:pPr>
      <w:r>
        <w:t>G.1 Trabajo realizado por el autor de la tesina</w:t>
      </w:r>
    </w:p>
    <w:p>
      <w:pPr>
        <w:numPr>
          <w:ilvl w:val="0"/>
          <w:numId w:val="0"/>
        </w:numPr>
        <w:pStyle w:val="BodyText"/>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Normal"/>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3"/>
      </w:pPr>
      <w:r>
        <w:t>G.2 Apoyo de IA en la elaboración de artefactos de prueba</w:t>
      </w:r>
    </w:p>
    <w:p>
      <w:pPr>
        <w:numPr>
          <w:ilvl w:val="0"/>
          <w:numId w:val="0"/>
        </w:numPr>
        <w:pStyle w:val="BodyText"/>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OpenSanctions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3"/>
      </w:pPr>
      <w:r>
        <w:t>G.3 Apoyo de IA en implementación, documentación y formato</w:t>
      </w:r>
    </w:p>
    <w:p>
      <w:pPr>
        <w:numPr>
          <w:ilvl w:val="0"/>
          <w:numId w:val="0"/>
        </w:numPr>
        <w:pStyle w:val="BodyText"/>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3"/>
      </w:pPr>
      <w:r>
        <w:t>G.4 Límites y verificación</w:t>
      </w:r>
    </w:p>
    <w:p>
      <w:pPr>
        <w:numPr>
          <w:ilvl w:val="0"/>
          <w:numId w:val="0"/>
        </w:numPr>
        <w:pStyle w:val="BodyText"/>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las que el capítulo 6 discute sobre la codificación del corpus y el alcance de la medición. El autor asume la responsabilidad final sobre el contenido, la exactitud y la integridad académica de este documento.</w:t>
      </w:r>
    </w:p>
    <w:p>
      <w:pPr>
        <w:numPr>
          <w:ilvl w:val="0"/>
          <w:numId w:val="0"/>
        </w:numPr>
        <w:pStyle w:val="Heading2"/>
      </w:pPr>
      <w:r>
        <w:t xml:space="preserve">Anexo H — Codificación del corpus: análisis del </w:t>
      </w:r>
      <w:r>
        <w:rPr>
          <w:i/>
        </w:rPr>
        <w:t>mojibake</w:t>
      </w:r>
      <w:r>
        <w:t xml:space="preserve"> y su efecto sobre la medición</w:t>
      </w:r>
    </w:p>
    <w:p>
      <w:pPr>
        <w:numPr>
          <w:ilvl w:val="0"/>
          <w:numId w:val="0"/>
        </w:numPr>
        <w:pStyle w:val="Heading3"/>
      </w:pPr>
      <w:r>
        <w:t>H.1 Naturaleza y alcance del defecto</w:t>
      </w:r>
    </w:p>
    <w:p>
      <w:pPr>
        <w:numPr>
          <w:ilvl w:val="0"/>
          <w:numId w:val="0"/>
        </w:numPr>
        <w:pStyle w:val="BodyText"/>
      </w:pPr>
      <w:r>
        <w:rPr>
          <w:i/>
        </w:rPr>
        <w:t>Mojibake</w:t>
      </w:r>
      <w:r>
        <w:t xml:space="preserve"> (文字化け, «transformación de caracteres») designa el texto ilegible que resulta de escribir una cadena con una codificación y leerla con otra. En español afecta a las vocales acentuadas y a la «ñ», que en UTF-8 no ocupan un byte sino dos: la «é» se codifica como </w:t>
      </w:r>
      <w:r>
        <w:t>0xC3 0xA9</w:t>
      </w:r>
      <w:r>
        <w:t xml:space="preserve"> y, leída como Latin-1 —donde cada byte es un carácter—, se descompone en </w:t>
      </w:r>
      <w:r>
        <w:t>Ã</w:t>
      </w:r>
      <w:r>
        <w:t xml:space="preserve"> seguido de </w:t>
      </w:r>
      <w:r>
        <w:t>©</w:t>
      </w:r>
      <w:r>
        <w:t xml:space="preserve">. La firma del defecto es por tanto esa </w:t>
      </w:r>
      <w:r>
        <w:t>Ã</w:t>
      </w:r>
      <w:r>
        <w:t xml:space="preserve"> inicial, común a toda vocal acentuada.</w:t>
      </w:r>
    </w:p>
    <w:p>
      <w:pPr>
        <w:numPr>
          <w:ilvl w:val="0"/>
          <w:numId w:val="0"/>
        </w:numPr>
        <w:pStyle w:val="TableCaption"/>
      </w:pPr>
      <w:r>
        <w:t>Tabla 16. Formas corruptas de los nombres almacenados y su representación real.</w:t>
      </w:r>
    </w:p>
    <w:tbl>
      <w:tblPr>
        <w:tblStyle w:val="Table"/>
        <w:tblW w:type="pct" w:w="5000.0"/>
        <w:tblLook w:firstRow="1"/>
      </w:tblPr>
      <w:tblGrid>
        <w:gridCol w:w="5077"/>
        <w:gridCol w:w="3761"/>
      </w:tblGrid>
      <w:tr>
        <w:trPr>
          <w:cnfStyle w:firstRow="1"/>
        </w:trPr>
        <w:tc>
          <w:tcPr>
            <w:tcW w:type="dxa" w:w="5077"/>
            <w:tcBorders>
              <w:bottom w:val="single"/>
            </w:tcBorders>
            <w:vAlign w:val="bottom"/>
          </w:tcPr>
          <w:p>
            <w:pPr>
              <w:pStyle w:val="Compact"/>
              <w:jc w:val="left"/>
            </w:pPr>
            <w:r>
              <w:rPr>
                <w:b/>
              </w:rPr>
              <w:t>Forma almacenada (corrupta)</w:t>
            </w:r>
          </w:p>
        </w:tc>
        <w:tc>
          <w:tcPr>
            <w:tcW w:type="dxa" w:w="3761"/>
            <w:tcBorders>
              <w:bottom w:val="single"/>
            </w:tcBorders>
            <w:vAlign w:val="bottom"/>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Normal"/>
      </w:pPr>
      <w:r>
        <w:t xml:space="preserve">La reparación consiste en deshacer el paso erróneo: </w:t>
      </w:r>
      <w:r>
        <w:t>s.encode('latin-1').decode('utf-8')</w:t>
      </w:r>
      <w:r>
        <w:t>.</w:t>
      </w:r>
    </w:p>
    <w:p>
      <w:pPr>
        <w:numPr>
          <w:ilvl w:val="0"/>
          <w:numId w:val="0"/>
        </w:numPr>
        <w:pStyle w:val="Heading3"/>
      </w:pPr>
      <w:r>
        <w:t>H.2 Alcance medido y consecuencia sobre la comparación</w:t>
      </w:r>
    </w:p>
    <w:p>
      <w:pPr>
        <w:numPr>
          <w:ilvl w:val="0"/>
          <w:numId w:val="0"/>
        </w:numPr>
        <w:pStyle w:val="TableCaption"/>
      </w:pPr>
      <w:r>
        <w:t>Tabla 17. Alcance medido del defecto de codificación sobre el corpus N=120.</w:t>
      </w:r>
    </w:p>
    <w:tbl>
      <w:tblPr>
        <w:tblStyle w:val="Table"/>
        <w:tblW w:type="pct" w:w="5000.0"/>
        <w:tblLook w:firstRow="1"/>
      </w:tblPr>
      <w:tblGrid>
        <w:gridCol w:w="5564"/>
        <w:gridCol w:w="3274"/>
      </w:tblGrid>
      <w:tr>
        <w:trPr>
          <w:cnfStyle w:firstRow="1"/>
        </w:trPr>
        <w:tc>
          <w:tcPr>
            <w:tcW w:type="dxa" w:w="5564"/>
            <w:tcBorders>
              <w:bottom w:val="single"/>
            </w:tcBorders>
            <w:vAlign w:val="bottom"/>
          </w:tcPr>
          <w:p>
            <w:pPr>
              <w:pStyle w:val="Compact"/>
              <w:jc w:val="left"/>
            </w:pPr>
            <w:r>
              <w:rPr>
                <w:b/>
              </w:rPr>
              <w:t>Comprobación sobre data/benchmark_balanced_120.json</w:t>
            </w:r>
          </w:p>
        </w:tc>
        <w:tc>
          <w:tcPr>
            <w:tcW w:type="dxa" w:w="3274"/>
            <w:tcBorders>
              <w:bottom w:val="single"/>
            </w:tcBorders>
            <w:vAlign w:val="bottom"/>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 xml:space="preserve">Entidades con </w:t>
            </w:r>
            <w:r>
              <w:rPr>
                <w:b w:val="0"/>
                <w:i/>
              </w:rPr>
              <w:t>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 xml:space="preserve">Artículos con </w:t>
            </w:r>
            <w:r>
              <w:rPr>
                <w:b w:val="0"/>
                <w:i/>
              </w:rPr>
              <w:t>mojibake</w:t>
            </w:r>
            <w:r>
              <w:rPr>
                <w:b w:val="0"/>
              </w:rPr>
              <w:t xml:space="preserve"> en el campo text</w:t>
            </w:r>
          </w:p>
        </w:tc>
        <w:tc>
          <w:tcPr>
            <w:tcW w:type="dxa" w:w="3274"/>
          </w:tcPr>
          <w:p>
            <w:pPr>
              <w:pStyle w:val="Compact"/>
              <w:jc w:val="left"/>
            </w:pPr>
            <w:r>
              <w:rPr>
                <w:b/>
              </w:rPr>
              <w:t>104 de 120 (87 %)</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Normal"/>
      </w:pPr>
      <w:r>
        <w:t>Los corpus N=15 y N=30 están libres del defecto, por lo que §5.1, §5.2 y §5.3 no se ven comprometidos. El umbral de 85 explica que solo una parte resulte irrecuperable: en cadenas largas la corrupción es una fracción menor y la similitud se mantiene sobre el corte —</w:t>
      </w:r>
      <w:r>
        <w:t>Emiliano GarcÃ­a-Page</w:t>
      </w:r>
      <w:r>
        <w:t xml:space="preserve"> obtiene 93—, mientras que en cadenas cortas lo hunde: </w:t>
      </w:r>
      <w:r>
        <w:t>JosÃ© Bono</w:t>
      </w:r>
      <w:r>
        <w:t xml:space="preserve"> obtiene </w:t>
      </w:r>
      <w:r>
        <w:rPr>
          <w:b/>
        </w:rPr>
        <w:t>84</w:t>
      </w:r>
      <w:r>
        <w:t>, un punto por debajo.</w:t>
      </w:r>
    </w:p>
    <w:p>
      <w:pPr>
        <w:numPr>
          <w:ilvl w:val="0"/>
          <w:numId w:val="0"/>
        </w:numPr>
        <w:pStyle w:val="Normal"/>
      </w:pPr>
      <w:r>
        <w:t xml:space="preserve">El dato determinante es que el defecto </w:t>
      </w:r>
      <w:r>
        <w:rPr>
          <w:b/>
        </w:rPr>
        <w:t>alcanza también al texto de entrada</w:t>
      </w:r>
      <w:r>
        <w:t xml:space="preserve">, y de forma coherente con la referencia. El corpus resulta así internamente consistente: un modelo que transcribe literalmente lo que lee coincide con la referencia y no sufre penalización, mientras que uno que normaliza la ortografía al español correcto deja de coincidir pese a haber acertado. El defecto no impone un suelo común a todos los modelos: </w:t>
      </w:r>
      <w:r>
        <w:rPr>
          <w:b/>
        </w:rPr>
        <w:t>recompensa una conducta y castiga la contraria</w:t>
      </w:r>
      <w:r>
        <w:t>, lo que invalida la suposición inicial de un sesgo uniforme que no alteraría el orden relativo.</w:t>
      </w:r>
    </w:p>
    <w:p>
      <w:pPr>
        <w:numPr>
          <w:ilvl w:val="0"/>
          <w:numId w:val="0"/>
        </w:numPr>
        <w:pStyle w:val="Heading3"/>
      </w:pPr>
      <w:r>
        <w:t>H.3 Evidencia empírica del efecto diferencial</w:t>
      </w:r>
    </w:p>
    <w:p>
      <w:pPr>
        <w:numPr>
          <w:ilvl w:val="0"/>
          <w:numId w:val="0"/>
        </w:numPr>
        <w:pStyle w:val="BodyText"/>
      </w:pPr>
      <w:r>
        <w:t xml:space="preserve">El efecto se midió sobre las 24 configuraciones del corpus N=120 que aportan los ciento veinte registros completos, con el script </w:t>
      </w:r>
      <w:r>
        <w:t>tools/analisis_mojibake.py</w:t>
      </w:r>
      <w:r>
        <w:t xml:space="preserve">, que se publica para que la tabla sea reproducible. La medición obliga a declarar el criterio de «artículo afectado», porque </w:t>
      </w:r>
      <w:r>
        <w:rPr>
          <w:b/>
        </w:rPr>
        <w:t>el signo del efecto depende de cuál se elija</w:t>
      </w:r>
      <w:r>
        <w:t>, y esa dependencia es en sí misma el resultado:</w:t>
      </w:r>
    </w:p>
    <w:p>
      <w:pPr>
        <w:numPr>
          <w:ilvl w:val="0"/>
          <w:numId w:val="0"/>
        </w:numPr>
        <w:pStyle w:val="BodyText"/>
      </w:pPr>
      <w:r>
        <w:rPr>
          <w:b/>
        </w:rPr>
        <w:t>Por entidad de referencia corrupta</w:t>
      </w:r>
      <w:r>
        <w:t>: 89 artículos afectados y 31 no.</w:t>
      </w:r>
    </w:p>
    <w:p>
      <w:pPr>
        <w:numPr>
          <w:ilvl w:val="0"/>
          <w:numId w:val="0"/>
        </w:numPr>
        <w:pStyle w:val="BodyText"/>
      </w:pPr>
      <w:r>
        <w:rPr>
          <w:b/>
        </w:rPr>
        <w:t>Por texto de entrada corrupto</w:t>
      </w:r>
      <w:r>
        <w:t>: 104 artículos afectados y 16 no.</w:t>
      </w:r>
    </w:p>
    <w:p>
      <w:pPr>
        <w:numPr>
          <w:ilvl w:val="0"/>
          <w:numId w:val="0"/>
        </w:numPr>
        <w:pStyle w:val="TableCaption"/>
      </w:pPr>
      <w:r>
        <w:t xml:space="preserve">Tabla 18. Efecto diferencial del </w:t>
      </w:r>
      <w:r>
        <w:rPr>
          <w:i/>
        </w:rPr>
        <w:t>mojibake</w:t>
      </w:r>
      <w:r>
        <w:t xml:space="preserve"> sobre el F1 según el criterio de artículo afectado.</w:t>
      </w:r>
    </w:p>
    <w:tbl>
      <w:tblPr>
        <w:tblStyle w:val="Table"/>
        <w:tblW w:type="pct" w:w="5000.0"/>
        <w:tblLook w:firstRow="1"/>
      </w:tblPr>
      <w:tblGrid>
        <w:gridCol w:w="2981"/>
        <w:gridCol w:w="3194"/>
        <w:gridCol w:w="2663"/>
      </w:tblGrid>
      <w:tr>
        <w:trPr>
          <w:cnfStyle w:firstRow="1"/>
        </w:trPr>
        <w:tc>
          <w:tcPr>
            <w:tcW w:type="dxa" w:w="2981"/>
            <w:tcBorders>
              <w:bottom w:val="single"/>
            </w:tcBorders>
            <w:vAlign w:val="bottom"/>
          </w:tcPr>
          <w:p>
            <w:pPr>
              <w:pStyle w:val="Compact"/>
              <w:jc w:val="left"/>
            </w:pPr>
            <w:r>
              <w:rPr>
                <w:b/>
              </w:rPr>
              <w:t>Configuración</w:t>
            </w:r>
          </w:p>
        </w:tc>
        <w:tc>
          <w:tcPr>
            <w:tcW w:type="dxa" w:w="3194"/>
            <w:tcBorders>
              <w:bottom w:val="single"/>
            </w:tcBorders>
            <w:vAlign w:val="bottom"/>
          </w:tcPr>
          <w:p>
            <w:pPr>
              <w:pStyle w:val="Compact"/>
              <w:jc w:val="left"/>
            </w:pPr>
            <w:r>
              <w:rPr>
                <w:b/>
              </w:rPr>
              <w:t>Δ F1 por entidad de referencia</w:t>
            </w:r>
          </w:p>
        </w:tc>
        <w:tc>
          <w:tcPr>
            <w:tcW w:type="dxa" w:w="2663"/>
            <w:tcBorders>
              <w:bottom w:val="single"/>
            </w:tcBorders>
            <w:vAlign w:val="bottom"/>
          </w:tcPr>
          <w:p>
            <w:pPr>
              <w:pStyle w:val="Compact"/>
              <w:jc w:val="left"/>
            </w:pPr>
            <w:r>
              <w:rPr>
                <w:b/>
              </w:rPr>
              <w:t>Δ F1 por texto de entrada</w:t>
            </w:r>
          </w:p>
        </w:tc>
      </w:tr>
      <w:tr>
        <w:tc>
          <w:tcPr>
            <w:tcW w:type="dxa" w:w="2981"/>
          </w:tcPr>
          <w:p>
            <w:pPr>
              <w:pStyle w:val="Compact"/>
              <w:jc w:val="left"/>
            </w:pPr>
            <w:r>
              <w:rPr>
                <w:b w:val="0"/>
              </w:rPr>
              <w:t>qwen3:8b_kb_rag</w:t>
            </w:r>
          </w:p>
        </w:tc>
        <w:tc>
          <w:tcPr>
            <w:tcW w:type="dxa" w:w="3194"/>
          </w:tcPr>
          <w:p>
            <w:pPr>
              <w:pStyle w:val="Compact"/>
              <w:jc w:val="left"/>
            </w:pPr>
            <w:r>
              <w:rPr>
                <w:b w:val="0"/>
              </w:rPr>
              <w:t>+0.1554</w:t>
            </w:r>
          </w:p>
        </w:tc>
        <w:tc>
          <w:tcPr>
            <w:tcW w:type="dxa" w:w="2663"/>
          </w:tcPr>
          <w:p>
            <w:pPr>
              <w:pStyle w:val="Compact"/>
              <w:jc w:val="left"/>
            </w:pPr>
            <w:r>
              <w:rPr>
                <w:b w:val="0"/>
              </w:rPr>
              <w:t>+0.0152</w:t>
            </w:r>
          </w:p>
        </w:tc>
      </w:tr>
      <w:tr>
        <w:tc>
          <w:tcPr>
            <w:tcW w:type="dxa" w:w="2981"/>
          </w:tcPr>
          <w:p>
            <w:pPr>
              <w:pStyle w:val="Compact"/>
              <w:jc w:val="left"/>
            </w:pPr>
            <w:r>
              <w:rPr>
                <w:b w:val="0"/>
              </w:rPr>
              <w:t>gemma4:31b-cloud_baseline</w:t>
            </w:r>
          </w:p>
        </w:tc>
        <w:tc>
          <w:tcPr>
            <w:tcW w:type="dxa" w:w="3194"/>
          </w:tcPr>
          <w:p>
            <w:pPr>
              <w:pStyle w:val="Compact"/>
              <w:jc w:val="left"/>
            </w:pPr>
            <w:r>
              <w:rPr>
                <w:b w:val="0"/>
              </w:rPr>
              <w:t>+0.1418</w:t>
            </w:r>
          </w:p>
        </w:tc>
        <w:tc>
          <w:tcPr>
            <w:tcW w:type="dxa" w:w="2663"/>
          </w:tcPr>
          <w:p>
            <w:pPr>
              <w:pStyle w:val="Compact"/>
              <w:jc w:val="left"/>
            </w:pPr>
            <w:r>
              <w:rPr>
                <w:b w:val="0"/>
              </w:rPr>
              <w:t>+0.0029</w:t>
            </w:r>
          </w:p>
        </w:tc>
      </w:tr>
      <w:tr>
        <w:tc>
          <w:tcPr>
            <w:tcW w:type="dxa" w:w="2981"/>
          </w:tcPr>
          <w:p>
            <w:pPr>
              <w:pStyle w:val="Compact"/>
              <w:jc w:val="left"/>
            </w:pPr>
            <w:r>
              <w:rPr>
                <w:b w:val="0"/>
              </w:rPr>
              <w:t>gemma4:31b-cloud_kb_rag</w:t>
            </w:r>
          </w:p>
        </w:tc>
        <w:tc>
          <w:tcPr>
            <w:tcW w:type="dxa" w:w="3194"/>
          </w:tcPr>
          <w:p>
            <w:pPr>
              <w:pStyle w:val="Compact"/>
              <w:jc w:val="left"/>
            </w:pPr>
            <w:r>
              <w:rPr>
                <w:b w:val="0"/>
              </w:rPr>
              <w:t>+0.1131</w:t>
            </w:r>
          </w:p>
        </w:tc>
        <w:tc>
          <w:tcPr>
            <w:tcW w:type="dxa" w:w="2663"/>
          </w:tcPr>
          <w:p>
            <w:pPr>
              <w:pStyle w:val="Compact"/>
              <w:jc w:val="left"/>
            </w:pPr>
            <w:r>
              <w:rPr>
                <w:b w:val="0"/>
              </w:rPr>
              <w:t>-0.0433</w:t>
            </w:r>
          </w:p>
        </w:tc>
      </w:tr>
      <w:tr>
        <w:tc>
          <w:tcPr>
            <w:tcW w:type="dxa" w:w="2981"/>
          </w:tcPr>
          <w:p>
            <w:pPr>
              <w:pStyle w:val="Compact"/>
              <w:jc w:val="left"/>
            </w:pPr>
            <w:r>
              <w:rPr>
                <w:b w:val="0"/>
              </w:rPr>
              <w:t>gemma4:31b-mlx_kb_rag</w:t>
            </w:r>
          </w:p>
        </w:tc>
        <w:tc>
          <w:tcPr>
            <w:tcW w:type="dxa" w:w="3194"/>
          </w:tcPr>
          <w:p>
            <w:pPr>
              <w:pStyle w:val="Compact"/>
              <w:jc w:val="left"/>
            </w:pPr>
            <w:r>
              <w:rPr>
                <w:b w:val="0"/>
              </w:rPr>
              <w:t>+0.0999</w:t>
            </w:r>
          </w:p>
        </w:tc>
        <w:tc>
          <w:tcPr>
            <w:tcW w:type="dxa" w:w="2663"/>
          </w:tcPr>
          <w:p>
            <w:pPr>
              <w:pStyle w:val="Compact"/>
              <w:jc w:val="left"/>
            </w:pPr>
            <w:r>
              <w:rPr>
                <w:b w:val="0"/>
              </w:rPr>
              <w:t>-0.0102</w:t>
            </w:r>
          </w:p>
        </w:tc>
      </w:tr>
      <w:tr>
        <w:tc>
          <w:tcPr>
            <w:tcW w:type="dxa" w:w="2981"/>
          </w:tcPr>
          <w:p>
            <w:pPr>
              <w:pStyle w:val="Compact"/>
              <w:jc w:val="left"/>
            </w:pPr>
            <w:r>
              <w:rPr>
                <w:b w:val="0"/>
              </w:rPr>
              <w:t>gemma4:latest_kb_rag</w:t>
            </w:r>
          </w:p>
        </w:tc>
        <w:tc>
          <w:tcPr>
            <w:tcW w:type="dxa" w:w="3194"/>
          </w:tcPr>
          <w:p>
            <w:pPr>
              <w:pStyle w:val="Compact"/>
              <w:jc w:val="left"/>
            </w:pPr>
            <w:r>
              <w:rPr>
                <w:b w:val="0"/>
              </w:rPr>
              <w:t>+0.0976</w:t>
            </w:r>
          </w:p>
        </w:tc>
        <w:tc>
          <w:tcPr>
            <w:tcW w:type="dxa" w:w="2663"/>
          </w:tcPr>
          <w:p>
            <w:pPr>
              <w:pStyle w:val="Compact"/>
              <w:jc w:val="left"/>
            </w:pPr>
            <w:r>
              <w:rPr>
                <w:b w:val="0"/>
              </w:rPr>
              <w:t>-0.0666</w:t>
            </w:r>
          </w:p>
        </w:tc>
      </w:tr>
      <w:tr>
        <w:tc>
          <w:tcPr>
            <w:tcW w:type="dxa" w:w="2981"/>
          </w:tcPr>
          <w:p>
            <w:pPr>
              <w:pStyle w:val="Compact"/>
              <w:jc w:val="left"/>
            </w:pPr>
            <w:r>
              <w:rPr>
                <w:b w:val="0"/>
              </w:rPr>
              <w:t>gemma:latest_kb_rag</w:t>
            </w:r>
          </w:p>
        </w:tc>
        <w:tc>
          <w:tcPr>
            <w:tcW w:type="dxa" w:w="3194"/>
          </w:tcPr>
          <w:p>
            <w:pPr>
              <w:pStyle w:val="Compact"/>
              <w:jc w:val="left"/>
            </w:pPr>
            <w:r>
              <w:rPr>
                <w:b w:val="0"/>
              </w:rPr>
              <w:t>+0.0965</w:t>
            </w:r>
          </w:p>
        </w:tc>
        <w:tc>
          <w:tcPr>
            <w:tcW w:type="dxa" w:w="2663"/>
          </w:tcPr>
          <w:p>
            <w:pPr>
              <w:pStyle w:val="Compact"/>
              <w:jc w:val="left"/>
            </w:pPr>
            <w:r>
              <w:rPr>
                <w:b w:val="0"/>
              </w:rPr>
              <w:t>-0.0845</w:t>
            </w:r>
          </w:p>
        </w:tc>
      </w:tr>
      <w:tr>
        <w:tc>
          <w:tcPr>
            <w:tcW w:type="dxa" w:w="2981"/>
          </w:tcPr>
          <w:p>
            <w:pPr>
              <w:pStyle w:val="Compact"/>
              <w:jc w:val="left"/>
            </w:pPr>
            <w:r>
              <w:rPr>
                <w:b w:val="0"/>
              </w:rPr>
              <w:t>nemotron-mini:4b_kb_rag</w:t>
            </w:r>
          </w:p>
        </w:tc>
        <w:tc>
          <w:tcPr>
            <w:tcW w:type="dxa" w:w="3194"/>
          </w:tcPr>
          <w:p>
            <w:pPr>
              <w:pStyle w:val="Compact"/>
              <w:jc w:val="left"/>
            </w:pPr>
            <w:r>
              <w:rPr>
                <w:b w:val="0"/>
              </w:rPr>
              <w:t>+0.0948</w:t>
            </w:r>
          </w:p>
        </w:tc>
        <w:tc>
          <w:tcPr>
            <w:tcW w:type="dxa" w:w="2663"/>
          </w:tcPr>
          <w:p>
            <w:pPr>
              <w:pStyle w:val="Compact"/>
              <w:jc w:val="left"/>
            </w:pPr>
            <w:r>
              <w:rPr>
                <w:b w:val="0"/>
              </w:rPr>
              <w:t>-0.0609</w:t>
            </w:r>
          </w:p>
        </w:tc>
      </w:tr>
      <w:tr>
        <w:tc>
          <w:tcPr>
            <w:tcW w:type="dxa" w:w="2981"/>
          </w:tcPr>
          <w:p>
            <w:pPr>
              <w:pStyle w:val="Compact"/>
              <w:jc w:val="left"/>
            </w:pPr>
            <w:r>
              <w:rPr>
                <w:b w:val="0"/>
              </w:rPr>
              <w:t>gemma4:31b-mlx_baseline</w:t>
            </w:r>
          </w:p>
        </w:tc>
        <w:tc>
          <w:tcPr>
            <w:tcW w:type="dxa" w:w="3194"/>
          </w:tcPr>
          <w:p>
            <w:pPr>
              <w:pStyle w:val="Compact"/>
              <w:jc w:val="left"/>
            </w:pPr>
            <w:r>
              <w:rPr>
                <w:b w:val="0"/>
              </w:rPr>
              <w:t>+0.0873</w:t>
            </w:r>
          </w:p>
        </w:tc>
        <w:tc>
          <w:tcPr>
            <w:tcW w:type="dxa" w:w="2663"/>
          </w:tcPr>
          <w:p>
            <w:pPr>
              <w:pStyle w:val="Compact"/>
              <w:jc w:val="left"/>
            </w:pPr>
            <w:r>
              <w:rPr>
                <w:b w:val="0"/>
              </w:rPr>
              <w:t>-0.0613</w:t>
            </w:r>
          </w:p>
        </w:tc>
      </w:tr>
      <w:tr>
        <w:tc>
          <w:tcPr>
            <w:tcW w:type="dxa" w:w="2981"/>
          </w:tcPr>
          <w:p>
            <w:pPr>
              <w:pStyle w:val="Compact"/>
              <w:jc w:val="left"/>
            </w:pPr>
            <w:r>
              <w:rPr>
                <w:b w:val="0"/>
              </w:rPr>
              <w:t>gpt-oss:20b_baseline</w:t>
            </w:r>
          </w:p>
        </w:tc>
        <w:tc>
          <w:tcPr>
            <w:tcW w:type="dxa" w:w="3194"/>
          </w:tcPr>
          <w:p>
            <w:pPr>
              <w:pStyle w:val="Compact"/>
              <w:jc w:val="left"/>
            </w:pPr>
            <w:r>
              <w:rPr>
                <w:b w:val="0"/>
              </w:rPr>
              <w:t>+0.0819</w:t>
            </w:r>
          </w:p>
        </w:tc>
        <w:tc>
          <w:tcPr>
            <w:tcW w:type="dxa" w:w="2663"/>
          </w:tcPr>
          <w:p>
            <w:pPr>
              <w:pStyle w:val="Compact"/>
              <w:jc w:val="left"/>
            </w:pPr>
            <w:r>
              <w:rPr>
                <w:b w:val="0"/>
              </w:rPr>
              <w:t>-0.0438</w:t>
            </w:r>
          </w:p>
        </w:tc>
      </w:tr>
      <w:tr>
        <w:tc>
          <w:tcPr>
            <w:tcW w:type="dxa" w:w="2981"/>
          </w:tcPr>
          <w:p>
            <w:pPr>
              <w:pStyle w:val="Compact"/>
              <w:jc w:val="left"/>
            </w:pPr>
            <w:r>
              <w:rPr>
                <w:b w:val="0"/>
              </w:rPr>
              <w:t>gemma4:12b-mlx_baseline</w:t>
            </w:r>
          </w:p>
        </w:tc>
        <w:tc>
          <w:tcPr>
            <w:tcW w:type="dxa" w:w="3194"/>
          </w:tcPr>
          <w:p>
            <w:pPr>
              <w:pStyle w:val="Compact"/>
              <w:jc w:val="left"/>
            </w:pPr>
            <w:r>
              <w:rPr>
                <w:b w:val="0"/>
              </w:rPr>
              <w:t>+0.0789</w:t>
            </w:r>
          </w:p>
        </w:tc>
        <w:tc>
          <w:tcPr>
            <w:tcW w:type="dxa" w:w="2663"/>
          </w:tcPr>
          <w:p>
            <w:pPr>
              <w:pStyle w:val="Compact"/>
              <w:jc w:val="left"/>
            </w:pPr>
            <w:r>
              <w:rPr>
                <w:b w:val="0"/>
              </w:rPr>
              <w:t>-0.0612</w:t>
            </w:r>
          </w:p>
        </w:tc>
      </w:tr>
      <w:tr>
        <w:tc>
          <w:tcPr>
            <w:tcW w:type="dxa" w:w="2981"/>
          </w:tcPr>
          <w:p>
            <w:pPr>
              <w:pStyle w:val="Compact"/>
              <w:jc w:val="left"/>
            </w:pPr>
            <w:r>
              <w:rPr>
                <w:b w:val="0"/>
              </w:rPr>
              <w:t>mistral-nemo:latest_baseline</w:t>
            </w:r>
          </w:p>
        </w:tc>
        <w:tc>
          <w:tcPr>
            <w:tcW w:type="dxa" w:w="3194"/>
          </w:tcPr>
          <w:p>
            <w:pPr>
              <w:pStyle w:val="Compact"/>
              <w:jc w:val="left"/>
            </w:pPr>
            <w:r>
              <w:rPr>
                <w:b w:val="0"/>
              </w:rPr>
              <w:t>+0.0684</w:t>
            </w:r>
          </w:p>
        </w:tc>
        <w:tc>
          <w:tcPr>
            <w:tcW w:type="dxa" w:w="2663"/>
          </w:tcPr>
          <w:p>
            <w:pPr>
              <w:pStyle w:val="Compact"/>
              <w:jc w:val="left"/>
            </w:pPr>
            <w:r>
              <w:rPr>
                <w:b w:val="0"/>
              </w:rPr>
              <w:t>-0.1122</w:t>
            </w:r>
          </w:p>
        </w:tc>
      </w:tr>
      <w:tr>
        <w:tc>
          <w:tcPr>
            <w:tcW w:type="dxa" w:w="2981"/>
          </w:tcPr>
          <w:p>
            <w:pPr>
              <w:pStyle w:val="Compact"/>
              <w:jc w:val="left"/>
            </w:pPr>
            <w:r>
              <w:rPr>
                <w:b w:val="0"/>
              </w:rPr>
              <w:t>qwen2.5:14b_baseline</w:t>
            </w:r>
          </w:p>
        </w:tc>
        <w:tc>
          <w:tcPr>
            <w:tcW w:type="dxa" w:w="3194"/>
          </w:tcPr>
          <w:p>
            <w:pPr>
              <w:pStyle w:val="Compact"/>
              <w:jc w:val="left"/>
            </w:pPr>
            <w:r>
              <w:rPr>
                <w:b w:val="0"/>
              </w:rPr>
              <w:t>+0.0681</w:t>
            </w:r>
          </w:p>
        </w:tc>
        <w:tc>
          <w:tcPr>
            <w:tcW w:type="dxa" w:w="2663"/>
          </w:tcPr>
          <w:p>
            <w:pPr>
              <w:pStyle w:val="Compact"/>
              <w:jc w:val="left"/>
            </w:pPr>
            <w:r>
              <w:rPr>
                <w:b w:val="0"/>
              </w:rPr>
              <w:t>-0.0821</w:t>
            </w:r>
          </w:p>
        </w:tc>
      </w:tr>
      <w:tr>
        <w:tc>
          <w:tcPr>
            <w:tcW w:type="dxa" w:w="2981"/>
          </w:tcPr>
          <w:p>
            <w:pPr>
              <w:pStyle w:val="Compact"/>
              <w:jc w:val="left"/>
            </w:pPr>
            <w:r>
              <w:rPr>
                <w:b w:val="0"/>
              </w:rPr>
              <w:t>gemma4:latest_baseline</w:t>
            </w:r>
          </w:p>
        </w:tc>
        <w:tc>
          <w:tcPr>
            <w:tcW w:type="dxa" w:w="3194"/>
          </w:tcPr>
          <w:p>
            <w:pPr>
              <w:pStyle w:val="Compact"/>
              <w:jc w:val="left"/>
            </w:pPr>
            <w:r>
              <w:rPr>
                <w:b w:val="0"/>
              </w:rPr>
              <w:t>+0.0620</w:t>
            </w:r>
          </w:p>
        </w:tc>
        <w:tc>
          <w:tcPr>
            <w:tcW w:type="dxa" w:w="2663"/>
          </w:tcPr>
          <w:p>
            <w:pPr>
              <w:pStyle w:val="Compact"/>
              <w:jc w:val="left"/>
            </w:pPr>
            <w:r>
              <w:rPr>
                <w:b w:val="0"/>
              </w:rPr>
              <w:t>-0.0958</w:t>
            </w:r>
          </w:p>
        </w:tc>
      </w:tr>
      <w:tr>
        <w:tc>
          <w:tcPr>
            <w:tcW w:type="dxa" w:w="2981"/>
          </w:tcPr>
          <w:p>
            <w:pPr>
              <w:pStyle w:val="Compact"/>
              <w:jc w:val="left"/>
            </w:pPr>
            <w:r>
              <w:rPr>
                <w:b w:val="0"/>
              </w:rPr>
              <w:t>gemma4:12b-mlx_kb_rag</w:t>
            </w:r>
          </w:p>
        </w:tc>
        <w:tc>
          <w:tcPr>
            <w:tcW w:type="dxa" w:w="3194"/>
          </w:tcPr>
          <w:p>
            <w:pPr>
              <w:pStyle w:val="Compact"/>
              <w:jc w:val="left"/>
            </w:pPr>
            <w:r>
              <w:rPr>
                <w:b w:val="0"/>
              </w:rPr>
              <w:t>+0.0604</w:t>
            </w:r>
          </w:p>
        </w:tc>
        <w:tc>
          <w:tcPr>
            <w:tcW w:type="dxa" w:w="2663"/>
          </w:tcPr>
          <w:p>
            <w:pPr>
              <w:pStyle w:val="Compact"/>
              <w:jc w:val="left"/>
            </w:pPr>
            <w:r>
              <w:rPr>
                <w:b w:val="0"/>
              </w:rPr>
              <w:t>-0.0897</w:t>
            </w:r>
          </w:p>
        </w:tc>
      </w:tr>
      <w:tr>
        <w:tc>
          <w:tcPr>
            <w:tcW w:type="dxa" w:w="2981"/>
          </w:tcPr>
          <w:p>
            <w:pPr>
              <w:pStyle w:val="Compact"/>
              <w:jc w:val="left"/>
            </w:pPr>
            <w:r>
              <w:rPr>
                <w:b w:val="0"/>
              </w:rPr>
              <w:t>llama3.1:8b_baseline</w:t>
            </w:r>
          </w:p>
        </w:tc>
        <w:tc>
          <w:tcPr>
            <w:tcW w:type="dxa" w:w="3194"/>
          </w:tcPr>
          <w:p>
            <w:pPr>
              <w:pStyle w:val="Compact"/>
              <w:jc w:val="left"/>
            </w:pPr>
            <w:r>
              <w:rPr>
                <w:b w:val="0"/>
              </w:rPr>
              <w:t>+0.0514</w:t>
            </w:r>
          </w:p>
        </w:tc>
        <w:tc>
          <w:tcPr>
            <w:tcW w:type="dxa" w:w="2663"/>
          </w:tcPr>
          <w:p>
            <w:pPr>
              <w:pStyle w:val="Compact"/>
              <w:jc w:val="left"/>
            </w:pPr>
            <w:r>
              <w:rPr>
                <w:b w:val="0"/>
              </w:rPr>
              <w:t>-0.0709</w:t>
            </w:r>
          </w:p>
        </w:tc>
      </w:tr>
      <w:tr>
        <w:tc>
          <w:tcPr>
            <w:tcW w:type="dxa" w:w="2981"/>
          </w:tcPr>
          <w:p>
            <w:pPr>
              <w:pStyle w:val="Compact"/>
              <w:jc w:val="left"/>
            </w:pPr>
            <w:r>
              <w:rPr>
                <w:b w:val="0"/>
              </w:rPr>
              <w:t>gpt-oss:20b_kb_rag</w:t>
            </w:r>
          </w:p>
        </w:tc>
        <w:tc>
          <w:tcPr>
            <w:tcW w:type="dxa" w:w="3194"/>
          </w:tcPr>
          <w:p>
            <w:pPr>
              <w:pStyle w:val="Compact"/>
              <w:jc w:val="left"/>
            </w:pPr>
            <w:r>
              <w:rPr>
                <w:b w:val="0"/>
              </w:rPr>
              <w:t>+0.0511</w:t>
            </w:r>
          </w:p>
        </w:tc>
        <w:tc>
          <w:tcPr>
            <w:tcW w:type="dxa" w:w="2663"/>
          </w:tcPr>
          <w:p>
            <w:pPr>
              <w:pStyle w:val="Compact"/>
              <w:jc w:val="left"/>
            </w:pPr>
            <w:r>
              <w:rPr>
                <w:b w:val="0"/>
              </w:rPr>
              <w:t>-0.0997</w:t>
            </w:r>
          </w:p>
        </w:tc>
      </w:tr>
      <w:tr>
        <w:tc>
          <w:tcPr>
            <w:tcW w:type="dxa" w:w="2981"/>
          </w:tcPr>
          <w:p>
            <w:pPr>
              <w:pStyle w:val="Compact"/>
              <w:jc w:val="left"/>
            </w:pPr>
            <w:r>
              <w:rPr>
                <w:b w:val="0"/>
              </w:rPr>
              <w:t>gemma:latest_baseline</w:t>
            </w:r>
          </w:p>
        </w:tc>
        <w:tc>
          <w:tcPr>
            <w:tcW w:type="dxa" w:w="3194"/>
          </w:tcPr>
          <w:p>
            <w:pPr>
              <w:pStyle w:val="Compact"/>
              <w:jc w:val="left"/>
            </w:pPr>
            <w:r>
              <w:rPr>
                <w:b w:val="0"/>
              </w:rPr>
              <w:t>+0.0409</w:t>
            </w:r>
          </w:p>
        </w:tc>
        <w:tc>
          <w:tcPr>
            <w:tcW w:type="dxa" w:w="2663"/>
          </w:tcPr>
          <w:p>
            <w:pPr>
              <w:pStyle w:val="Compact"/>
              <w:jc w:val="left"/>
            </w:pPr>
            <w:r>
              <w:rPr>
                <w:b w:val="0"/>
              </w:rPr>
              <w:t>-0.1678</w:t>
            </w:r>
          </w:p>
        </w:tc>
      </w:tr>
      <w:tr>
        <w:tc>
          <w:tcPr>
            <w:tcW w:type="dxa" w:w="2981"/>
          </w:tcPr>
          <w:p>
            <w:pPr>
              <w:pStyle w:val="Compact"/>
              <w:jc w:val="left"/>
            </w:pPr>
            <w:r>
              <w:rPr>
                <w:b w:val="0"/>
              </w:rPr>
              <w:t>qwen2.5:14b_kb_rag</w:t>
            </w:r>
          </w:p>
        </w:tc>
        <w:tc>
          <w:tcPr>
            <w:tcW w:type="dxa" w:w="3194"/>
          </w:tcPr>
          <w:p>
            <w:pPr>
              <w:pStyle w:val="Compact"/>
              <w:jc w:val="left"/>
            </w:pPr>
            <w:r>
              <w:rPr>
                <w:b w:val="0"/>
              </w:rPr>
              <w:t>+0.0380</w:t>
            </w:r>
          </w:p>
        </w:tc>
        <w:tc>
          <w:tcPr>
            <w:tcW w:type="dxa" w:w="2663"/>
          </w:tcPr>
          <w:p>
            <w:pPr>
              <w:pStyle w:val="Compact"/>
              <w:jc w:val="left"/>
            </w:pPr>
            <w:r>
              <w:rPr>
                <w:b w:val="0"/>
              </w:rPr>
              <w:t>-0.0887</w:t>
            </w:r>
          </w:p>
        </w:tc>
      </w:tr>
      <w:tr>
        <w:tc>
          <w:tcPr>
            <w:tcW w:type="dxa" w:w="2981"/>
          </w:tcPr>
          <w:p>
            <w:pPr>
              <w:pStyle w:val="Compact"/>
              <w:jc w:val="left"/>
            </w:pPr>
            <w:r>
              <w:rPr>
                <w:b w:val="0"/>
              </w:rPr>
              <w:t>llama3.2:latest_kb_rag</w:t>
            </w:r>
          </w:p>
        </w:tc>
        <w:tc>
          <w:tcPr>
            <w:tcW w:type="dxa" w:w="3194"/>
          </w:tcPr>
          <w:p>
            <w:pPr>
              <w:pStyle w:val="Compact"/>
              <w:jc w:val="left"/>
            </w:pPr>
            <w:r>
              <w:rPr>
                <w:b w:val="0"/>
              </w:rPr>
              <w:t>+0.0254</w:t>
            </w:r>
          </w:p>
        </w:tc>
        <w:tc>
          <w:tcPr>
            <w:tcW w:type="dxa" w:w="2663"/>
          </w:tcPr>
          <w:p>
            <w:pPr>
              <w:pStyle w:val="Compact"/>
              <w:jc w:val="left"/>
            </w:pPr>
            <w:r>
              <w:rPr>
                <w:b w:val="0"/>
              </w:rPr>
              <w:t>-0.1130</w:t>
            </w:r>
          </w:p>
        </w:tc>
      </w:tr>
      <w:tr>
        <w:tc>
          <w:tcPr>
            <w:tcW w:type="dxa" w:w="2981"/>
          </w:tcPr>
          <w:p>
            <w:pPr>
              <w:pStyle w:val="Compact"/>
              <w:jc w:val="left"/>
            </w:pPr>
            <w:r>
              <w:rPr>
                <w:b w:val="0"/>
              </w:rPr>
              <w:t>llama3.1:8b_kb_rag</w:t>
            </w:r>
          </w:p>
        </w:tc>
        <w:tc>
          <w:tcPr>
            <w:tcW w:type="dxa" w:w="3194"/>
          </w:tcPr>
          <w:p>
            <w:pPr>
              <w:pStyle w:val="Compact"/>
              <w:jc w:val="left"/>
            </w:pPr>
            <w:r>
              <w:rPr>
                <w:b w:val="0"/>
              </w:rPr>
              <w:t>+0.0186</w:t>
            </w:r>
          </w:p>
        </w:tc>
        <w:tc>
          <w:tcPr>
            <w:tcW w:type="dxa" w:w="2663"/>
          </w:tcPr>
          <w:p>
            <w:pPr>
              <w:pStyle w:val="Compact"/>
              <w:jc w:val="left"/>
            </w:pPr>
            <w:r>
              <w:rPr>
                <w:b w:val="0"/>
              </w:rPr>
              <w:t>-0.1428</w:t>
            </w:r>
          </w:p>
        </w:tc>
      </w:tr>
      <w:tr>
        <w:tc>
          <w:tcPr>
            <w:tcW w:type="dxa" w:w="2981"/>
          </w:tcPr>
          <w:p>
            <w:pPr>
              <w:pStyle w:val="Compact"/>
              <w:jc w:val="left"/>
            </w:pPr>
            <w:r>
              <w:rPr>
                <w:b w:val="0"/>
              </w:rPr>
              <w:t>mistral-nemo:latest_kb_rag</w:t>
            </w:r>
          </w:p>
        </w:tc>
        <w:tc>
          <w:tcPr>
            <w:tcW w:type="dxa" w:w="3194"/>
          </w:tcPr>
          <w:p>
            <w:pPr>
              <w:pStyle w:val="Compact"/>
              <w:jc w:val="left"/>
            </w:pPr>
            <w:r>
              <w:rPr>
                <w:b w:val="0"/>
              </w:rPr>
              <w:t>+0.0122</w:t>
            </w:r>
          </w:p>
        </w:tc>
        <w:tc>
          <w:tcPr>
            <w:tcW w:type="dxa" w:w="2663"/>
          </w:tcPr>
          <w:p>
            <w:pPr>
              <w:pStyle w:val="Compact"/>
              <w:jc w:val="left"/>
            </w:pPr>
            <w:r>
              <w:rPr>
                <w:b w:val="0"/>
              </w:rPr>
              <w:t>-0.1256</w:t>
            </w:r>
          </w:p>
        </w:tc>
      </w:tr>
      <w:tr>
        <w:tc>
          <w:tcPr>
            <w:tcW w:type="dxa" w:w="2981"/>
          </w:tcPr>
          <w:p>
            <w:pPr>
              <w:pStyle w:val="Compact"/>
              <w:jc w:val="left"/>
            </w:pPr>
            <w:r>
              <w:rPr>
                <w:b w:val="0"/>
              </w:rPr>
              <w:t>qwen3:8b_baseline</w:t>
            </w:r>
          </w:p>
        </w:tc>
        <w:tc>
          <w:tcPr>
            <w:tcW w:type="dxa" w:w="3194"/>
          </w:tcPr>
          <w:p>
            <w:pPr>
              <w:pStyle w:val="Compact"/>
              <w:jc w:val="left"/>
            </w:pPr>
            <w:r>
              <w:rPr>
                <w:b w:val="0"/>
              </w:rPr>
              <w:t>-0.0076</w:t>
            </w:r>
          </w:p>
        </w:tc>
        <w:tc>
          <w:tcPr>
            <w:tcW w:type="dxa" w:w="2663"/>
          </w:tcPr>
          <w:p>
            <w:pPr>
              <w:pStyle w:val="Compact"/>
              <w:jc w:val="left"/>
            </w:pPr>
            <w:r>
              <w:rPr>
                <w:b w:val="0"/>
              </w:rPr>
              <w:t>-0.1359</w:t>
            </w:r>
          </w:p>
        </w:tc>
      </w:tr>
      <w:tr>
        <w:tc>
          <w:tcPr>
            <w:tcW w:type="dxa" w:w="2981"/>
          </w:tcPr>
          <w:p>
            <w:pPr>
              <w:pStyle w:val="Compact"/>
              <w:jc w:val="left"/>
            </w:pPr>
            <w:r>
              <w:rPr>
                <w:b w:val="0"/>
              </w:rPr>
              <w:t>deepseek-r1:1.5b_baseline</w:t>
            </w:r>
          </w:p>
        </w:tc>
        <w:tc>
          <w:tcPr>
            <w:tcW w:type="dxa" w:w="3194"/>
          </w:tcPr>
          <w:p>
            <w:pPr>
              <w:pStyle w:val="Compact"/>
              <w:jc w:val="left"/>
            </w:pPr>
            <w:r>
              <w:rPr>
                <w:b w:val="0"/>
              </w:rPr>
              <w:t>-0.0124</w:t>
            </w:r>
          </w:p>
        </w:tc>
        <w:tc>
          <w:tcPr>
            <w:tcW w:type="dxa" w:w="2663"/>
          </w:tcPr>
          <w:p>
            <w:pPr>
              <w:pStyle w:val="Compact"/>
              <w:jc w:val="left"/>
            </w:pPr>
            <w:r>
              <w:rPr>
                <w:b w:val="0"/>
              </w:rPr>
              <w:t>+0.0028</w:t>
            </w:r>
          </w:p>
        </w:tc>
      </w:tr>
      <w:tr>
        <w:tc>
          <w:tcPr>
            <w:tcW w:type="dxa" w:w="2981"/>
          </w:tcPr>
          <w:p>
            <w:pPr>
              <w:pStyle w:val="Compact"/>
              <w:jc w:val="left"/>
            </w:pPr>
            <w:r>
              <w:rPr>
                <w:b w:val="0"/>
              </w:rPr>
              <w:t>nemotron-mini:4b_baseline</w:t>
            </w:r>
          </w:p>
        </w:tc>
        <w:tc>
          <w:tcPr>
            <w:tcW w:type="dxa" w:w="3194"/>
          </w:tcPr>
          <w:p>
            <w:pPr>
              <w:pStyle w:val="Compact"/>
              <w:jc w:val="left"/>
            </w:pPr>
            <w:r>
              <w:rPr>
                <w:b w:val="0"/>
              </w:rPr>
              <w:t>-0.0477</w:t>
            </w:r>
          </w:p>
        </w:tc>
        <w:tc>
          <w:tcPr>
            <w:tcW w:type="dxa" w:w="2663"/>
          </w:tcPr>
          <w:p>
            <w:pPr>
              <w:pStyle w:val="Compact"/>
              <w:jc w:val="left"/>
            </w:pPr>
            <w:r>
              <w:rPr>
                <w:b w:val="0"/>
              </w:rPr>
              <w:t>-0.1942</w:t>
            </w:r>
          </w:p>
        </w:tc>
      </w:tr>
      <w:tr>
        <w:tc>
          <w:tcPr>
            <w:tcW w:type="dxa" w:w="2981"/>
          </w:tcPr>
          <w:p>
            <w:pPr>
              <w:pStyle w:val="Compact"/>
              <w:jc w:val="left"/>
            </w:pPr>
            <w:r>
              <w:rPr>
                <w:b w:val="0"/>
              </w:rPr>
              <w:t>deepseek-r1:1.5b_kb_rag</w:t>
            </w:r>
          </w:p>
        </w:tc>
        <w:tc>
          <w:tcPr>
            <w:tcW w:type="dxa" w:w="3194"/>
          </w:tcPr>
          <w:p>
            <w:pPr>
              <w:pStyle w:val="Compact"/>
              <w:jc w:val="left"/>
            </w:pPr>
            <w:r>
              <w:rPr>
                <w:b w:val="0"/>
              </w:rPr>
              <w:t>-0.0717</w:t>
            </w:r>
          </w:p>
        </w:tc>
        <w:tc>
          <w:tcPr>
            <w:tcW w:type="dxa" w:w="2663"/>
          </w:tcPr>
          <w:p>
            <w:pPr>
              <w:pStyle w:val="Compact"/>
              <w:jc w:val="left"/>
            </w:pPr>
            <w:r>
              <w:rPr>
                <w:b w:val="0"/>
              </w:rPr>
              <w:t>-0.1796</w:t>
            </w:r>
          </w:p>
        </w:tc>
      </w:tr>
      <w:tr>
        <w:tc>
          <w:tcPr>
            <w:tcW w:type="dxa" w:w="2981"/>
          </w:tcPr>
          <w:p>
            <w:pPr>
              <w:pStyle w:val="Compact"/>
              <w:jc w:val="left"/>
            </w:pPr>
            <w:r>
              <w:rPr>
                <w:b w:val="0"/>
              </w:rPr>
              <w:t>llama3.2:latest_baseline</w:t>
            </w:r>
          </w:p>
        </w:tc>
        <w:tc>
          <w:tcPr>
            <w:tcW w:type="dxa" w:w="3194"/>
          </w:tcPr>
          <w:p>
            <w:pPr>
              <w:pStyle w:val="Compact"/>
              <w:jc w:val="left"/>
            </w:pPr>
            <w:r>
              <w:rPr>
                <w:b w:val="0"/>
              </w:rPr>
              <w:t>-0.0816</w:t>
            </w:r>
          </w:p>
        </w:tc>
        <w:tc>
          <w:tcPr>
            <w:tcW w:type="dxa" w:w="2663"/>
          </w:tcPr>
          <w:p>
            <w:pPr>
              <w:pStyle w:val="Compact"/>
              <w:jc w:val="left"/>
            </w:pPr>
            <w:r>
              <w:rPr>
                <w:b w:val="0"/>
              </w:rPr>
              <w:t>-0.2665</w:t>
            </w:r>
          </w:p>
        </w:tc>
      </w:tr>
    </w:tbl>
    <w:p>
      <w:pPr>
        <w:numPr>
          <w:ilvl w:val="0"/>
          <w:numId w:val="0"/>
        </w:numPr>
        <w:pStyle w:val="Normal"/>
      </w:pPr>
      <w:r>
        <w:t xml:space="preserve">Los dos criterios apuntan en direcciones opuestas, y de forma sistemática: </w:t>
      </w:r>
      <w:r>
        <w:rPr>
          <w:b/>
        </w:rPr>
        <w:t>19 de las 24 configuraciones puntúan mejor</w:t>
      </w:r>
      <w:r>
        <w:t xml:space="preserve"> en los artículos cuya anotación de referencia está corrompida, y </w:t>
      </w:r>
      <w:r>
        <w:rPr>
          <w:b/>
        </w:rPr>
        <w:t>5 de las 24 puntúan peor</w:t>
      </w:r>
      <w:r>
        <w:t xml:space="preserve"> en aquellos cuyo texto lo está. La lectura es coherente con el mecanismo del cotejo difuso. Cuando la corrupción está en la referencia, el corpus premia la transcripción literal de los bytes y penaliza al modelo que escribe el nombre correctamente, porque </w:t>
      </w:r>
      <w:r>
        <w:t>José Bono</w:t>
      </w:r>
      <w:r>
        <w:t xml:space="preserve"> no casa con </w:t>
      </w:r>
      <w:r>
        <w:t>JosÃ© Bono</w:t>
      </w:r>
      <w:r>
        <w:t>. Cuando está en el texto de entrada, en cambio, dificulta la extracción para todos, y ahí el efecto es de signo negativo.</w:t>
      </w:r>
    </w:p>
    <w:p>
      <w:pPr>
        <w:numPr>
          <w:ilvl w:val="0"/>
          <w:numId w:val="0"/>
        </w:numPr>
        <w:pStyle w:val="BodyText"/>
      </w:pPr>
      <w:r>
        <w:rPr>
          <w:b/>
        </w:rPr>
        <w:t>Cautela metodológica, y una advertencia sobre la versión anterior de esta tabla.</w:t>
      </w:r>
      <w:r>
        <w:t xml:space="preserve"> Los artículos afectados podrían ser además más largos o intrínsecamente más difíciles, lo que confundiría la magnitud absoluta de cada diferencia; el sentido del efecto, sin embargo, es consistente dentro de cada criterio. Una versión anterior de este anexo declaraba una partición de 88 artículos afectados y 31 no —cuya suma es 119 y no 120— y unas diferencias que no se reproducen con ninguno de los dos criterios: para </w:t>
      </w:r>
      <w:r>
        <w:t>gemma4:latest</w:t>
      </w:r>
      <w:r>
        <w:t xml:space="preserve"> reportaba −0,0695 donde la medición da +0,0620 por entidad y −0,0958 por texto. Se sustituye por la tabla presente, obtenida con el script publicado, y se conserva esta nota para que la corrección quede trazable.</w:t>
      </w:r>
    </w:p>
    <w:p>
      <w:pPr>
        <w:numPr>
          <w:ilvl w:val="0"/>
          <w:numId w:val="0"/>
        </w:numPr>
        <w:pStyle w:val="Heading3"/>
      </w:pPr>
      <w:r>
        <w:t>H.4 Cómo debe repararse</w:t>
      </w:r>
    </w:p>
    <w:p>
      <w:pPr>
        <w:numPr>
          <w:ilvl w:val="0"/>
          <w:numId w:val="0"/>
        </w:numPr>
        <w:pStyle w:val="BodyText"/>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Normal"/>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(§5.3.5) y como línea de trabajo futuro (§7.2, punto 7).</w:t>
      </w:r>
    </w:p>
    <w:p>
      <w:pPr>
        <w:numPr>
          <w:ilvl w:val="0"/>
          <w:numId w:val="0"/>
        </w:numPr>
        <w:pStyle w:val="Heading3"/>
      </w:pPr>
      <w:r>
        <w:t>H.5 Implicaciones para la evaluación de sistemas NER</w:t>
      </w:r>
    </w:p>
    <w:p>
      <w:pPr>
        <w:numPr>
          <w:ilvl w:val="0"/>
          <w:numId w:val="0"/>
        </w:numPr>
        <w:pStyle w:val="BodyText"/>
      </w:pPr>
      <w:r>
        <w:rPr>
          <w:b/>
        </w:rPr>
        <w:t>Verificar la codificación de la entrada, no solo la de la referencia.</w:t>
      </w:r>
      <w:r>
        <w:t xml:space="preserve"> Un defecto presente en ambas no se comporta como el mismo defecto presente en una sola.</w:t>
      </w:r>
    </w:p>
    <w:p>
      <w:pPr>
        <w:numPr>
          <w:ilvl w:val="0"/>
          <w:numId w:val="0"/>
        </w:numPr>
        <w:pStyle w:val="BodyText"/>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BodyText"/>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BodyText"/>
      </w:pPr>
      <w:r>
        <w:rPr>
          <w:b/>
        </w:rPr>
        <w:t>Aplicar toda corrección de forma uniforme.</w:t>
      </w:r>
      <w:r>
        <w:t xml:space="preserve"> Reparar el corpus para un solo modelo lo mediría con una vara distinta de la del resto e invalidaría la comparación.</w:t>
      </w:r>
    </w:p>
    <w:p>
      <w:pPr>
        <w:numPr>
          <w:ilvl w:val="0"/>
          <w:numId w:val="0"/>
        </w:numPr>
        <w:pStyle w:val="Normal"/>
      </w:pPr>
      <w:r>
        <w:rPr>
          <w:i/>
        </w:rPr>
        <w:t>Informe Final de Tesina — Magíster en Tecnologías de la Información (MTI)</w:t>
      </w:r>
      <w:r>
        <w:t xml:space="preserve"> </w:t>
      </w:r>
      <w:r>
        <w:rPr>
          <w:i/>
        </w:rPr>
        <w:t>Universidad Técnica Federico Santa María — Valparaíso, Chile</w:t>
      </w:r>
      <w:r>
        <w:t xml:space="preserve"> </w:t>
      </w:r>
      <w:r>
        <w:rPr>
          <w:i/>
        </w:rPr>
        <w:t>Septiembre de 2026</w:t>
      </w:r>
    </w:p>
    <w:p>
      <w:pPr>
        <w:numPr>
          <w:ilvl w:val="0"/>
          <w:numId w:val="0"/>
        </w:numPr>
        <w:pStyle w:val="Heading2"/>
      </w:pPr>
      <w:r>
        <w:t>Anexo I — Medición restringida a las categorías anotadas por el corpus</w:t>
      </w:r>
    </w:p>
    <w:p>
      <w:pPr>
        <w:numPr>
          <w:ilvl w:val="0"/>
          <w:numId w:val="0"/>
        </w:numPr>
        <w:pStyle w:val="BodyText"/>
      </w:pPr>
      <w:r>
        <w:t xml:space="preserve">Los prompts solicitan tres categorías de entidad y los corpus anotan dos, de modo que toda localización extraída se contabiliza como falso positivo (§3.3). Esta tabla acompaña cada cifra publicada de su equivalente restringido a las categorías que el corpus efectivamente anota. Se obtuvo reagregando los desgloses por tipo ya almacenados en los resultados por corrida, </w:t>
      </w:r>
      <w:r>
        <w:rPr>
          <w:b/>
        </w:rPr>
        <w:t>sin repetir la inferencia</w:t>
      </w:r>
      <w:r>
        <w:t>, tomando por configuración la corrida más reciente que aporta exactamente 120 registros. La exhaustividad es idéntica en ambas columnas porque el corpus no anota localizaciones y, por tanto, tampoco puede omitirlas: la corrección afecta solo a la precisión.</w:t>
      </w:r>
    </w:p>
    <w:p>
      <w:pPr>
        <w:numPr>
          <w:ilvl w:val="0"/>
          <w:numId w:val="0"/>
        </w:numPr>
        <w:pStyle w:val="TableCaption"/>
      </w:pPr>
      <w:r>
        <w:t xml:space="preserve">Tabla 19. Desempeño publicado y desempeño restringido a personas y organizaciones (N=120, 42 configuraciones).</w:t>
      </w:r>
    </w:p>
    <w:tbl>
      <w:tblPr>
        <w:tblStyle w:val="Table"/>
        <w:tblW w:type="pct" w:w="5000.0"/>
        <w:tblLook w:firstRow="1"/>
      </w:tblPr>
      <w:tblGrid>
        <w:gridCol w:w="944"/>
        <w:gridCol w:w="2494"/>
        <w:gridCol w:w="900"/>
        <w:gridCol w:w="900"/>
        <w:gridCol w:w="900"/>
        <w:gridCol w:w="900"/>
        <w:gridCol w:w="900"/>
        <w:gridCol w:w="900"/>
      </w:tblGrid>
      <w:tr>
        <w:trPr>
          <w:cnfStyle w:firstRow="1"/>
        </w:trPr>
        <w:tc>
          <w:tcPr>
            <w:tcW w:type="dxa" w:w="944"/>
            <w:tcBorders>
              <w:bottom w:val="single"/>
            </w:tcBorders>
            <w:vAlign w:val="bottom"/>
          </w:tcPr>
          <w:p>
            <w:pPr>
              <w:pStyle w:val="Compact"/>
              <w:jc w:val="left"/>
            </w:pPr>
            <w:r>
              <w:rPr>
                <w:b/>
              </w:rPr>
              <w:t>Configuración</w:t>
            </w:r>
          </w:p>
        </w:tc>
        <w:tc>
          <w:tcPr>
            <w:tcW w:type="dxa" w:w="2494"/>
            <w:tcBorders>
              <w:bottom w:val="single"/>
            </w:tcBorders>
            <w:vAlign w:val="bottom"/>
          </w:tcPr>
          <w:p>
            <w:pPr>
              <w:pStyle w:val="Compact"/>
              <w:jc w:val="left"/>
            </w:pPr>
            <w:r>
              <w:rPr>
                <w:b/>
              </w:rPr>
              <w:t>Corrida</w:t>
            </w:r>
          </w:p>
        </w:tc>
        <w:tc>
          <w:tcPr>
            <w:tcW w:type="dxa" w:w="900"/>
            <w:tcBorders>
              <w:bottom w:val="single"/>
            </w:tcBorders>
            <w:vAlign w:val="bottom"/>
          </w:tcPr>
          <w:p>
            <w:pPr>
              <w:pStyle w:val="Compact"/>
              <w:jc w:val="left"/>
            </w:pPr>
            <w:r>
              <w:rPr>
                <w:b/>
              </w:rPr>
              <w:t>P</w:t>
            </w:r>
          </w:p>
        </w:tc>
        <w:tc>
          <w:tcPr>
            <w:tcW w:type="dxa" w:w="900"/>
            <w:tcBorders>
              <w:bottom w:val="single"/>
            </w:tcBorders>
            <w:vAlign w:val="bottom"/>
          </w:tcPr>
          <w:p>
            <w:pPr>
              <w:pStyle w:val="Compact"/>
              <w:jc w:val="center"/>
            </w:pPr>
            <w:r>
              <w:rPr>
                <w:b/>
              </w:rPr>
              <w:t>R</w:t>
            </w:r>
          </w:p>
        </w:tc>
        <w:tc>
          <w:tcPr>
            <w:tcW w:type="dxa" w:w="900"/>
            <w:tcBorders>
              <w:bottom w:val="single"/>
            </w:tcBorders>
            <w:vAlign w:val="bottom"/>
          </w:tcPr>
          <w:p>
            <w:pPr>
              <w:pStyle w:val="Compact"/>
              <w:jc w:val="center"/>
            </w:pPr>
            <w:r>
              <w:rPr>
                <w:b/>
              </w:rPr>
              <w:t>F1</w:t>
            </w:r>
          </w:p>
        </w:tc>
        <w:tc>
          <w:tcPr>
            <w:tcW w:type="dxa" w:w="900"/>
            <w:tcBorders>
              <w:bottom w:val="single"/>
            </w:tcBorders>
            <w:vAlign w:val="bottom"/>
          </w:tcPr>
          <w:p>
            <w:pPr>
              <w:pStyle w:val="Compact"/>
              <w:jc w:val="left"/>
            </w:pPr>
            <w:r>
              <w:rPr>
                <w:b/>
              </w:rPr>
              <w:t>P restr.</w:t>
            </w:r>
          </w:p>
        </w:tc>
        <w:tc>
          <w:tcPr>
            <w:tcW w:type="dxa" w:w="900"/>
            <w:tcBorders>
              <w:bottom w:val="single"/>
            </w:tcBorders>
            <w:vAlign w:val="bottom"/>
          </w:tcPr>
          <w:p>
            <w:pPr>
              <w:pStyle w:val="Compact"/>
              <w:jc w:val="left"/>
            </w:pPr>
            <w:r>
              <w:rPr>
                <w:b/>
              </w:rPr>
              <w:t>F1 restr.</w:t>
            </w:r>
          </w:p>
        </w:tc>
        <w:tc>
          <w:tcPr>
            <w:tcW w:type="dxa" w:w="900"/>
            <w:tcBorders>
              <w:bottom w:val="single"/>
            </w:tcBorders>
            <w:vAlign w:val="bottom"/>
          </w:tcPr>
          <w:p>
            <w:pPr>
              <w:pStyle w:val="Compact"/>
              <w:jc w:val="left"/>
            </w:pPr>
            <w:r>
              <w:rPr>
                <w:b/>
              </w:rPr>
              <w:t>Δ F1</w:t>
            </w:r>
          </w:p>
        </w:tc>
      </w:tr>
      <w:tr>
        <w:tc>
          <w:tcPr>
            <w:tcW w:type="dxa" w:w="944"/>
          </w:tcPr>
          <w:p>
            <w:pPr>
              <w:pStyle w:val="Compact"/>
              <w:jc w:val="left"/>
            </w:pPr>
            <w:r>
              <w:rPr>
                <w:b w:val="0"/>
              </w:rPr>
              <w:t>gemma4:31b-cloud_baseline</w:t>
            </w:r>
          </w:p>
        </w:tc>
        <w:tc>
          <w:tcPr>
            <w:tcW w:type="dxa" w:w="2494"/>
          </w:tcPr>
          <w:p>
            <w:pPr>
              <w:pStyle w:val="Compact"/>
              <w:jc w:val="left"/>
            </w:pPr>
            <w:r>
              <w:rPr>
                <w:b w:val="0"/>
              </w:rPr>
              <w:t>gemma4_31b_cloud_n120_REMOTO</w:t>
            </w:r>
          </w:p>
        </w:tc>
        <w:tc>
          <w:tcPr>
            <w:tcW w:type="dxa" w:w="900"/>
          </w:tcPr>
          <w:p>
            <w:pPr>
              <w:pStyle w:val="Compact"/>
              <w:jc w:val="left"/>
            </w:pPr>
            <w:r>
              <w:rPr>
                <w:b w:val="0"/>
              </w:rPr>
              <w:t xml:space="preserve">55.80</w:t>
            </w:r>
          </w:p>
        </w:tc>
        <w:tc>
          <w:tcPr>
            <w:tcW w:type="dxa" w:w="900"/>
          </w:tcPr>
          <w:p>
            <w:pPr>
              <w:pStyle w:val="Compact"/>
              <w:jc w:val="center"/>
            </w:pPr>
            <w:r>
              <w:rPr>
                <w:b w:val="0"/>
              </w:rPr>
              <w:t xml:space="preserve">75.30</w:t>
            </w:r>
          </w:p>
        </w:tc>
        <w:tc>
          <w:tcPr>
            <w:tcW w:type="dxa" w:w="900"/>
          </w:tcPr>
          <w:p>
            <w:pPr>
              <w:pStyle w:val="Compact"/>
              <w:jc w:val="center"/>
            </w:pPr>
            <w:r>
              <w:rPr>
                <w:b w:val="0"/>
              </w:rPr>
              <w:t xml:space="preserve">62.38</w:t>
            </w:r>
          </w:p>
        </w:tc>
        <w:tc>
          <w:tcPr>
            <w:tcW w:type="dxa" w:w="900"/>
          </w:tcPr>
          <w:p>
            <w:pPr>
              <w:pStyle w:val="Compact"/>
              <w:jc w:val="left"/>
            </w:pPr>
            <w:r>
              <w:rPr>
                <w:b w:val="0"/>
              </w:rPr>
              <w:t xml:space="preserve">85.51</w:t>
            </w:r>
          </w:p>
        </w:tc>
        <w:tc>
          <w:tcPr>
            <w:tcW w:type="dxa" w:w="900"/>
          </w:tcPr>
          <w:p>
            <w:pPr>
              <w:pStyle w:val="Compact"/>
              <w:jc w:val="left"/>
            </w:pPr>
            <w:r>
              <w:rPr>
                <w:b w:val="0"/>
              </w:rPr>
              <w:t xml:space="preserve">80.42</w:t>
            </w:r>
          </w:p>
        </w:tc>
        <w:tc>
          <w:tcPr>
            <w:tcW w:type="dxa" w:w="900"/>
          </w:tcPr>
          <w:p>
            <w:pPr>
              <w:pStyle w:val="Compact"/>
              <w:jc w:val="left"/>
            </w:pPr>
            <w:r>
              <w:rPr>
                <w:b w:val="0"/>
              </w:rPr>
              <w:t xml:space="preserve">+18.03</w:t>
            </w:r>
          </w:p>
        </w:tc>
      </w:tr>
      <w:tr>
        <w:tc>
          <w:tcPr>
            <w:tcW w:type="dxa" w:w="944"/>
          </w:tcPr>
          <w:p>
            <w:pPr>
              <w:pStyle w:val="Compact"/>
              <w:jc w:val="left"/>
            </w:pPr>
            <w:r>
              <w:rPr>
                <w:b w:val="0"/>
              </w:rPr>
              <w:t>gemma4:31b-cloud_kb_rag</w:t>
            </w:r>
          </w:p>
        </w:tc>
        <w:tc>
          <w:tcPr>
            <w:tcW w:type="dxa" w:w="2494"/>
          </w:tcPr>
          <w:p>
            <w:pPr>
              <w:pStyle w:val="Compact"/>
              <w:jc w:val="left"/>
            </w:pPr>
            <w:r>
              <w:rPr>
                <w:b w:val="0"/>
              </w:rPr>
              <w:t>gemma4_31b_cloud_n120_REMOTO</w:t>
            </w:r>
          </w:p>
        </w:tc>
        <w:tc>
          <w:tcPr>
            <w:tcW w:type="dxa" w:w="900"/>
          </w:tcPr>
          <w:p>
            <w:pPr>
              <w:pStyle w:val="Compact"/>
              <w:jc w:val="left"/>
            </w:pPr>
            <w:r>
              <w:rPr>
                <w:b w:val="0"/>
              </w:rPr>
              <w:t xml:space="preserve">54.92</w:t>
            </w:r>
          </w:p>
        </w:tc>
        <w:tc>
          <w:tcPr>
            <w:tcW w:type="dxa" w:w="900"/>
          </w:tcPr>
          <w:p>
            <w:pPr>
              <w:pStyle w:val="Compact"/>
              <w:jc w:val="center"/>
            </w:pPr>
            <w:r>
              <w:rPr>
                <w:b w:val="0"/>
              </w:rPr>
              <w:t xml:space="preserve">75.11</w:t>
            </w:r>
          </w:p>
        </w:tc>
        <w:tc>
          <w:tcPr>
            <w:tcW w:type="dxa" w:w="900"/>
          </w:tcPr>
          <w:p>
            <w:pPr>
              <w:pStyle w:val="Compact"/>
              <w:jc w:val="center"/>
            </w:pPr>
            <w:r>
              <w:rPr>
                <w:b w:val="0"/>
              </w:rPr>
              <w:t xml:space="preserve">61.85</w:t>
            </w:r>
          </w:p>
        </w:tc>
        <w:tc>
          <w:tcPr>
            <w:tcW w:type="dxa" w:w="900"/>
          </w:tcPr>
          <w:p>
            <w:pPr>
              <w:pStyle w:val="Compact"/>
              <w:jc w:val="left"/>
            </w:pPr>
            <w:r>
              <w:rPr>
                <w:b w:val="0"/>
              </w:rPr>
              <w:t xml:space="preserve">82.40</w:t>
            </w:r>
          </w:p>
        </w:tc>
        <w:tc>
          <w:tcPr>
            <w:tcW w:type="dxa" w:w="900"/>
          </w:tcPr>
          <w:p>
            <w:pPr>
              <w:pStyle w:val="Compact"/>
              <w:jc w:val="left"/>
            </w:pPr>
            <w:r>
              <w:rPr>
                <w:b w:val="0"/>
              </w:rPr>
              <w:t xml:space="preserve">78.89</w:t>
            </w:r>
          </w:p>
        </w:tc>
        <w:tc>
          <w:tcPr>
            <w:tcW w:type="dxa" w:w="900"/>
          </w:tcPr>
          <w:p>
            <w:pPr>
              <w:pStyle w:val="Compact"/>
              <w:jc w:val="left"/>
            </w:pPr>
            <w:r>
              <w:rPr>
                <w:b w:val="0"/>
              </w:rPr>
              <w:t xml:space="preserve">+17.05</w:t>
            </w:r>
          </w:p>
        </w:tc>
      </w:tr>
      <w:tr>
        <w:tc>
          <w:tcPr>
            <w:tcW w:type="dxa" w:w="944"/>
          </w:tcPr>
          <w:p>
            <w:pPr>
              <w:pStyle w:val="Compact"/>
              <w:jc w:val="left"/>
            </w:pPr>
            <w:r>
              <w:rPr>
                <w:b w:val="0"/>
              </w:rPr>
              <w:t>gemma4:31b-mlx_baseline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52.89</w:t>
            </w:r>
          </w:p>
        </w:tc>
        <w:tc>
          <w:tcPr>
            <w:tcW w:type="dxa" w:w="900"/>
          </w:tcPr>
          <w:p>
            <w:pPr>
              <w:pStyle w:val="Compact"/>
              <w:jc w:val="center"/>
            </w:pPr>
            <w:r>
              <w:rPr>
                <w:b w:val="0"/>
              </w:rPr>
              <w:t xml:space="preserve">72.35</w:t>
            </w:r>
          </w:p>
        </w:tc>
        <w:tc>
          <w:tcPr>
            <w:tcW w:type="dxa" w:w="900"/>
          </w:tcPr>
          <w:p>
            <w:pPr>
              <w:pStyle w:val="Compact"/>
              <w:jc w:val="center"/>
            </w:pPr>
            <w:r>
              <w:rPr>
                <w:b w:val="0"/>
              </w:rPr>
              <w:t xml:space="preserve">59.25</w:t>
            </w:r>
          </w:p>
        </w:tc>
        <w:tc>
          <w:tcPr>
            <w:tcW w:type="dxa" w:w="900"/>
          </w:tcPr>
          <w:p>
            <w:pPr>
              <w:pStyle w:val="Compact"/>
              <w:jc w:val="left"/>
            </w:pPr>
            <w:r>
              <w:rPr>
                <w:b w:val="0"/>
              </w:rPr>
              <w:t xml:space="preserve">80.85</w:t>
            </w:r>
          </w:p>
        </w:tc>
        <w:tc>
          <w:tcPr>
            <w:tcW w:type="dxa" w:w="900"/>
          </w:tcPr>
          <w:p>
            <w:pPr>
              <w:pStyle w:val="Compact"/>
              <w:jc w:val="left"/>
            </w:pPr>
            <w:r>
              <w:rPr>
                <w:b w:val="0"/>
              </w:rPr>
              <w:t xml:space="preserve">76.55</w:t>
            </w:r>
          </w:p>
        </w:tc>
        <w:tc>
          <w:tcPr>
            <w:tcW w:type="dxa" w:w="900"/>
          </w:tcPr>
          <w:p>
            <w:pPr>
              <w:pStyle w:val="Compact"/>
              <w:jc w:val="left"/>
            </w:pPr>
            <w:r>
              <w:rPr>
                <w:b w:val="0"/>
              </w:rPr>
              <w:t xml:space="preserve">+17.30</w:t>
            </w:r>
          </w:p>
        </w:tc>
      </w:tr>
      <w:tr>
        <w:tc>
          <w:tcPr>
            <w:tcW w:type="dxa" w:w="944"/>
          </w:tcPr>
          <w:p>
            <w:pPr>
              <w:pStyle w:val="Compact"/>
              <w:jc w:val="left"/>
            </w:pPr>
            <w:r>
              <w:rPr>
                <w:b w:val="0"/>
              </w:rPr>
              <w:t>gemma4:31b-mlx_kb_rag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51.67</w:t>
            </w:r>
          </w:p>
        </w:tc>
        <w:tc>
          <w:tcPr>
            <w:tcW w:type="dxa" w:w="900"/>
          </w:tcPr>
          <w:p>
            <w:pPr>
              <w:pStyle w:val="Compact"/>
              <w:jc w:val="center"/>
            </w:pPr>
            <w:r>
              <w:rPr>
                <w:b w:val="0"/>
              </w:rPr>
              <w:t xml:space="preserve">73.59</w:t>
            </w:r>
          </w:p>
        </w:tc>
        <w:tc>
          <w:tcPr>
            <w:tcW w:type="dxa" w:w="900"/>
          </w:tcPr>
          <w:p>
            <w:pPr>
              <w:pStyle w:val="Compact"/>
              <w:jc w:val="center"/>
            </w:pPr>
            <w:r>
              <w:rPr>
                <w:b w:val="0"/>
              </w:rPr>
              <w:t xml:space="preserve">59.07</w:t>
            </w:r>
          </w:p>
        </w:tc>
        <w:tc>
          <w:tcPr>
            <w:tcW w:type="dxa" w:w="900"/>
          </w:tcPr>
          <w:p>
            <w:pPr>
              <w:pStyle w:val="Compact"/>
              <w:jc w:val="left"/>
            </w:pPr>
            <w:r>
              <w:rPr>
                <w:b w:val="0"/>
              </w:rPr>
              <w:t xml:space="preserve">77.11</w:t>
            </w:r>
          </w:p>
        </w:tc>
        <w:tc>
          <w:tcPr>
            <w:tcW w:type="dxa" w:w="900"/>
          </w:tcPr>
          <w:p>
            <w:pPr>
              <w:pStyle w:val="Compact"/>
              <w:jc w:val="left"/>
            </w:pPr>
            <w:r>
              <w:rPr>
                <w:b w:val="0"/>
              </w:rPr>
              <w:t xml:space="preserve">75.63</w:t>
            </w:r>
          </w:p>
        </w:tc>
        <w:tc>
          <w:tcPr>
            <w:tcW w:type="dxa" w:w="900"/>
          </w:tcPr>
          <w:p>
            <w:pPr>
              <w:pStyle w:val="Compact"/>
              <w:jc w:val="left"/>
            </w:pPr>
            <w:r>
              <w:rPr>
                <w:b w:val="0"/>
              </w:rPr>
              <w:t xml:space="preserve">+16.55</w:t>
            </w:r>
          </w:p>
        </w:tc>
      </w:tr>
      <w:tr>
        <w:tc>
          <w:tcPr>
            <w:tcW w:type="dxa" w:w="944"/>
          </w:tcPr>
          <w:p>
            <w:pPr>
              <w:pStyle w:val="Compact"/>
              <w:jc w:val="left"/>
            </w:pPr>
            <w:r>
              <w:rPr>
                <w:b w:val="0"/>
              </w:rPr>
              <w:t>gemma4:31b-mlx_rag_enhanced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52.09</w:t>
            </w:r>
          </w:p>
        </w:tc>
        <w:tc>
          <w:tcPr>
            <w:tcW w:type="dxa" w:w="900"/>
          </w:tcPr>
          <w:p>
            <w:pPr>
              <w:pStyle w:val="Compact"/>
              <w:jc w:val="center"/>
            </w:pPr>
            <w:r>
              <w:rPr>
                <w:b w:val="0"/>
              </w:rPr>
              <w:t xml:space="preserve">69.18</w:t>
            </w:r>
          </w:p>
        </w:tc>
        <w:tc>
          <w:tcPr>
            <w:tcW w:type="dxa" w:w="900"/>
          </w:tcPr>
          <w:p>
            <w:pPr>
              <w:pStyle w:val="Compact"/>
              <w:jc w:val="center"/>
            </w:pPr>
            <w:r>
              <w:rPr>
                <w:b w:val="0"/>
              </w:rPr>
              <w:t xml:space="preserve">57.85</w:t>
            </w:r>
          </w:p>
        </w:tc>
        <w:tc>
          <w:tcPr>
            <w:tcW w:type="dxa" w:w="900"/>
          </w:tcPr>
          <w:p>
            <w:pPr>
              <w:pStyle w:val="Compact"/>
              <w:jc w:val="left"/>
            </w:pPr>
            <w:r>
              <w:rPr>
                <w:b w:val="0"/>
              </w:rPr>
              <w:t xml:space="preserve">80.34</w:t>
            </w:r>
          </w:p>
        </w:tc>
        <w:tc>
          <w:tcPr>
            <w:tcW w:type="dxa" w:w="900"/>
          </w:tcPr>
          <w:p>
            <w:pPr>
              <w:pStyle w:val="Compact"/>
              <w:jc w:val="left"/>
            </w:pPr>
            <w:r>
              <w:rPr>
                <w:b w:val="0"/>
              </w:rPr>
              <w:t xml:space="preserve">74.66</w:t>
            </w:r>
          </w:p>
        </w:tc>
        <w:tc>
          <w:tcPr>
            <w:tcW w:type="dxa" w:w="900"/>
          </w:tcPr>
          <w:p>
            <w:pPr>
              <w:pStyle w:val="Compact"/>
              <w:jc w:val="left"/>
            </w:pPr>
            <w:r>
              <w:rPr>
                <w:b w:val="0"/>
              </w:rPr>
              <w:t xml:space="preserve">+16.81</w:t>
            </w:r>
          </w:p>
        </w:tc>
      </w:tr>
      <w:tr>
        <w:tc>
          <w:tcPr>
            <w:tcW w:type="dxa" w:w="944"/>
          </w:tcPr>
          <w:p>
            <w:pPr>
              <w:pStyle w:val="Compact"/>
              <w:jc w:val="left"/>
            </w:pPr>
            <w:r>
              <w:rPr>
                <w:b w:val="0"/>
              </w:rPr>
              <w:t>zs-es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51.90</w:t>
            </w:r>
          </w:p>
        </w:tc>
        <w:tc>
          <w:tcPr>
            <w:tcW w:type="dxa" w:w="900"/>
          </w:tcPr>
          <w:p>
            <w:pPr>
              <w:pStyle w:val="Compact"/>
              <w:jc w:val="center"/>
            </w:pPr>
            <w:r>
              <w:rPr>
                <w:b w:val="0"/>
              </w:rPr>
              <w:t xml:space="preserve">67.86</w:t>
            </w:r>
          </w:p>
        </w:tc>
        <w:tc>
          <w:tcPr>
            <w:tcW w:type="dxa" w:w="900"/>
          </w:tcPr>
          <w:p>
            <w:pPr>
              <w:pStyle w:val="Compact"/>
              <w:jc w:val="center"/>
            </w:pPr>
            <w:r>
              <w:rPr>
                <w:b w:val="0"/>
              </w:rPr>
              <w:t xml:space="preserve">55.62</w:t>
            </w:r>
          </w:p>
        </w:tc>
        <w:tc>
          <w:tcPr>
            <w:tcW w:type="dxa" w:w="900"/>
          </w:tcPr>
          <w:p>
            <w:pPr>
              <w:pStyle w:val="Compact"/>
              <w:jc w:val="left"/>
            </w:pPr>
            <w:r>
              <w:rPr>
                <w:b w:val="0"/>
              </w:rPr>
              <w:t xml:space="preserve">79.49</w:t>
            </w:r>
          </w:p>
        </w:tc>
        <w:tc>
          <w:tcPr>
            <w:tcW w:type="dxa" w:w="900"/>
          </w:tcPr>
          <w:p>
            <w:pPr>
              <w:pStyle w:val="Compact"/>
              <w:jc w:val="left"/>
            </w:pPr>
            <w:r>
              <w:rPr>
                <w:b w:val="0"/>
              </w:rPr>
              <w:t xml:space="preserve">71.07</w:t>
            </w:r>
          </w:p>
        </w:tc>
        <w:tc>
          <w:tcPr>
            <w:tcW w:type="dxa" w:w="900"/>
          </w:tcPr>
          <w:p>
            <w:pPr>
              <w:pStyle w:val="Compact"/>
              <w:jc w:val="left"/>
            </w:pPr>
            <w:r>
              <w:rPr>
                <w:b w:val="0"/>
              </w:rPr>
              <w:t xml:space="preserve">+15.45</w:t>
            </w:r>
          </w:p>
        </w:tc>
      </w:tr>
      <w:tr>
        <w:tc>
          <w:tcPr>
            <w:tcW w:type="dxa" w:w="944"/>
          </w:tcPr>
          <w:p>
            <w:pPr>
              <w:pStyle w:val="Compact"/>
              <w:jc w:val="left"/>
            </w:pPr>
            <w:r>
              <w:rPr>
                <w:b w:val="0"/>
              </w:rPr>
              <w:t>gpt-oss:20b_kb_rag</w:t>
            </w:r>
          </w:p>
        </w:tc>
        <w:tc>
          <w:tcPr>
            <w:tcW w:type="dxa" w:w="2494"/>
          </w:tcPr>
          <w:p>
            <w:pPr>
              <w:pStyle w:val="Compact"/>
              <w:jc w:val="left"/>
            </w:pPr>
            <w:r>
              <w:rPr>
                <w:b w:val="0"/>
              </w:rPr>
              <w:t>gptoss_rerun_REMOTO</w:t>
            </w:r>
          </w:p>
        </w:tc>
        <w:tc>
          <w:tcPr>
            <w:tcW w:type="dxa" w:w="900"/>
          </w:tcPr>
          <w:p>
            <w:pPr>
              <w:pStyle w:val="Compact"/>
              <w:jc w:val="left"/>
            </w:pPr>
            <w:r>
              <w:rPr>
                <w:b w:val="0"/>
              </w:rPr>
              <w:t xml:space="preserve">49.18</w:t>
            </w:r>
          </w:p>
        </w:tc>
        <w:tc>
          <w:tcPr>
            <w:tcW w:type="dxa" w:w="900"/>
          </w:tcPr>
          <w:p>
            <w:pPr>
              <w:pStyle w:val="Compact"/>
              <w:jc w:val="center"/>
            </w:pPr>
            <w:r>
              <w:rPr>
                <w:b w:val="0"/>
              </w:rPr>
              <w:t xml:space="preserve">69.09</w:t>
            </w:r>
          </w:p>
        </w:tc>
        <w:tc>
          <w:tcPr>
            <w:tcW w:type="dxa" w:w="900"/>
          </w:tcPr>
          <w:p>
            <w:pPr>
              <w:pStyle w:val="Compact"/>
              <w:jc w:val="center"/>
            </w:pPr>
            <w:r>
              <w:rPr>
                <w:b w:val="0"/>
              </w:rPr>
              <w:t xml:space="preserve">55.67</w:t>
            </w:r>
          </w:p>
        </w:tc>
        <w:tc>
          <w:tcPr>
            <w:tcW w:type="dxa" w:w="900"/>
          </w:tcPr>
          <w:p>
            <w:pPr>
              <w:pStyle w:val="Compact"/>
              <w:jc w:val="left"/>
            </w:pPr>
            <w:r>
              <w:rPr>
                <w:b w:val="0"/>
              </w:rPr>
              <w:t xml:space="preserve">75.40</w:t>
            </w:r>
          </w:p>
        </w:tc>
        <w:tc>
          <w:tcPr>
            <w:tcW w:type="dxa" w:w="900"/>
          </w:tcPr>
          <w:p>
            <w:pPr>
              <w:pStyle w:val="Compact"/>
              <w:jc w:val="left"/>
            </w:pPr>
            <w:r>
              <w:rPr>
                <w:b w:val="0"/>
              </w:rPr>
              <w:t xml:space="preserve">71.99</w:t>
            </w:r>
          </w:p>
        </w:tc>
        <w:tc>
          <w:tcPr>
            <w:tcW w:type="dxa" w:w="900"/>
          </w:tcPr>
          <w:p>
            <w:pPr>
              <w:pStyle w:val="Compact"/>
              <w:jc w:val="left"/>
            </w:pPr>
            <w:r>
              <w:rPr>
                <w:b w:val="0"/>
              </w:rPr>
              <w:t xml:space="preserve">+16.32</w:t>
            </w:r>
          </w:p>
        </w:tc>
      </w:tr>
      <w:tr>
        <w:tc>
          <w:tcPr>
            <w:tcW w:type="dxa" w:w="944"/>
          </w:tcPr>
          <w:p>
            <w:pPr>
              <w:pStyle w:val="Compact"/>
              <w:jc w:val="left"/>
            </w:pPr>
            <w:r>
              <w:rPr>
                <w:b w:val="0"/>
              </w:rPr>
              <w:t>gemma4:latest_baseline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52.91</w:t>
            </w:r>
          </w:p>
        </w:tc>
        <w:tc>
          <w:tcPr>
            <w:tcW w:type="dxa" w:w="900"/>
          </w:tcPr>
          <w:p>
            <w:pPr>
              <w:pStyle w:val="Compact"/>
              <w:jc w:val="center"/>
            </w:pPr>
            <w:r>
              <w:rPr>
                <w:b w:val="0"/>
              </w:rPr>
              <w:t xml:space="preserve">63.87</w:t>
            </w:r>
          </w:p>
        </w:tc>
        <w:tc>
          <w:tcPr>
            <w:tcW w:type="dxa" w:w="900"/>
          </w:tcPr>
          <w:p>
            <w:pPr>
              <w:pStyle w:val="Compact"/>
              <w:jc w:val="center"/>
            </w:pPr>
            <w:r>
              <w:rPr>
                <w:b w:val="0"/>
              </w:rPr>
              <w:t xml:space="preserve">55.91</w:t>
            </w:r>
          </w:p>
        </w:tc>
        <w:tc>
          <w:tcPr>
            <w:tcW w:type="dxa" w:w="900"/>
          </w:tcPr>
          <w:p>
            <w:pPr>
              <w:pStyle w:val="Compact"/>
              <w:jc w:val="left"/>
            </w:pPr>
            <w:r>
              <w:rPr>
                <w:b w:val="0"/>
              </w:rPr>
              <w:t xml:space="preserve">78.81</w:t>
            </w:r>
          </w:p>
        </w:tc>
        <w:tc>
          <w:tcPr>
            <w:tcW w:type="dxa" w:w="900"/>
          </w:tcPr>
          <w:p>
            <w:pPr>
              <w:pStyle w:val="Compact"/>
              <w:jc w:val="left"/>
            </w:pPr>
            <w:r>
              <w:rPr>
                <w:b w:val="0"/>
              </w:rPr>
              <w:t xml:space="preserve">70.52</w:t>
            </w:r>
          </w:p>
        </w:tc>
        <w:tc>
          <w:tcPr>
            <w:tcW w:type="dxa" w:w="900"/>
          </w:tcPr>
          <w:p>
            <w:pPr>
              <w:pStyle w:val="Compact"/>
              <w:jc w:val="left"/>
            </w:pPr>
            <w:r>
              <w:rPr>
                <w:b w:val="0"/>
              </w:rPr>
              <w:t xml:space="preserve">+14.61</w:t>
            </w:r>
          </w:p>
        </w:tc>
      </w:tr>
      <w:tr>
        <w:tc>
          <w:tcPr>
            <w:tcW w:type="dxa" w:w="944"/>
          </w:tcPr>
          <w:p>
            <w:pPr>
              <w:pStyle w:val="Compact"/>
              <w:jc w:val="left"/>
            </w:pPr>
            <w:r>
              <w:rPr>
                <w:b w:val="0"/>
              </w:rPr>
              <w:t>gemma4:latest_kb_rag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51.29</w:t>
            </w:r>
          </w:p>
        </w:tc>
        <w:tc>
          <w:tcPr>
            <w:tcW w:type="dxa" w:w="900"/>
          </w:tcPr>
          <w:p>
            <w:pPr>
              <w:pStyle w:val="Compact"/>
              <w:jc w:val="center"/>
            </w:pPr>
            <w:r>
              <w:rPr>
                <w:b w:val="0"/>
              </w:rPr>
              <w:t xml:space="preserve">62.76</w:t>
            </w:r>
          </w:p>
        </w:tc>
        <w:tc>
          <w:tcPr>
            <w:tcW w:type="dxa" w:w="900"/>
          </w:tcPr>
          <w:p>
            <w:pPr>
              <w:pStyle w:val="Compact"/>
              <w:jc w:val="center"/>
            </w:pPr>
            <w:r>
              <w:rPr>
                <w:b w:val="0"/>
              </w:rPr>
              <w:t xml:space="preserve">54.74</w:t>
            </w:r>
          </w:p>
        </w:tc>
        <w:tc>
          <w:tcPr>
            <w:tcW w:type="dxa" w:w="900"/>
          </w:tcPr>
          <w:p>
            <w:pPr>
              <w:pStyle w:val="Compact"/>
              <w:jc w:val="left"/>
            </w:pPr>
            <w:r>
              <w:rPr>
                <w:b w:val="0"/>
              </w:rPr>
              <w:t xml:space="preserve">79.72</w:t>
            </w:r>
          </w:p>
        </w:tc>
        <w:tc>
          <w:tcPr>
            <w:tcW w:type="dxa" w:w="900"/>
          </w:tcPr>
          <w:p>
            <w:pPr>
              <w:pStyle w:val="Compact"/>
              <w:jc w:val="left"/>
            </w:pPr>
            <w:r>
              <w:rPr>
                <w:b w:val="0"/>
              </w:rPr>
              <w:t xml:space="preserve">70.34</w:t>
            </w:r>
          </w:p>
        </w:tc>
        <w:tc>
          <w:tcPr>
            <w:tcW w:type="dxa" w:w="900"/>
          </w:tcPr>
          <w:p>
            <w:pPr>
              <w:pStyle w:val="Compact"/>
              <w:jc w:val="left"/>
            </w:pPr>
            <w:r>
              <w:rPr>
                <w:b w:val="0"/>
              </w:rPr>
              <w:t xml:space="preserve">+15.59</w:t>
            </w:r>
          </w:p>
        </w:tc>
      </w:tr>
      <w:tr>
        <w:tc>
          <w:tcPr>
            <w:tcW w:type="dxa" w:w="944"/>
          </w:tcPr>
          <w:p>
            <w:pPr>
              <w:pStyle w:val="Compact"/>
              <w:jc w:val="left"/>
            </w:pPr>
            <w:r>
              <w:rPr>
                <w:b w:val="0"/>
              </w:rPr>
              <w:t>zs-en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52.47</w:t>
            </w:r>
          </w:p>
        </w:tc>
        <w:tc>
          <w:tcPr>
            <w:tcW w:type="dxa" w:w="900"/>
          </w:tcPr>
          <w:p>
            <w:pPr>
              <w:pStyle w:val="Compact"/>
              <w:jc w:val="center"/>
            </w:pPr>
            <w:r>
              <w:rPr>
                <w:b w:val="0"/>
              </w:rPr>
              <w:t xml:space="preserve">65.39</w:t>
            </w:r>
          </w:p>
        </w:tc>
        <w:tc>
          <w:tcPr>
            <w:tcW w:type="dxa" w:w="900"/>
          </w:tcPr>
          <w:p>
            <w:pPr>
              <w:pStyle w:val="Compact"/>
              <w:jc w:val="center"/>
            </w:pPr>
            <w:r>
              <w:rPr>
                <w:b w:val="0"/>
              </w:rPr>
              <w:t xml:space="preserve">54.46</w:t>
            </w:r>
          </w:p>
        </w:tc>
        <w:tc>
          <w:tcPr>
            <w:tcW w:type="dxa" w:w="900"/>
          </w:tcPr>
          <w:p>
            <w:pPr>
              <w:pStyle w:val="Compact"/>
              <w:jc w:val="left"/>
            </w:pPr>
            <w:r>
              <w:rPr>
                <w:b w:val="0"/>
              </w:rPr>
              <w:t xml:space="preserve">77.93</w:t>
            </w:r>
          </w:p>
        </w:tc>
        <w:tc>
          <w:tcPr>
            <w:tcW w:type="dxa" w:w="900"/>
          </w:tcPr>
          <w:p>
            <w:pPr>
              <w:pStyle w:val="Compact"/>
              <w:jc w:val="left"/>
            </w:pPr>
            <w:r>
              <w:rPr>
                <w:b w:val="0"/>
              </w:rPr>
              <w:t xml:space="preserve">69.06</w:t>
            </w:r>
          </w:p>
        </w:tc>
        <w:tc>
          <w:tcPr>
            <w:tcW w:type="dxa" w:w="900"/>
          </w:tcPr>
          <w:p>
            <w:pPr>
              <w:pStyle w:val="Compact"/>
              <w:jc w:val="left"/>
            </w:pPr>
            <w:r>
              <w:rPr>
                <w:b w:val="0"/>
              </w:rPr>
              <w:t xml:space="preserve">+14.60</w:t>
            </w:r>
          </w:p>
        </w:tc>
      </w:tr>
      <w:tr>
        <w:tc>
          <w:tcPr>
            <w:tcW w:type="dxa" w:w="944"/>
          </w:tcPr>
          <w:p>
            <w:pPr>
              <w:pStyle w:val="Compact"/>
              <w:jc w:val="left"/>
            </w:pPr>
            <w:r>
              <w:rPr>
                <w:b w:val="0"/>
              </w:rPr>
              <w:t>fs-es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51.35</w:t>
            </w:r>
          </w:p>
        </w:tc>
        <w:tc>
          <w:tcPr>
            <w:tcW w:type="dxa" w:w="900"/>
          </w:tcPr>
          <w:p>
            <w:pPr>
              <w:pStyle w:val="Compact"/>
              <w:jc w:val="center"/>
            </w:pPr>
            <w:r>
              <w:rPr>
                <w:b w:val="0"/>
              </w:rPr>
              <w:t xml:space="preserve">64.59</w:t>
            </w:r>
          </w:p>
        </w:tc>
        <w:tc>
          <w:tcPr>
            <w:tcW w:type="dxa" w:w="900"/>
          </w:tcPr>
          <w:p>
            <w:pPr>
              <w:pStyle w:val="Compact"/>
              <w:jc w:val="center"/>
            </w:pPr>
            <w:r>
              <w:rPr>
                <w:b w:val="0"/>
              </w:rPr>
              <w:t xml:space="preserve">54.02</w:t>
            </w:r>
          </w:p>
        </w:tc>
        <w:tc>
          <w:tcPr>
            <w:tcW w:type="dxa" w:w="900"/>
          </w:tcPr>
          <w:p>
            <w:pPr>
              <w:pStyle w:val="Compact"/>
              <w:jc w:val="left"/>
            </w:pPr>
            <w:r>
              <w:rPr>
                <w:b w:val="0"/>
              </w:rPr>
              <w:t xml:space="preserve">80.76</w:t>
            </w:r>
          </w:p>
        </w:tc>
        <w:tc>
          <w:tcPr>
            <w:tcW w:type="dxa" w:w="900"/>
          </w:tcPr>
          <w:p>
            <w:pPr>
              <w:pStyle w:val="Compact"/>
              <w:jc w:val="left"/>
            </w:pPr>
            <w:r>
              <w:rPr>
                <w:b w:val="0"/>
              </w:rPr>
              <w:t xml:space="preserve">69.89</w:t>
            </w:r>
          </w:p>
        </w:tc>
        <w:tc>
          <w:tcPr>
            <w:tcW w:type="dxa" w:w="900"/>
          </w:tcPr>
          <w:p>
            <w:pPr>
              <w:pStyle w:val="Compact"/>
              <w:jc w:val="left"/>
            </w:pPr>
            <w:r>
              <w:rPr>
                <w:b w:val="0"/>
              </w:rPr>
              <w:t xml:space="preserve">+15.86</w:t>
            </w:r>
          </w:p>
        </w:tc>
      </w:tr>
      <w:tr>
        <w:tc>
          <w:tcPr>
            <w:tcW w:type="dxa" w:w="944"/>
          </w:tcPr>
          <w:p>
            <w:pPr>
              <w:pStyle w:val="Compact"/>
              <w:jc w:val="left"/>
            </w:pPr>
            <w:r>
              <w:rPr>
                <w:b w:val="0"/>
              </w:rPr>
              <w:t>fs-en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51.61</w:t>
            </w:r>
          </w:p>
        </w:tc>
        <w:tc>
          <w:tcPr>
            <w:tcW w:type="dxa" w:w="900"/>
          </w:tcPr>
          <w:p>
            <w:pPr>
              <w:pStyle w:val="Compact"/>
              <w:jc w:val="center"/>
            </w:pPr>
            <w:r>
              <w:rPr>
                <w:b w:val="0"/>
              </w:rPr>
              <w:t xml:space="preserve">65.28</w:t>
            </w:r>
          </w:p>
        </w:tc>
        <w:tc>
          <w:tcPr>
            <w:tcW w:type="dxa" w:w="900"/>
          </w:tcPr>
          <w:p>
            <w:pPr>
              <w:pStyle w:val="Compact"/>
              <w:jc w:val="center"/>
            </w:pPr>
            <w:r>
              <w:rPr>
                <w:b w:val="0"/>
              </w:rPr>
              <w:t xml:space="preserve">54.50</w:t>
            </w:r>
          </w:p>
        </w:tc>
        <w:tc>
          <w:tcPr>
            <w:tcW w:type="dxa" w:w="900"/>
          </w:tcPr>
          <w:p>
            <w:pPr>
              <w:pStyle w:val="Compact"/>
              <w:jc w:val="left"/>
            </w:pPr>
            <w:r>
              <w:rPr>
                <w:b w:val="0"/>
              </w:rPr>
              <w:t xml:space="preserve">80.26</w:t>
            </w:r>
          </w:p>
        </w:tc>
        <w:tc>
          <w:tcPr>
            <w:tcW w:type="dxa" w:w="900"/>
          </w:tcPr>
          <w:p>
            <w:pPr>
              <w:pStyle w:val="Compact"/>
              <w:jc w:val="left"/>
            </w:pPr>
            <w:r>
              <w:rPr>
                <w:b w:val="0"/>
              </w:rPr>
              <w:t xml:space="preserve">70.23</w:t>
            </w:r>
          </w:p>
        </w:tc>
        <w:tc>
          <w:tcPr>
            <w:tcW w:type="dxa" w:w="900"/>
          </w:tcPr>
          <w:p>
            <w:pPr>
              <w:pStyle w:val="Compact"/>
              <w:jc w:val="left"/>
            </w:pPr>
            <w:r>
              <w:rPr>
                <w:b w:val="0"/>
              </w:rPr>
              <w:t xml:space="preserve">+15.72</w:t>
            </w:r>
          </w:p>
        </w:tc>
      </w:tr>
      <w:tr>
        <w:tc>
          <w:tcPr>
            <w:tcW w:type="dxa" w:w="944"/>
          </w:tcPr>
          <w:p>
            <w:pPr>
              <w:pStyle w:val="Compact"/>
              <w:jc w:val="left"/>
            </w:pPr>
            <w:r>
              <w:rPr>
                <w:b w:val="0"/>
              </w:rPr>
              <w:t>gemma4:latest_rag_enhanced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50.61</w:t>
            </w:r>
          </w:p>
        </w:tc>
        <w:tc>
          <w:tcPr>
            <w:tcW w:type="dxa" w:w="900"/>
          </w:tcPr>
          <w:p>
            <w:pPr>
              <w:pStyle w:val="Compact"/>
              <w:jc w:val="center"/>
            </w:pPr>
            <w:r>
              <w:rPr>
                <w:b w:val="0"/>
              </w:rPr>
              <w:t xml:space="preserve">58.82</w:t>
            </w:r>
          </w:p>
        </w:tc>
        <w:tc>
          <w:tcPr>
            <w:tcW w:type="dxa" w:w="900"/>
          </w:tcPr>
          <w:p>
            <w:pPr>
              <w:pStyle w:val="Compact"/>
              <w:jc w:val="center"/>
            </w:pPr>
            <w:r>
              <w:rPr>
                <w:b w:val="0"/>
              </w:rPr>
              <w:t xml:space="preserve">52.57</w:t>
            </w:r>
          </w:p>
        </w:tc>
        <w:tc>
          <w:tcPr>
            <w:tcW w:type="dxa" w:w="900"/>
          </w:tcPr>
          <w:p>
            <w:pPr>
              <w:pStyle w:val="Compact"/>
              <w:jc w:val="left"/>
            </w:pPr>
            <w:r>
              <w:rPr>
                <w:b w:val="0"/>
              </w:rPr>
              <w:t xml:space="preserve">78.80</w:t>
            </w:r>
          </w:p>
        </w:tc>
        <w:tc>
          <w:tcPr>
            <w:tcW w:type="dxa" w:w="900"/>
          </w:tcPr>
          <w:p>
            <w:pPr>
              <w:pStyle w:val="Compact"/>
              <w:jc w:val="left"/>
            </w:pPr>
            <w:r>
              <w:rPr>
                <w:b w:val="0"/>
              </w:rPr>
              <w:t xml:space="preserve">67.22</w:t>
            </w:r>
          </w:p>
        </w:tc>
        <w:tc>
          <w:tcPr>
            <w:tcW w:type="dxa" w:w="900"/>
          </w:tcPr>
          <w:p>
            <w:pPr>
              <w:pStyle w:val="Compact"/>
              <w:jc w:val="left"/>
            </w:pPr>
            <w:r>
              <w:rPr>
                <w:b w:val="0"/>
              </w:rPr>
              <w:t xml:space="preserve">+14.65</w:t>
            </w:r>
          </w:p>
        </w:tc>
      </w:tr>
      <w:tr>
        <w:tc>
          <w:tcPr>
            <w:tcW w:type="dxa" w:w="944"/>
          </w:tcPr>
          <w:p>
            <w:pPr>
              <w:pStyle w:val="Compact"/>
              <w:jc w:val="left"/>
            </w:pPr>
            <w:r>
              <w:rPr>
                <w:b w:val="0"/>
              </w:rPr>
              <w:t>gpt-oss:20b_baseline</w:t>
            </w:r>
          </w:p>
        </w:tc>
        <w:tc>
          <w:tcPr>
            <w:tcW w:type="dxa" w:w="2494"/>
          </w:tcPr>
          <w:p>
            <w:pPr>
              <w:pStyle w:val="Compact"/>
              <w:jc w:val="left"/>
            </w:pPr>
            <w:r>
              <w:rPr>
                <w:b w:val="0"/>
              </w:rPr>
              <w:t>gptoss_rerun_REMOTO</w:t>
            </w:r>
          </w:p>
        </w:tc>
        <w:tc>
          <w:tcPr>
            <w:tcW w:type="dxa" w:w="900"/>
          </w:tcPr>
          <w:p>
            <w:pPr>
              <w:pStyle w:val="Compact"/>
              <w:jc w:val="left"/>
            </w:pPr>
            <w:r>
              <w:rPr>
                <w:b w:val="0"/>
              </w:rPr>
              <w:t xml:space="preserve">46.49</w:t>
            </w:r>
          </w:p>
        </w:tc>
        <w:tc>
          <w:tcPr>
            <w:tcW w:type="dxa" w:w="900"/>
          </w:tcPr>
          <w:p>
            <w:pPr>
              <w:pStyle w:val="Compact"/>
              <w:jc w:val="center"/>
            </w:pPr>
            <w:r>
              <w:rPr>
                <w:b w:val="0"/>
              </w:rPr>
              <w:t xml:space="preserve">64.40</w:t>
            </w:r>
          </w:p>
        </w:tc>
        <w:tc>
          <w:tcPr>
            <w:tcW w:type="dxa" w:w="900"/>
          </w:tcPr>
          <w:p>
            <w:pPr>
              <w:pStyle w:val="Compact"/>
              <w:jc w:val="center"/>
            </w:pPr>
            <w:r>
              <w:rPr>
                <w:b w:val="0"/>
              </w:rPr>
              <w:t xml:space="preserve">52.39</w:t>
            </w:r>
          </w:p>
        </w:tc>
        <w:tc>
          <w:tcPr>
            <w:tcW w:type="dxa" w:w="900"/>
          </w:tcPr>
          <w:p>
            <w:pPr>
              <w:pStyle w:val="Compact"/>
              <w:jc w:val="left"/>
            </w:pPr>
            <w:r>
              <w:rPr>
                <w:b w:val="0"/>
              </w:rPr>
              <w:t xml:space="preserve">73.69</w:t>
            </w:r>
          </w:p>
        </w:tc>
        <w:tc>
          <w:tcPr>
            <w:tcW w:type="dxa" w:w="900"/>
          </w:tcPr>
          <w:p>
            <w:pPr>
              <w:pStyle w:val="Compact"/>
              <w:jc w:val="left"/>
            </w:pPr>
            <w:r>
              <w:rPr>
                <w:b w:val="0"/>
              </w:rPr>
              <w:t xml:space="preserve">68.89</w:t>
            </w:r>
          </w:p>
        </w:tc>
        <w:tc>
          <w:tcPr>
            <w:tcW w:type="dxa" w:w="900"/>
          </w:tcPr>
          <w:p>
            <w:pPr>
              <w:pStyle w:val="Compact"/>
              <w:jc w:val="left"/>
            </w:pPr>
            <w:r>
              <w:rPr>
                <w:b w:val="0"/>
              </w:rPr>
              <w:t xml:space="preserve">+16.50</w:t>
            </w:r>
          </w:p>
        </w:tc>
      </w:tr>
      <w:tr>
        <w:tc>
          <w:tcPr>
            <w:tcW w:type="dxa" w:w="944"/>
          </w:tcPr>
          <w:p>
            <w:pPr>
              <w:pStyle w:val="Compact"/>
              <w:jc w:val="left"/>
            </w:pPr>
            <w:r>
              <w:rPr>
                <w:b w:val="0"/>
              </w:rPr>
              <w:t>qwen2.5:14b_kb_rag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55.48</w:t>
            </w:r>
          </w:p>
        </w:tc>
        <w:tc>
          <w:tcPr>
            <w:tcW w:type="dxa" w:w="900"/>
          </w:tcPr>
          <w:p>
            <w:pPr>
              <w:pStyle w:val="Compact"/>
              <w:jc w:val="center"/>
            </w:pPr>
            <w:r>
              <w:rPr>
                <w:b w:val="0"/>
              </w:rPr>
              <w:t xml:space="preserve">58.74</w:t>
            </w:r>
          </w:p>
        </w:tc>
        <w:tc>
          <w:tcPr>
            <w:tcW w:type="dxa" w:w="900"/>
          </w:tcPr>
          <w:p>
            <w:pPr>
              <w:pStyle w:val="Compact"/>
              <w:jc w:val="center"/>
            </w:pPr>
            <w:r>
              <w:rPr>
                <w:b w:val="0"/>
              </w:rPr>
              <w:t xml:space="preserve">54.84</w:t>
            </w:r>
          </w:p>
        </w:tc>
        <w:tc>
          <w:tcPr>
            <w:tcW w:type="dxa" w:w="900"/>
          </w:tcPr>
          <w:p>
            <w:pPr>
              <w:pStyle w:val="Compact"/>
              <w:jc w:val="left"/>
            </w:pPr>
            <w:r>
              <w:rPr>
                <w:b w:val="0"/>
              </w:rPr>
              <w:t xml:space="preserve">82.69</w:t>
            </w:r>
          </w:p>
        </w:tc>
        <w:tc>
          <w:tcPr>
            <w:tcW w:type="dxa" w:w="900"/>
          </w:tcPr>
          <w:p>
            <w:pPr>
              <w:pStyle w:val="Compact"/>
              <w:jc w:val="left"/>
            </w:pPr>
            <w:r>
              <w:rPr>
                <w:b w:val="0"/>
              </w:rPr>
              <w:t xml:space="preserve">68.11</w:t>
            </w:r>
          </w:p>
        </w:tc>
        <w:tc>
          <w:tcPr>
            <w:tcW w:type="dxa" w:w="900"/>
          </w:tcPr>
          <w:p>
            <w:pPr>
              <w:pStyle w:val="Compact"/>
              <w:jc w:val="left"/>
            </w:pPr>
            <w:r>
              <w:rPr>
                <w:b w:val="0"/>
              </w:rPr>
              <w:t xml:space="preserve">+13.27</w:t>
            </w:r>
          </w:p>
        </w:tc>
      </w:tr>
      <w:tr>
        <w:tc>
          <w:tcPr>
            <w:tcW w:type="dxa" w:w="944"/>
          </w:tcPr>
          <w:p>
            <w:pPr>
              <w:pStyle w:val="Compact"/>
              <w:jc w:val="left"/>
            </w:pPr>
            <w:r>
              <w:rPr>
                <w:b w:val="0"/>
              </w:rPr>
              <w:t>qwen2.5:14b_baseline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50.29</w:t>
            </w:r>
          </w:p>
        </w:tc>
        <w:tc>
          <w:tcPr>
            <w:tcW w:type="dxa" w:w="900"/>
          </w:tcPr>
          <w:p>
            <w:pPr>
              <w:pStyle w:val="Compact"/>
              <w:jc w:val="center"/>
            </w:pPr>
            <w:r>
              <w:rPr>
                <w:b w:val="0"/>
              </w:rPr>
              <w:t xml:space="preserve">54.02</w:t>
            </w:r>
          </w:p>
        </w:tc>
        <w:tc>
          <w:tcPr>
            <w:tcW w:type="dxa" w:w="900"/>
          </w:tcPr>
          <w:p>
            <w:pPr>
              <w:pStyle w:val="Compact"/>
              <w:jc w:val="center"/>
            </w:pPr>
            <w:r>
              <w:rPr>
                <w:b w:val="0"/>
              </w:rPr>
              <w:t xml:space="preserve">50.22</w:t>
            </w:r>
          </w:p>
        </w:tc>
        <w:tc>
          <w:tcPr>
            <w:tcW w:type="dxa" w:w="900"/>
          </w:tcPr>
          <w:p>
            <w:pPr>
              <w:pStyle w:val="Compact"/>
              <w:jc w:val="left"/>
            </w:pPr>
            <w:r>
              <w:rPr>
                <w:b w:val="0"/>
              </w:rPr>
              <w:t xml:space="preserve">83.40</w:t>
            </w:r>
          </w:p>
        </w:tc>
        <w:tc>
          <w:tcPr>
            <w:tcW w:type="dxa" w:w="900"/>
          </w:tcPr>
          <w:p>
            <w:pPr>
              <w:pStyle w:val="Compact"/>
              <w:jc w:val="left"/>
            </w:pPr>
            <w:r>
              <w:rPr>
                <w:b w:val="0"/>
              </w:rPr>
              <w:t xml:space="preserve">66.11</w:t>
            </w:r>
          </w:p>
        </w:tc>
        <w:tc>
          <w:tcPr>
            <w:tcW w:type="dxa" w:w="900"/>
          </w:tcPr>
          <w:p>
            <w:pPr>
              <w:pStyle w:val="Compact"/>
              <w:jc w:val="left"/>
            </w:pPr>
            <w:r>
              <w:rPr>
                <w:b w:val="0"/>
              </w:rPr>
              <w:t xml:space="preserve">+15.89</w:t>
            </w:r>
          </w:p>
        </w:tc>
      </w:tr>
      <w:tr>
        <w:tc>
          <w:tcPr>
            <w:tcW w:type="dxa" w:w="944"/>
          </w:tcPr>
          <w:p>
            <w:pPr>
              <w:pStyle w:val="Compact"/>
              <w:jc w:val="left"/>
            </w:pPr>
            <w:r>
              <w:rPr>
                <w:b w:val="0"/>
              </w:rPr>
              <w:t>llama3.1:8b_baseline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47.37</w:t>
            </w:r>
          </w:p>
        </w:tc>
        <w:tc>
          <w:tcPr>
            <w:tcW w:type="dxa" w:w="900"/>
          </w:tcPr>
          <w:p>
            <w:pPr>
              <w:pStyle w:val="Compact"/>
              <w:jc w:val="center"/>
            </w:pPr>
            <w:r>
              <w:rPr>
                <w:b w:val="0"/>
              </w:rPr>
              <w:t xml:space="preserve">54.91</w:t>
            </w:r>
          </w:p>
        </w:tc>
        <w:tc>
          <w:tcPr>
            <w:tcW w:type="dxa" w:w="900"/>
          </w:tcPr>
          <w:p>
            <w:pPr>
              <w:pStyle w:val="Compact"/>
              <w:jc w:val="center"/>
            </w:pPr>
            <w:r>
              <w:rPr>
                <w:b w:val="0"/>
              </w:rPr>
              <w:t xml:space="preserve">48.76</w:t>
            </w:r>
          </w:p>
        </w:tc>
        <w:tc>
          <w:tcPr>
            <w:tcW w:type="dxa" w:w="900"/>
          </w:tcPr>
          <w:p>
            <w:pPr>
              <w:pStyle w:val="Compact"/>
              <w:jc w:val="left"/>
            </w:pPr>
            <w:r>
              <w:rPr>
                <w:b w:val="0"/>
              </w:rPr>
              <w:t xml:space="preserve">80.52</w:t>
            </w:r>
          </w:p>
        </w:tc>
        <w:tc>
          <w:tcPr>
            <w:tcW w:type="dxa" w:w="900"/>
          </w:tcPr>
          <w:p>
            <w:pPr>
              <w:pStyle w:val="Compact"/>
              <w:jc w:val="left"/>
            </w:pPr>
            <w:r>
              <w:rPr>
                <w:b w:val="0"/>
              </w:rPr>
              <w:t xml:space="preserve">64.53</w:t>
            </w:r>
          </w:p>
        </w:tc>
        <w:tc>
          <w:tcPr>
            <w:tcW w:type="dxa" w:w="900"/>
          </w:tcPr>
          <w:p>
            <w:pPr>
              <w:pStyle w:val="Compact"/>
              <w:jc w:val="left"/>
            </w:pPr>
            <w:r>
              <w:rPr>
                <w:b w:val="0"/>
              </w:rPr>
              <w:t xml:space="preserve">+15.77</w:t>
            </w:r>
          </w:p>
        </w:tc>
      </w:tr>
      <w:tr>
        <w:tc>
          <w:tcPr>
            <w:tcW w:type="dxa" w:w="944"/>
          </w:tcPr>
          <w:p>
            <w:pPr>
              <w:pStyle w:val="Compact"/>
              <w:jc w:val="left"/>
            </w:pPr>
            <w:r>
              <w:rPr>
                <w:b w:val="0"/>
              </w:rPr>
              <w:t>llama3.1:8b_kb_rag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50.85</w:t>
            </w:r>
          </w:p>
        </w:tc>
        <w:tc>
          <w:tcPr>
            <w:tcW w:type="dxa" w:w="900"/>
          </w:tcPr>
          <w:p>
            <w:pPr>
              <w:pStyle w:val="Compact"/>
              <w:jc w:val="center"/>
            </w:pPr>
            <w:r>
              <w:rPr>
                <w:b w:val="0"/>
              </w:rPr>
              <w:t xml:space="preserve">55.23</w:t>
            </w:r>
          </w:p>
        </w:tc>
        <w:tc>
          <w:tcPr>
            <w:tcW w:type="dxa" w:w="900"/>
          </w:tcPr>
          <w:p>
            <w:pPr>
              <w:pStyle w:val="Compact"/>
              <w:jc w:val="center"/>
            </w:pPr>
            <w:r>
              <w:rPr>
                <w:b w:val="0"/>
              </w:rPr>
              <w:t xml:space="preserve">50.75</w:t>
            </w:r>
          </w:p>
        </w:tc>
        <w:tc>
          <w:tcPr>
            <w:tcW w:type="dxa" w:w="900"/>
          </w:tcPr>
          <w:p>
            <w:pPr>
              <w:pStyle w:val="Compact"/>
              <w:jc w:val="left"/>
            </w:pPr>
            <w:r>
              <w:rPr>
                <w:b w:val="0"/>
              </w:rPr>
              <w:t xml:space="preserve">76.28</w:t>
            </w:r>
          </w:p>
        </w:tc>
        <w:tc>
          <w:tcPr>
            <w:tcW w:type="dxa" w:w="900"/>
          </w:tcPr>
          <w:p>
            <w:pPr>
              <w:pStyle w:val="Compact"/>
              <w:jc w:val="left"/>
            </w:pPr>
            <w:r>
              <w:rPr>
                <w:b w:val="0"/>
              </w:rPr>
              <w:t xml:space="preserve">63.62</w:t>
            </w:r>
          </w:p>
        </w:tc>
        <w:tc>
          <w:tcPr>
            <w:tcW w:type="dxa" w:w="900"/>
          </w:tcPr>
          <w:p>
            <w:pPr>
              <w:pStyle w:val="Compact"/>
              <w:jc w:val="left"/>
            </w:pPr>
            <w:r>
              <w:rPr>
                <w:b w:val="0"/>
              </w:rPr>
              <w:t xml:space="preserve">+12.87</w:t>
            </w:r>
          </w:p>
        </w:tc>
      </w:tr>
      <w:tr>
        <w:tc>
          <w:tcPr>
            <w:tcW w:type="dxa" w:w="944"/>
          </w:tcPr>
          <w:p>
            <w:pPr>
              <w:pStyle w:val="Compact"/>
              <w:jc w:val="left"/>
            </w:pPr>
            <w:r>
              <w:rPr>
                <w:b w:val="0"/>
              </w:rPr>
              <w:t>qwen3:8b_kb_rag</w:t>
            </w:r>
          </w:p>
        </w:tc>
        <w:tc>
          <w:tcPr>
            <w:tcW w:type="dxa" w:w="2494"/>
          </w:tcPr>
          <w:p>
            <w:pPr>
              <w:pStyle w:val="Compact"/>
              <w:jc w:val="left"/>
            </w:pPr>
            <w:r>
              <w:rPr>
                <w:b w:val="0"/>
              </w:rPr>
              <w:t>qwen3_nothink_n120_REMOTO</w:t>
            </w:r>
          </w:p>
        </w:tc>
        <w:tc>
          <w:tcPr>
            <w:tcW w:type="dxa" w:w="900"/>
          </w:tcPr>
          <w:p>
            <w:pPr>
              <w:pStyle w:val="Compact"/>
              <w:jc w:val="left"/>
            </w:pPr>
            <w:r>
              <w:rPr>
                <w:b w:val="0"/>
              </w:rPr>
              <w:t xml:space="preserve">48.51</w:t>
            </w:r>
          </w:p>
        </w:tc>
        <w:tc>
          <w:tcPr>
            <w:tcW w:type="dxa" w:w="900"/>
          </w:tcPr>
          <w:p>
            <w:pPr>
              <w:pStyle w:val="Compact"/>
              <w:jc w:val="center"/>
            </w:pPr>
            <w:r>
              <w:rPr>
                <w:b w:val="0"/>
              </w:rPr>
              <w:t xml:space="preserve">59.68</w:t>
            </w:r>
          </w:p>
        </w:tc>
        <w:tc>
          <w:tcPr>
            <w:tcW w:type="dxa" w:w="900"/>
          </w:tcPr>
          <w:p>
            <w:pPr>
              <w:pStyle w:val="Compact"/>
              <w:jc w:val="center"/>
            </w:pPr>
            <w:r>
              <w:rPr>
                <w:b w:val="0"/>
              </w:rPr>
              <w:t xml:space="preserve">51.46</w:t>
            </w:r>
          </w:p>
        </w:tc>
        <w:tc>
          <w:tcPr>
            <w:tcW w:type="dxa" w:w="900"/>
          </w:tcPr>
          <w:p>
            <w:pPr>
              <w:pStyle w:val="Compact"/>
              <w:jc w:val="left"/>
            </w:pPr>
            <w:r>
              <w:rPr>
                <w:b w:val="0"/>
              </w:rPr>
              <w:t xml:space="preserve">72.59</w:t>
            </w:r>
          </w:p>
        </w:tc>
        <w:tc>
          <w:tcPr>
            <w:tcW w:type="dxa" w:w="900"/>
          </w:tcPr>
          <w:p>
            <w:pPr>
              <w:pStyle w:val="Compact"/>
              <w:jc w:val="left"/>
            </w:pPr>
            <w:r>
              <w:rPr>
                <w:b w:val="0"/>
              </w:rPr>
              <w:t xml:space="preserve">64.87</w:t>
            </w:r>
          </w:p>
        </w:tc>
        <w:tc>
          <w:tcPr>
            <w:tcW w:type="dxa" w:w="900"/>
          </w:tcPr>
          <w:p>
            <w:pPr>
              <w:pStyle w:val="Compact"/>
              <w:jc w:val="left"/>
            </w:pPr>
            <w:r>
              <w:rPr>
                <w:b w:val="0"/>
              </w:rPr>
              <w:t xml:space="preserve">+13.41</w:t>
            </w:r>
          </w:p>
        </w:tc>
      </w:tr>
      <w:tr>
        <w:tc>
          <w:tcPr>
            <w:tcW w:type="dxa" w:w="944"/>
          </w:tcPr>
          <w:p>
            <w:pPr>
              <w:pStyle w:val="Compact"/>
              <w:jc w:val="left"/>
            </w:pPr>
            <w:r>
              <w:rPr>
                <w:b w:val="0"/>
              </w:rPr>
              <w:t>qwen3:8b_baseline</w:t>
            </w:r>
          </w:p>
        </w:tc>
        <w:tc>
          <w:tcPr>
            <w:tcW w:type="dxa" w:w="2494"/>
          </w:tcPr>
          <w:p>
            <w:pPr>
              <w:pStyle w:val="Compact"/>
              <w:jc w:val="left"/>
            </w:pPr>
            <w:r>
              <w:rPr>
                <w:b w:val="0"/>
              </w:rPr>
              <w:t>qwen3_nothink_n120_REMOTO</w:t>
            </w:r>
          </w:p>
        </w:tc>
        <w:tc>
          <w:tcPr>
            <w:tcW w:type="dxa" w:w="900"/>
          </w:tcPr>
          <w:p>
            <w:pPr>
              <w:pStyle w:val="Compact"/>
              <w:jc w:val="left"/>
            </w:pPr>
            <w:r>
              <w:rPr>
                <w:b w:val="0"/>
              </w:rPr>
              <w:t xml:space="preserve">46.25</w:t>
            </w:r>
          </w:p>
        </w:tc>
        <w:tc>
          <w:tcPr>
            <w:tcW w:type="dxa" w:w="900"/>
          </w:tcPr>
          <w:p>
            <w:pPr>
              <w:pStyle w:val="Compact"/>
              <w:jc w:val="center"/>
            </w:pPr>
            <w:r>
              <w:rPr>
                <w:b w:val="0"/>
              </w:rPr>
              <w:t xml:space="preserve">55.02</w:t>
            </w:r>
          </w:p>
        </w:tc>
        <w:tc>
          <w:tcPr>
            <w:tcW w:type="dxa" w:w="900"/>
          </w:tcPr>
          <w:p>
            <w:pPr>
              <w:pStyle w:val="Compact"/>
              <w:jc w:val="center"/>
            </w:pPr>
            <w:r>
              <w:rPr>
                <w:b w:val="0"/>
              </w:rPr>
              <w:t xml:space="preserve">48.21</w:t>
            </w:r>
          </w:p>
        </w:tc>
        <w:tc>
          <w:tcPr>
            <w:tcW w:type="dxa" w:w="900"/>
          </w:tcPr>
          <w:p>
            <w:pPr>
              <w:pStyle w:val="Compact"/>
              <w:jc w:val="left"/>
            </w:pPr>
            <w:r>
              <w:rPr>
                <w:b w:val="0"/>
              </w:rPr>
              <w:t xml:space="preserve">75.27</w:t>
            </w:r>
          </w:p>
        </w:tc>
        <w:tc>
          <w:tcPr>
            <w:tcW w:type="dxa" w:w="900"/>
          </w:tcPr>
          <w:p>
            <w:pPr>
              <w:pStyle w:val="Compact"/>
              <w:jc w:val="left"/>
            </w:pPr>
            <w:r>
              <w:rPr>
                <w:b w:val="0"/>
              </w:rPr>
              <w:t xml:space="preserve">63.05</w:t>
            </w:r>
          </w:p>
        </w:tc>
        <w:tc>
          <w:tcPr>
            <w:tcW w:type="dxa" w:w="900"/>
          </w:tcPr>
          <w:p>
            <w:pPr>
              <w:pStyle w:val="Compact"/>
              <w:jc w:val="left"/>
            </w:pPr>
            <w:r>
              <w:rPr>
                <w:b w:val="0"/>
              </w:rPr>
              <w:t xml:space="preserve">+14.84</w:t>
            </w:r>
          </w:p>
        </w:tc>
      </w:tr>
      <w:tr>
        <w:tc>
          <w:tcPr>
            <w:tcW w:type="dxa" w:w="944"/>
          </w:tcPr>
          <w:p>
            <w:pPr>
              <w:pStyle w:val="Compact"/>
              <w:jc w:val="left"/>
            </w:pPr>
            <w:r>
              <w:rPr>
                <w:b w:val="0"/>
              </w:rPr>
              <w:t>qwen2.5:14b_rag_enhanced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50.99</w:t>
            </w:r>
          </w:p>
        </w:tc>
        <w:tc>
          <w:tcPr>
            <w:tcW w:type="dxa" w:w="900"/>
          </w:tcPr>
          <w:p>
            <w:pPr>
              <w:pStyle w:val="Compact"/>
              <w:jc w:val="center"/>
            </w:pPr>
            <w:r>
              <w:rPr>
                <w:b w:val="0"/>
              </w:rPr>
              <w:t xml:space="preserve">51.31</w:t>
            </w:r>
          </w:p>
        </w:tc>
        <w:tc>
          <w:tcPr>
            <w:tcW w:type="dxa" w:w="900"/>
          </w:tcPr>
          <w:p>
            <w:pPr>
              <w:pStyle w:val="Compact"/>
              <w:jc w:val="center"/>
            </w:pPr>
            <w:r>
              <w:rPr>
                <w:b w:val="0"/>
              </w:rPr>
              <w:t xml:space="preserve">49.05</w:t>
            </w:r>
          </w:p>
        </w:tc>
        <w:tc>
          <w:tcPr>
            <w:tcW w:type="dxa" w:w="900"/>
          </w:tcPr>
          <w:p>
            <w:pPr>
              <w:pStyle w:val="Compact"/>
              <w:jc w:val="left"/>
            </w:pPr>
            <w:r>
              <w:rPr>
                <w:b w:val="0"/>
              </w:rPr>
              <w:t xml:space="preserve">85.30</w:t>
            </w:r>
          </w:p>
        </w:tc>
        <w:tc>
          <w:tcPr>
            <w:tcW w:type="dxa" w:w="900"/>
          </w:tcPr>
          <w:p>
            <w:pPr>
              <w:pStyle w:val="Compact"/>
              <w:jc w:val="left"/>
            </w:pPr>
            <w:r>
              <w:rPr>
                <w:b w:val="0"/>
              </w:rPr>
              <w:t xml:space="preserve">63.64</w:t>
            </w:r>
          </w:p>
        </w:tc>
        <w:tc>
          <w:tcPr>
            <w:tcW w:type="dxa" w:w="900"/>
          </w:tcPr>
          <w:p>
            <w:pPr>
              <w:pStyle w:val="Compact"/>
              <w:jc w:val="left"/>
            </w:pPr>
            <w:r>
              <w:rPr>
                <w:b w:val="0"/>
              </w:rPr>
              <w:t xml:space="preserve">+14.59</w:t>
            </w:r>
          </w:p>
        </w:tc>
      </w:tr>
      <w:tr>
        <w:tc>
          <w:tcPr>
            <w:tcW w:type="dxa" w:w="944"/>
          </w:tcPr>
          <w:p>
            <w:pPr>
              <w:pStyle w:val="Compact"/>
              <w:jc w:val="left"/>
            </w:pPr>
            <w:r>
              <w:rPr>
                <w:b w:val="0"/>
              </w:rPr>
              <w:t>llama3.2:latest_kb_rag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48.92</w:t>
            </w:r>
          </w:p>
        </w:tc>
        <w:tc>
          <w:tcPr>
            <w:tcW w:type="dxa" w:w="900"/>
          </w:tcPr>
          <w:p>
            <w:pPr>
              <w:pStyle w:val="Compact"/>
              <w:jc w:val="center"/>
            </w:pPr>
            <w:r>
              <w:rPr>
                <w:b w:val="0"/>
              </w:rPr>
              <w:t xml:space="preserve">51.81</w:t>
            </w:r>
          </w:p>
        </w:tc>
        <w:tc>
          <w:tcPr>
            <w:tcW w:type="dxa" w:w="900"/>
          </w:tcPr>
          <w:p>
            <w:pPr>
              <w:pStyle w:val="Compact"/>
              <w:jc w:val="center"/>
            </w:pPr>
            <w:r>
              <w:rPr>
                <w:b w:val="0"/>
              </w:rPr>
              <w:t xml:space="preserve">46.93</w:t>
            </w:r>
          </w:p>
        </w:tc>
        <w:tc>
          <w:tcPr>
            <w:tcW w:type="dxa" w:w="900"/>
          </w:tcPr>
          <w:p>
            <w:pPr>
              <w:pStyle w:val="Compact"/>
              <w:jc w:val="left"/>
            </w:pPr>
            <w:r>
              <w:rPr>
                <w:b w:val="0"/>
              </w:rPr>
              <w:t xml:space="preserve">75.45</w:t>
            </w:r>
          </w:p>
        </w:tc>
        <w:tc>
          <w:tcPr>
            <w:tcW w:type="dxa" w:w="900"/>
          </w:tcPr>
          <w:p>
            <w:pPr>
              <w:pStyle w:val="Compact"/>
              <w:jc w:val="left"/>
            </w:pPr>
            <w:r>
              <w:rPr>
                <w:b w:val="0"/>
              </w:rPr>
              <w:t xml:space="preserve">59.86</w:t>
            </w:r>
          </w:p>
        </w:tc>
        <w:tc>
          <w:tcPr>
            <w:tcW w:type="dxa" w:w="900"/>
          </w:tcPr>
          <w:p>
            <w:pPr>
              <w:pStyle w:val="Compact"/>
              <w:jc w:val="left"/>
            </w:pPr>
            <w:r>
              <w:rPr>
                <w:b w:val="0"/>
              </w:rPr>
              <w:t xml:space="preserve">+12.92</w:t>
            </w:r>
          </w:p>
        </w:tc>
      </w:tr>
      <w:tr>
        <w:tc>
          <w:tcPr>
            <w:tcW w:type="dxa" w:w="944"/>
          </w:tcPr>
          <w:p>
            <w:pPr>
              <w:pStyle w:val="Compact"/>
              <w:jc w:val="left"/>
            </w:pPr>
            <w:r>
              <w:rPr>
                <w:b w:val="0"/>
              </w:rPr>
              <w:t>llama3.1:8b_rag_enhanced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47.02</w:t>
            </w:r>
          </w:p>
        </w:tc>
        <w:tc>
          <w:tcPr>
            <w:tcW w:type="dxa" w:w="900"/>
          </w:tcPr>
          <w:p>
            <w:pPr>
              <w:pStyle w:val="Compact"/>
              <w:jc w:val="center"/>
            </w:pPr>
            <w:r>
              <w:rPr>
                <w:b w:val="0"/>
              </w:rPr>
              <w:t xml:space="preserve">46.98</w:t>
            </w:r>
          </w:p>
        </w:tc>
        <w:tc>
          <w:tcPr>
            <w:tcW w:type="dxa" w:w="900"/>
          </w:tcPr>
          <w:p>
            <w:pPr>
              <w:pStyle w:val="Compact"/>
              <w:jc w:val="center"/>
            </w:pPr>
            <w:r>
              <w:rPr>
                <w:b w:val="0"/>
              </w:rPr>
              <w:t xml:space="preserve">44.56</w:t>
            </w:r>
          </w:p>
        </w:tc>
        <w:tc>
          <w:tcPr>
            <w:tcW w:type="dxa" w:w="900"/>
          </w:tcPr>
          <w:p>
            <w:pPr>
              <w:pStyle w:val="Compact"/>
              <w:jc w:val="left"/>
            </w:pPr>
            <w:r>
              <w:rPr>
                <w:b w:val="0"/>
              </w:rPr>
              <w:t xml:space="preserve">87.02</w:t>
            </w:r>
          </w:p>
        </w:tc>
        <w:tc>
          <w:tcPr>
            <w:tcW w:type="dxa" w:w="900"/>
          </w:tcPr>
          <w:p>
            <w:pPr>
              <w:pStyle w:val="Compact"/>
              <w:jc w:val="left"/>
            </w:pPr>
            <w:r>
              <w:rPr>
                <w:b w:val="0"/>
              </w:rPr>
              <w:t xml:space="preserve">59.25</w:t>
            </w:r>
          </w:p>
        </w:tc>
        <w:tc>
          <w:tcPr>
            <w:tcW w:type="dxa" w:w="900"/>
          </w:tcPr>
          <w:p>
            <w:pPr>
              <w:pStyle w:val="Compact"/>
              <w:jc w:val="left"/>
            </w:pPr>
            <w:r>
              <w:rPr>
                <w:b w:val="0"/>
              </w:rPr>
              <w:t xml:space="preserve">+14.69</w:t>
            </w:r>
          </w:p>
        </w:tc>
      </w:tr>
      <w:tr>
        <w:tc>
          <w:tcPr>
            <w:tcW w:type="dxa" w:w="944"/>
          </w:tcPr>
          <w:p>
            <w:pPr>
              <w:pStyle w:val="Compact"/>
              <w:jc w:val="left"/>
            </w:pPr>
            <w:r>
              <w:rPr>
                <w:b w:val="0"/>
              </w:rPr>
              <w:t>gemma:latest_kb_rag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52.31</w:t>
            </w:r>
          </w:p>
        </w:tc>
        <w:tc>
          <w:tcPr>
            <w:tcW w:type="dxa" w:w="900"/>
          </w:tcPr>
          <w:p>
            <w:pPr>
              <w:pStyle w:val="Compact"/>
              <w:jc w:val="center"/>
            </w:pPr>
            <w:r>
              <w:rPr>
                <w:b w:val="0"/>
              </w:rPr>
              <w:t xml:space="preserve">56.62</w:t>
            </w:r>
          </w:p>
        </w:tc>
        <w:tc>
          <w:tcPr>
            <w:tcW w:type="dxa" w:w="900"/>
          </w:tcPr>
          <w:p>
            <w:pPr>
              <w:pStyle w:val="Compact"/>
              <w:jc w:val="center"/>
            </w:pPr>
            <w:r>
              <w:rPr>
                <w:b w:val="0"/>
              </w:rPr>
              <w:t xml:space="preserve">51.36</w:t>
            </w:r>
          </w:p>
        </w:tc>
        <w:tc>
          <w:tcPr>
            <w:tcW w:type="dxa" w:w="900"/>
          </w:tcPr>
          <w:p>
            <w:pPr>
              <w:pStyle w:val="Compact"/>
              <w:jc w:val="left"/>
            </w:pPr>
            <w:r>
              <w:rPr>
                <w:b w:val="0"/>
              </w:rPr>
              <w:t xml:space="preserve">61.48</w:t>
            </w:r>
          </w:p>
        </w:tc>
        <w:tc>
          <w:tcPr>
            <w:tcW w:type="dxa" w:w="900"/>
          </w:tcPr>
          <w:p>
            <w:pPr>
              <w:pStyle w:val="Compact"/>
              <w:jc w:val="left"/>
            </w:pPr>
            <w:r>
              <w:rPr>
                <w:b w:val="0"/>
              </w:rPr>
              <w:t xml:space="preserve">56.37</w:t>
            </w:r>
          </w:p>
        </w:tc>
        <w:tc>
          <w:tcPr>
            <w:tcW w:type="dxa" w:w="900"/>
          </w:tcPr>
          <w:p>
            <w:pPr>
              <w:pStyle w:val="Compact"/>
              <w:jc w:val="left"/>
            </w:pPr>
            <w:r>
              <w:rPr>
                <w:b w:val="0"/>
              </w:rPr>
              <w:t xml:space="preserve">+5.01</w:t>
            </w:r>
          </w:p>
        </w:tc>
      </w:tr>
      <w:tr>
        <w:tc>
          <w:tcPr>
            <w:tcW w:type="dxa" w:w="944"/>
          </w:tcPr>
          <w:p>
            <w:pPr>
              <w:pStyle w:val="Compact"/>
              <w:jc w:val="left"/>
            </w:pPr>
            <w:r>
              <w:rPr>
                <w:b w:val="0"/>
              </w:rPr>
              <w:t>mistral-nemo:latest_baseline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52.39</w:t>
            </w:r>
          </w:p>
        </w:tc>
        <w:tc>
          <w:tcPr>
            <w:tcW w:type="dxa" w:w="900"/>
          </w:tcPr>
          <w:p>
            <w:pPr>
              <w:pStyle w:val="Compact"/>
              <w:jc w:val="center"/>
            </w:pPr>
            <w:r>
              <w:rPr>
                <w:b w:val="0"/>
              </w:rPr>
              <w:t xml:space="preserve">41.09</w:t>
            </w:r>
          </w:p>
        </w:tc>
        <w:tc>
          <w:tcPr>
            <w:tcW w:type="dxa" w:w="900"/>
          </w:tcPr>
          <w:p>
            <w:pPr>
              <w:pStyle w:val="Compact"/>
              <w:jc w:val="center"/>
            </w:pPr>
            <w:r>
              <w:rPr>
                <w:b w:val="0"/>
              </w:rPr>
              <w:t xml:space="preserve">43.38</w:t>
            </w:r>
          </w:p>
        </w:tc>
        <w:tc>
          <w:tcPr>
            <w:tcW w:type="dxa" w:w="900"/>
          </w:tcPr>
          <w:p>
            <w:pPr>
              <w:pStyle w:val="Compact"/>
              <w:jc w:val="left"/>
            </w:pPr>
            <w:r>
              <w:rPr>
                <w:b w:val="0"/>
              </w:rPr>
              <w:t xml:space="preserve">82.24</w:t>
            </w:r>
          </w:p>
        </w:tc>
        <w:tc>
          <w:tcPr>
            <w:tcW w:type="dxa" w:w="900"/>
          </w:tcPr>
          <w:p>
            <w:pPr>
              <w:pStyle w:val="Compact"/>
              <w:jc w:val="left"/>
            </w:pPr>
            <w:r>
              <w:rPr>
                <w:b w:val="0"/>
              </w:rPr>
              <w:t xml:space="preserve">54.09</w:t>
            </w:r>
          </w:p>
        </w:tc>
        <w:tc>
          <w:tcPr>
            <w:tcW w:type="dxa" w:w="900"/>
          </w:tcPr>
          <w:p>
            <w:pPr>
              <w:pStyle w:val="Compact"/>
              <w:jc w:val="left"/>
            </w:pPr>
            <w:r>
              <w:rPr>
                <w:b w:val="0"/>
              </w:rPr>
              <w:t xml:space="preserve">+10.70</w:t>
            </w:r>
          </w:p>
        </w:tc>
      </w:tr>
      <w:tr>
        <w:tc>
          <w:tcPr>
            <w:tcW w:type="dxa" w:w="944"/>
          </w:tcPr>
          <w:p>
            <w:pPr>
              <w:pStyle w:val="Compact"/>
              <w:jc w:val="left"/>
            </w:pPr>
            <w:r>
              <w:rPr>
                <w:b w:val="0"/>
              </w:rPr>
              <w:t>qwen3:8b_rag_enhanced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43.47</w:t>
            </w:r>
          </w:p>
        </w:tc>
        <w:tc>
          <w:tcPr>
            <w:tcW w:type="dxa" w:w="900"/>
          </w:tcPr>
          <w:p>
            <w:pPr>
              <w:pStyle w:val="Compact"/>
              <w:jc w:val="center"/>
            </w:pPr>
            <w:r>
              <w:rPr>
                <w:b w:val="0"/>
              </w:rPr>
              <w:t xml:space="preserve">45.28</w:t>
            </w:r>
          </w:p>
        </w:tc>
        <w:tc>
          <w:tcPr>
            <w:tcW w:type="dxa" w:w="900"/>
          </w:tcPr>
          <w:p>
            <w:pPr>
              <w:pStyle w:val="Compact"/>
              <w:jc w:val="center"/>
            </w:pPr>
            <w:r>
              <w:rPr>
                <w:b w:val="0"/>
              </w:rPr>
              <w:t xml:space="preserve">43.17</w:t>
            </w:r>
          </w:p>
        </w:tc>
        <w:tc>
          <w:tcPr>
            <w:tcW w:type="dxa" w:w="900"/>
          </w:tcPr>
          <w:p>
            <w:pPr>
              <w:pStyle w:val="Compact"/>
              <w:jc w:val="left"/>
            </w:pPr>
            <w:r>
              <w:rPr>
                <w:b w:val="0"/>
              </w:rPr>
              <w:t xml:space="preserve">71.66</w:t>
            </w:r>
          </w:p>
        </w:tc>
        <w:tc>
          <w:tcPr>
            <w:tcW w:type="dxa" w:w="900"/>
          </w:tcPr>
          <w:p>
            <w:pPr>
              <w:pStyle w:val="Compact"/>
              <w:jc w:val="left"/>
            </w:pPr>
            <w:r>
              <w:rPr>
                <w:b w:val="0"/>
              </w:rPr>
              <w:t xml:space="preserve">56.00</w:t>
            </w:r>
          </w:p>
        </w:tc>
        <w:tc>
          <w:tcPr>
            <w:tcW w:type="dxa" w:w="900"/>
          </w:tcPr>
          <w:p>
            <w:pPr>
              <w:pStyle w:val="Compact"/>
              <w:jc w:val="left"/>
            </w:pPr>
            <w:r>
              <w:rPr>
                <w:b w:val="0"/>
              </w:rPr>
              <w:t xml:space="preserve">+12.83</w:t>
            </w:r>
          </w:p>
        </w:tc>
      </w:tr>
      <w:tr>
        <w:tc>
          <w:tcPr>
            <w:tcW w:type="dxa" w:w="944"/>
          </w:tcPr>
          <w:p>
            <w:pPr>
              <w:pStyle w:val="Compact"/>
              <w:jc w:val="left"/>
            </w:pPr>
            <w:r>
              <w:rPr>
                <w:b w:val="0"/>
              </w:rPr>
              <w:t>mistral-nemo:latest_kb_rag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57.59</w:t>
            </w:r>
          </w:p>
        </w:tc>
        <w:tc>
          <w:tcPr>
            <w:tcW w:type="dxa" w:w="900"/>
          </w:tcPr>
          <w:p>
            <w:pPr>
              <w:pStyle w:val="Compact"/>
              <w:jc w:val="center"/>
            </w:pPr>
            <w:r>
              <w:rPr>
                <w:b w:val="0"/>
              </w:rPr>
              <w:t xml:space="preserve">41.91</w:t>
            </w:r>
          </w:p>
        </w:tc>
        <w:tc>
          <w:tcPr>
            <w:tcW w:type="dxa" w:w="900"/>
          </w:tcPr>
          <w:p>
            <w:pPr>
              <w:pStyle w:val="Compact"/>
              <w:jc w:val="center"/>
            </w:pPr>
            <w:r>
              <w:rPr>
                <w:b w:val="0"/>
              </w:rPr>
              <w:t xml:space="preserve">45.76</w:t>
            </w:r>
          </w:p>
        </w:tc>
        <w:tc>
          <w:tcPr>
            <w:tcW w:type="dxa" w:w="900"/>
          </w:tcPr>
          <w:p>
            <w:pPr>
              <w:pStyle w:val="Compact"/>
              <w:jc w:val="left"/>
            </w:pPr>
            <w:r>
              <w:rPr>
                <w:b w:val="0"/>
              </w:rPr>
              <w:t xml:space="preserve">80.15</w:t>
            </w:r>
          </w:p>
        </w:tc>
        <w:tc>
          <w:tcPr>
            <w:tcW w:type="dxa" w:w="900"/>
          </w:tcPr>
          <w:p>
            <w:pPr>
              <w:pStyle w:val="Compact"/>
              <w:jc w:val="left"/>
            </w:pPr>
            <w:r>
              <w:rPr>
                <w:b w:val="0"/>
              </w:rPr>
              <w:t xml:space="preserve">53.07</w:t>
            </w:r>
          </w:p>
        </w:tc>
        <w:tc>
          <w:tcPr>
            <w:tcW w:type="dxa" w:w="900"/>
          </w:tcPr>
          <w:p>
            <w:pPr>
              <w:pStyle w:val="Compact"/>
              <w:jc w:val="left"/>
            </w:pPr>
            <w:r>
              <w:rPr>
                <w:b w:val="0"/>
              </w:rPr>
              <w:t xml:space="preserve">+7.31</w:t>
            </w:r>
          </w:p>
        </w:tc>
      </w:tr>
      <w:tr>
        <w:tc>
          <w:tcPr>
            <w:tcW w:type="dxa" w:w="944"/>
          </w:tcPr>
          <w:p>
            <w:pPr>
              <w:pStyle w:val="Compact"/>
              <w:jc w:val="left"/>
            </w:pPr>
            <w:r>
              <w:rPr>
                <w:b w:val="0"/>
              </w:rPr>
              <w:t>gemma:latest_baseline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49.00</w:t>
            </w:r>
          </w:p>
        </w:tc>
        <w:tc>
          <w:tcPr>
            <w:tcW w:type="dxa" w:w="900"/>
          </w:tcPr>
          <w:p>
            <w:pPr>
              <w:pStyle w:val="Compact"/>
              <w:jc w:val="center"/>
            </w:pPr>
            <w:r>
              <w:rPr>
                <w:b w:val="0"/>
              </w:rPr>
              <w:t xml:space="preserve">44.97</w:t>
            </w:r>
          </w:p>
        </w:tc>
        <w:tc>
          <w:tcPr>
            <w:tcW w:type="dxa" w:w="900"/>
          </w:tcPr>
          <w:p>
            <w:pPr>
              <w:pStyle w:val="Compact"/>
              <w:jc w:val="center"/>
            </w:pPr>
            <w:r>
              <w:rPr>
                <w:b w:val="0"/>
              </w:rPr>
              <w:t xml:space="preserve">44.00</w:t>
            </w:r>
          </w:p>
        </w:tc>
        <w:tc>
          <w:tcPr>
            <w:tcW w:type="dxa" w:w="900"/>
          </w:tcPr>
          <w:p>
            <w:pPr>
              <w:pStyle w:val="Compact"/>
              <w:jc w:val="left"/>
            </w:pPr>
            <w:r>
              <w:rPr>
                <w:b w:val="0"/>
              </w:rPr>
              <w:t xml:space="preserve">65.23</w:t>
            </w:r>
          </w:p>
        </w:tc>
        <w:tc>
          <w:tcPr>
            <w:tcW w:type="dxa" w:w="900"/>
          </w:tcPr>
          <w:p>
            <w:pPr>
              <w:pStyle w:val="Compact"/>
              <w:jc w:val="left"/>
            </w:pPr>
            <w:r>
              <w:rPr>
                <w:b w:val="0"/>
              </w:rPr>
              <w:t xml:space="preserve">51.85</w:t>
            </w:r>
          </w:p>
        </w:tc>
        <w:tc>
          <w:tcPr>
            <w:tcW w:type="dxa" w:w="900"/>
          </w:tcPr>
          <w:p>
            <w:pPr>
              <w:pStyle w:val="Compact"/>
              <w:jc w:val="left"/>
            </w:pPr>
            <w:r>
              <w:rPr>
                <w:b w:val="0"/>
              </w:rPr>
              <w:t xml:space="preserve">+7.85</w:t>
            </w:r>
          </w:p>
        </w:tc>
      </w:tr>
      <w:tr>
        <w:tc>
          <w:tcPr>
            <w:tcW w:type="dxa" w:w="944"/>
          </w:tcPr>
          <w:p>
            <w:pPr>
              <w:pStyle w:val="Compact"/>
              <w:jc w:val="left"/>
            </w:pPr>
            <w:r>
              <w:rPr>
                <w:b w:val="0"/>
              </w:rPr>
              <w:t>llama3.2:latest_baseline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40.18</w:t>
            </w:r>
          </w:p>
        </w:tc>
        <w:tc>
          <w:tcPr>
            <w:tcW w:type="dxa" w:w="900"/>
          </w:tcPr>
          <w:p>
            <w:pPr>
              <w:pStyle w:val="Compact"/>
              <w:jc w:val="center"/>
            </w:pPr>
            <w:r>
              <w:rPr>
                <w:b w:val="0"/>
              </w:rPr>
              <w:t xml:space="preserve">37.48</w:t>
            </w:r>
          </w:p>
        </w:tc>
        <w:tc>
          <w:tcPr>
            <w:tcW w:type="dxa" w:w="900"/>
          </w:tcPr>
          <w:p>
            <w:pPr>
              <w:pStyle w:val="Compact"/>
              <w:jc w:val="center"/>
            </w:pPr>
            <w:r>
              <w:rPr>
                <w:b w:val="0"/>
              </w:rPr>
              <w:t xml:space="preserve">36.11</w:t>
            </w:r>
          </w:p>
        </w:tc>
        <w:tc>
          <w:tcPr>
            <w:tcW w:type="dxa" w:w="900"/>
          </w:tcPr>
          <w:p>
            <w:pPr>
              <w:pStyle w:val="Compact"/>
              <w:jc w:val="left"/>
            </w:pPr>
            <w:r>
              <w:rPr>
                <w:b w:val="0"/>
              </w:rPr>
              <w:t xml:space="preserve">79.63</w:t>
            </w:r>
          </w:p>
        </w:tc>
        <w:tc>
          <w:tcPr>
            <w:tcW w:type="dxa" w:w="900"/>
          </w:tcPr>
          <w:p>
            <w:pPr>
              <w:pStyle w:val="Compact"/>
              <w:jc w:val="left"/>
            </w:pPr>
            <w:r>
              <w:rPr>
                <w:b w:val="0"/>
              </w:rPr>
              <w:t xml:space="preserve">49.65</w:t>
            </w:r>
          </w:p>
        </w:tc>
        <w:tc>
          <w:tcPr>
            <w:tcW w:type="dxa" w:w="900"/>
          </w:tcPr>
          <w:p>
            <w:pPr>
              <w:pStyle w:val="Compact"/>
              <w:jc w:val="left"/>
            </w:pPr>
            <w:r>
              <w:rPr>
                <w:b w:val="0"/>
              </w:rPr>
              <w:t xml:space="preserve">+13.54</w:t>
            </w:r>
          </w:p>
        </w:tc>
      </w:tr>
      <w:tr>
        <w:tc>
          <w:tcPr>
            <w:tcW w:type="dxa" w:w="944"/>
          </w:tcPr>
          <w:p>
            <w:pPr>
              <w:pStyle w:val="Compact"/>
              <w:jc w:val="left"/>
            </w:pPr>
            <w:r>
              <w:rPr>
                <w:b w:val="0"/>
              </w:rPr>
              <w:t>llama3.2:latest</w:t>
            </w:r>
          </w:p>
        </w:tc>
        <w:tc>
          <w:tcPr>
            <w:tcW w:type="dxa" w:w="2494"/>
          </w:tcPr>
          <w:p>
            <w:pPr>
              <w:pStyle w:val="Compact"/>
              <w:jc w:val="left"/>
            </w:pPr>
            <w:r>
              <w:rPr>
                <w:b w:val="0"/>
              </w:rPr>
              <w:t>benchmark_balanced_120_20260824_173017</w:t>
            </w:r>
          </w:p>
        </w:tc>
        <w:tc>
          <w:tcPr>
            <w:tcW w:type="dxa" w:w="900"/>
          </w:tcPr>
          <w:p>
            <w:pPr>
              <w:pStyle w:val="Compact"/>
              <w:jc w:val="left"/>
            </w:pPr>
            <w:r>
              <w:rPr>
                <w:b w:val="0"/>
              </w:rPr>
              <w:t xml:space="preserve">40.18</w:t>
            </w:r>
          </w:p>
        </w:tc>
        <w:tc>
          <w:tcPr>
            <w:tcW w:type="dxa" w:w="900"/>
          </w:tcPr>
          <w:p>
            <w:pPr>
              <w:pStyle w:val="Compact"/>
              <w:jc w:val="center"/>
            </w:pPr>
            <w:r>
              <w:rPr>
                <w:b w:val="0"/>
              </w:rPr>
              <w:t xml:space="preserve">37.48</w:t>
            </w:r>
          </w:p>
        </w:tc>
        <w:tc>
          <w:tcPr>
            <w:tcW w:type="dxa" w:w="900"/>
          </w:tcPr>
          <w:p>
            <w:pPr>
              <w:pStyle w:val="Compact"/>
              <w:jc w:val="center"/>
            </w:pPr>
            <w:r>
              <w:rPr>
                <w:b w:val="0"/>
              </w:rPr>
              <w:t xml:space="preserve">36.11</w:t>
            </w:r>
          </w:p>
        </w:tc>
        <w:tc>
          <w:tcPr>
            <w:tcW w:type="dxa" w:w="900"/>
          </w:tcPr>
          <w:p>
            <w:pPr>
              <w:pStyle w:val="Compact"/>
              <w:jc w:val="left"/>
            </w:pPr>
            <w:r>
              <w:rPr>
                <w:b w:val="0"/>
              </w:rPr>
              <w:t xml:space="preserve">79.63</w:t>
            </w:r>
          </w:p>
        </w:tc>
        <w:tc>
          <w:tcPr>
            <w:tcW w:type="dxa" w:w="900"/>
          </w:tcPr>
          <w:p>
            <w:pPr>
              <w:pStyle w:val="Compact"/>
              <w:jc w:val="left"/>
            </w:pPr>
            <w:r>
              <w:rPr>
                <w:b w:val="0"/>
              </w:rPr>
              <w:t xml:space="preserve">49.65</w:t>
            </w:r>
          </w:p>
        </w:tc>
        <w:tc>
          <w:tcPr>
            <w:tcW w:type="dxa" w:w="900"/>
          </w:tcPr>
          <w:p>
            <w:pPr>
              <w:pStyle w:val="Compact"/>
              <w:jc w:val="left"/>
            </w:pPr>
            <w:r>
              <w:rPr>
                <w:b w:val="0"/>
              </w:rPr>
              <w:t xml:space="preserve">+13.54</w:t>
            </w:r>
          </w:p>
        </w:tc>
      </w:tr>
      <w:tr>
        <w:tc>
          <w:tcPr>
            <w:tcW w:type="dxa" w:w="944"/>
          </w:tcPr>
          <w:p>
            <w:pPr>
              <w:pStyle w:val="Compact"/>
              <w:jc w:val="left"/>
            </w:pPr>
            <w:r>
              <w:rPr>
                <w:b w:val="0"/>
              </w:rPr>
              <w:t>gemma:latest_rag_enhanced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46.09</w:t>
            </w:r>
          </w:p>
        </w:tc>
        <w:tc>
          <w:tcPr>
            <w:tcW w:type="dxa" w:w="900"/>
          </w:tcPr>
          <w:p>
            <w:pPr>
              <w:pStyle w:val="Compact"/>
              <w:jc w:val="center"/>
            </w:pPr>
            <w:r>
              <w:rPr>
                <w:b w:val="0"/>
              </w:rPr>
              <w:t xml:space="preserve">39.74</w:t>
            </w:r>
          </w:p>
        </w:tc>
        <w:tc>
          <w:tcPr>
            <w:tcW w:type="dxa" w:w="900"/>
          </w:tcPr>
          <w:p>
            <w:pPr>
              <w:pStyle w:val="Compact"/>
              <w:jc w:val="center"/>
            </w:pPr>
            <w:r>
              <w:rPr>
                <w:b w:val="0"/>
              </w:rPr>
              <w:t xml:space="preserve">40.09</w:t>
            </w:r>
          </w:p>
        </w:tc>
        <w:tc>
          <w:tcPr>
            <w:tcW w:type="dxa" w:w="900"/>
          </w:tcPr>
          <w:p>
            <w:pPr>
              <w:pStyle w:val="Compact"/>
              <w:jc w:val="left"/>
            </w:pPr>
            <w:r>
              <w:rPr>
                <w:b w:val="0"/>
              </w:rPr>
              <w:t xml:space="preserve">63.27</w:t>
            </w:r>
          </w:p>
        </w:tc>
        <w:tc>
          <w:tcPr>
            <w:tcW w:type="dxa" w:w="900"/>
          </w:tcPr>
          <w:p>
            <w:pPr>
              <w:pStyle w:val="Compact"/>
              <w:jc w:val="left"/>
            </w:pPr>
            <w:r>
              <w:rPr>
                <w:b w:val="0"/>
              </w:rPr>
              <w:t xml:space="preserve">47.57</w:t>
            </w:r>
          </w:p>
        </w:tc>
        <w:tc>
          <w:tcPr>
            <w:tcW w:type="dxa" w:w="900"/>
          </w:tcPr>
          <w:p>
            <w:pPr>
              <w:pStyle w:val="Compact"/>
              <w:jc w:val="left"/>
            </w:pPr>
            <w:r>
              <w:rPr>
                <w:b w:val="0"/>
              </w:rPr>
              <w:t xml:space="preserve">+7.48</w:t>
            </w:r>
          </w:p>
        </w:tc>
      </w:tr>
      <w:tr>
        <w:tc>
          <w:tcPr>
            <w:tcW w:type="dxa" w:w="944"/>
          </w:tcPr>
          <w:p>
            <w:pPr>
              <w:pStyle w:val="Compact"/>
              <w:jc w:val="left"/>
            </w:pPr>
            <w:r>
              <w:rPr>
                <w:b w:val="0"/>
              </w:rPr>
              <w:t>nemotron-mini:4b_kb_rag</w:t>
            </w:r>
          </w:p>
        </w:tc>
        <w:tc>
          <w:tcPr>
            <w:tcW w:type="dxa" w:w="2494"/>
          </w:tcPr>
          <w:p>
            <w:pPr>
              <w:pStyle w:val="Compact"/>
              <w:jc w:val="left"/>
            </w:pPr>
            <w:r>
              <w:rPr>
                <w:b w:val="0"/>
              </w:rPr>
              <w:t>nemotron_rerun_n120_REMOTO</w:t>
            </w:r>
          </w:p>
        </w:tc>
        <w:tc>
          <w:tcPr>
            <w:tcW w:type="dxa" w:w="900"/>
          </w:tcPr>
          <w:p>
            <w:pPr>
              <w:pStyle w:val="Compact"/>
              <w:jc w:val="left"/>
            </w:pPr>
            <w:r>
              <w:rPr>
                <w:b w:val="0"/>
              </w:rPr>
              <w:t xml:space="preserve">44.80</w:t>
            </w:r>
          </w:p>
        </w:tc>
        <w:tc>
          <w:tcPr>
            <w:tcW w:type="dxa" w:w="900"/>
          </w:tcPr>
          <w:p>
            <w:pPr>
              <w:pStyle w:val="Compact"/>
              <w:jc w:val="center"/>
            </w:pPr>
            <w:r>
              <w:rPr>
                <w:b w:val="0"/>
              </w:rPr>
              <w:t xml:space="preserve">36.62</w:t>
            </w:r>
          </w:p>
        </w:tc>
        <w:tc>
          <w:tcPr>
            <w:tcW w:type="dxa" w:w="900"/>
          </w:tcPr>
          <w:p>
            <w:pPr>
              <w:pStyle w:val="Compact"/>
              <w:jc w:val="center"/>
            </w:pPr>
            <w:r>
              <w:rPr>
                <w:b w:val="0"/>
              </w:rPr>
              <w:t xml:space="preserve">37.12</w:t>
            </w:r>
          </w:p>
        </w:tc>
        <w:tc>
          <w:tcPr>
            <w:tcW w:type="dxa" w:w="900"/>
          </w:tcPr>
          <w:p>
            <w:pPr>
              <w:pStyle w:val="Compact"/>
              <w:jc w:val="left"/>
            </w:pPr>
            <w:r>
              <w:rPr>
                <w:b w:val="0"/>
              </w:rPr>
              <w:t xml:space="preserve">55.19</w:t>
            </w:r>
          </w:p>
        </w:tc>
        <w:tc>
          <w:tcPr>
            <w:tcW w:type="dxa" w:w="900"/>
          </w:tcPr>
          <w:p>
            <w:pPr>
              <w:pStyle w:val="Compact"/>
              <w:jc w:val="left"/>
            </w:pPr>
            <w:r>
              <w:rPr>
                <w:b w:val="0"/>
              </w:rPr>
              <w:t xml:space="preserve">40.77</w:t>
            </w:r>
          </w:p>
        </w:tc>
        <w:tc>
          <w:tcPr>
            <w:tcW w:type="dxa" w:w="900"/>
          </w:tcPr>
          <w:p>
            <w:pPr>
              <w:pStyle w:val="Compact"/>
              <w:jc w:val="left"/>
            </w:pPr>
            <w:r>
              <w:rPr>
                <w:b w:val="0"/>
              </w:rPr>
              <w:t xml:space="preserve">+3.65</w:t>
            </w:r>
          </w:p>
        </w:tc>
      </w:tr>
      <w:tr>
        <w:tc>
          <w:tcPr>
            <w:tcW w:type="dxa" w:w="944"/>
          </w:tcPr>
          <w:p>
            <w:pPr>
              <w:pStyle w:val="Compact"/>
              <w:jc w:val="left"/>
            </w:pPr>
            <w:r>
              <w:rPr>
                <w:b w:val="0"/>
              </w:rPr>
              <w:t>llama3.2:latest_rag_enhanced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38.78</w:t>
            </w:r>
          </w:p>
        </w:tc>
        <w:tc>
          <w:tcPr>
            <w:tcW w:type="dxa" w:w="900"/>
          </w:tcPr>
          <w:p>
            <w:pPr>
              <w:pStyle w:val="Compact"/>
              <w:jc w:val="center"/>
            </w:pPr>
            <w:r>
              <w:rPr>
                <w:b w:val="0"/>
              </w:rPr>
              <w:t xml:space="preserve">30.41</w:t>
            </w:r>
          </w:p>
        </w:tc>
        <w:tc>
          <w:tcPr>
            <w:tcW w:type="dxa" w:w="900"/>
          </w:tcPr>
          <w:p>
            <w:pPr>
              <w:pStyle w:val="Compact"/>
              <w:jc w:val="center"/>
            </w:pPr>
            <w:r>
              <w:rPr>
                <w:b w:val="0"/>
              </w:rPr>
              <w:t xml:space="preserve">31.13</w:t>
            </w:r>
          </w:p>
        </w:tc>
        <w:tc>
          <w:tcPr>
            <w:tcW w:type="dxa" w:w="900"/>
          </w:tcPr>
          <w:p>
            <w:pPr>
              <w:pStyle w:val="Compact"/>
              <w:jc w:val="left"/>
            </w:pPr>
            <w:r>
              <w:rPr>
                <w:b w:val="0"/>
              </w:rPr>
              <w:t xml:space="preserve">70.58</w:t>
            </w:r>
          </w:p>
        </w:tc>
        <w:tc>
          <w:tcPr>
            <w:tcW w:type="dxa" w:w="900"/>
          </w:tcPr>
          <w:p>
            <w:pPr>
              <w:pStyle w:val="Compact"/>
              <w:jc w:val="left"/>
            </w:pPr>
            <w:r>
              <w:rPr>
                <w:b w:val="0"/>
              </w:rPr>
              <w:t xml:space="preserve">38.90</w:t>
            </w:r>
          </w:p>
        </w:tc>
        <w:tc>
          <w:tcPr>
            <w:tcW w:type="dxa" w:w="900"/>
          </w:tcPr>
          <w:p>
            <w:pPr>
              <w:pStyle w:val="Compact"/>
              <w:jc w:val="left"/>
            </w:pPr>
            <w:r>
              <w:rPr>
                <w:b w:val="0"/>
              </w:rPr>
              <w:t xml:space="preserve">+7.77</w:t>
            </w:r>
          </w:p>
        </w:tc>
      </w:tr>
      <w:tr>
        <w:tc>
          <w:tcPr>
            <w:tcW w:type="dxa" w:w="944"/>
          </w:tcPr>
          <w:p>
            <w:pPr>
              <w:pStyle w:val="Compact"/>
              <w:jc w:val="left"/>
            </w:pPr>
            <w:r>
              <w:rPr>
                <w:b w:val="0"/>
              </w:rPr>
              <w:t>gemma4:12b-mlx_baseline</w:t>
            </w:r>
          </w:p>
        </w:tc>
        <w:tc>
          <w:tcPr>
            <w:tcW w:type="dxa" w:w="2494"/>
          </w:tcPr>
          <w:p>
            <w:pPr>
              <w:pStyle w:val="Compact"/>
              <w:jc w:val="left"/>
            </w:pPr>
            <w:r>
              <w:rPr>
                <w:b w:val="0"/>
              </w:rPr>
              <w:t xml:space="preserve">afectados_thinking_n120_REMOTO</w:t>
            </w:r>
          </w:p>
        </w:tc>
        <w:tc>
          <w:tcPr>
            <w:tcW w:type="dxa" w:w="900"/>
          </w:tcPr>
          <w:p>
            <w:pPr>
              <w:pStyle w:val="Compact"/>
              <w:jc w:val="left"/>
            </w:pPr>
            <w:r>
              <w:rPr>
                <w:b w:val="0"/>
              </w:rPr>
              <w:t xml:space="preserve">51.91</w:t>
            </w:r>
          </w:p>
        </w:tc>
        <w:tc>
          <w:tcPr>
            <w:tcW w:type="dxa" w:w="900"/>
          </w:tcPr>
          <w:p>
            <w:pPr>
              <w:pStyle w:val="Compact"/>
              <w:jc w:val="center"/>
            </w:pPr>
            <w:r>
              <w:rPr>
                <w:b w:val="0"/>
              </w:rPr>
              <w:t xml:space="preserve">66.05</w:t>
            </w:r>
          </w:p>
        </w:tc>
        <w:tc>
          <w:tcPr>
            <w:tcW w:type="dxa" w:w="900"/>
          </w:tcPr>
          <w:p>
            <w:pPr>
              <w:pStyle w:val="Compact"/>
              <w:jc w:val="center"/>
            </w:pPr>
            <w:r>
              <w:rPr>
                <w:b w:val="0"/>
              </w:rPr>
              <w:t xml:space="preserve">56.18</w:t>
            </w:r>
          </w:p>
        </w:tc>
        <w:tc>
          <w:tcPr>
            <w:tcW w:type="dxa" w:w="900"/>
          </w:tcPr>
          <w:p>
            <w:pPr>
              <w:pStyle w:val="Compact"/>
              <w:jc w:val="left"/>
            </w:pPr>
            <w:r>
              <w:rPr>
                <w:b w:val="0"/>
              </w:rPr>
              <w:t xml:space="preserve">83.26</w:t>
            </w:r>
          </w:p>
        </w:tc>
        <w:tc>
          <w:tcPr>
            <w:tcW w:type="dxa" w:w="900"/>
          </w:tcPr>
          <w:p>
            <w:pPr>
              <w:pStyle w:val="Compact"/>
              <w:jc w:val="left"/>
            </w:pPr>
            <w:r>
              <w:rPr>
                <w:b w:val="0"/>
              </w:rPr>
              <w:t xml:space="preserve">73.81</w:t>
            </w:r>
          </w:p>
        </w:tc>
        <w:tc>
          <w:tcPr>
            <w:tcW w:type="dxa" w:w="900"/>
          </w:tcPr>
          <w:p>
            <w:pPr>
              <w:pStyle w:val="Compact"/>
              <w:jc w:val="left"/>
            </w:pPr>
            <w:r>
              <w:rPr>
                <w:b w:val="0"/>
              </w:rPr>
              <w:t xml:space="preserve">+17.63</w:t>
            </w:r>
          </w:p>
        </w:tc>
      </w:tr>
      <w:tr>
        <w:tc>
          <w:tcPr>
            <w:tcW w:type="dxa" w:w="944"/>
          </w:tcPr>
          <w:p>
            <w:pPr>
              <w:pStyle w:val="Compact"/>
              <w:jc w:val="left"/>
            </w:pPr>
            <w:r>
              <w:rPr>
                <w:b w:val="0"/>
              </w:rPr>
              <w:t>mistral-nemo:latest_rag_enhanced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42.99</w:t>
            </w:r>
          </w:p>
        </w:tc>
        <w:tc>
          <w:tcPr>
            <w:tcW w:type="dxa" w:w="900"/>
          </w:tcPr>
          <w:p>
            <w:pPr>
              <w:pStyle w:val="Compact"/>
              <w:jc w:val="center"/>
            </w:pPr>
            <w:r>
              <w:rPr>
                <w:b w:val="0"/>
              </w:rPr>
              <w:t xml:space="preserve">24.38</w:t>
            </w:r>
          </w:p>
        </w:tc>
        <w:tc>
          <w:tcPr>
            <w:tcW w:type="dxa" w:w="900"/>
          </w:tcPr>
          <w:p>
            <w:pPr>
              <w:pStyle w:val="Compact"/>
              <w:jc w:val="center"/>
            </w:pPr>
            <w:r>
              <w:rPr>
                <w:b w:val="0"/>
              </w:rPr>
              <w:t xml:space="preserve">28.52</w:t>
            </w:r>
          </w:p>
        </w:tc>
        <w:tc>
          <w:tcPr>
            <w:tcW w:type="dxa" w:w="900"/>
          </w:tcPr>
          <w:p>
            <w:pPr>
              <w:pStyle w:val="Compact"/>
              <w:jc w:val="left"/>
            </w:pPr>
            <w:r>
              <w:rPr>
                <w:b w:val="0"/>
              </w:rPr>
              <w:t xml:space="preserve">79.85</w:t>
            </w:r>
          </w:p>
        </w:tc>
        <w:tc>
          <w:tcPr>
            <w:tcW w:type="dxa" w:w="900"/>
          </w:tcPr>
          <w:p>
            <w:pPr>
              <w:pStyle w:val="Compact"/>
              <w:jc w:val="left"/>
            </w:pPr>
            <w:r>
              <w:rPr>
                <w:b w:val="0"/>
              </w:rPr>
              <w:t xml:space="preserve">36.18</w:t>
            </w:r>
          </w:p>
        </w:tc>
        <w:tc>
          <w:tcPr>
            <w:tcW w:type="dxa" w:w="900"/>
          </w:tcPr>
          <w:p>
            <w:pPr>
              <w:pStyle w:val="Compact"/>
              <w:jc w:val="left"/>
            </w:pPr>
            <w:r>
              <w:rPr>
                <w:b w:val="0"/>
              </w:rPr>
              <w:t xml:space="preserve">+7.66</w:t>
            </w:r>
          </w:p>
        </w:tc>
      </w:tr>
      <w:tr>
        <w:tc>
          <w:tcPr>
            <w:tcW w:type="dxa" w:w="944"/>
          </w:tcPr>
          <w:p>
            <w:pPr>
              <w:pStyle w:val="Compact"/>
              <w:jc w:val="left"/>
            </w:pPr>
            <w:r>
              <w:rPr>
                <w:b w:val="0"/>
              </w:rPr>
              <w:t>gemma4:31b-cloud_rag_enhanced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16.96</w:t>
            </w:r>
          </w:p>
        </w:tc>
        <w:tc>
          <w:tcPr>
            <w:tcW w:type="dxa" w:w="900"/>
          </w:tcPr>
          <w:p>
            <w:pPr>
              <w:pStyle w:val="Compact"/>
              <w:jc w:val="center"/>
            </w:pPr>
            <w:r>
              <w:rPr>
                <w:b w:val="0"/>
              </w:rPr>
              <w:t xml:space="preserve">21.11</w:t>
            </w:r>
          </w:p>
        </w:tc>
        <w:tc>
          <w:tcPr>
            <w:tcW w:type="dxa" w:w="900"/>
          </w:tcPr>
          <w:p>
            <w:pPr>
              <w:pStyle w:val="Compact"/>
              <w:jc w:val="center"/>
            </w:pPr>
            <w:r>
              <w:rPr>
                <w:b w:val="0"/>
              </w:rPr>
              <w:t xml:space="preserve">18.52</w:t>
            </w:r>
          </w:p>
        </w:tc>
        <w:tc>
          <w:tcPr>
            <w:tcW w:type="dxa" w:w="900"/>
          </w:tcPr>
          <w:p>
            <w:pPr>
              <w:pStyle w:val="Compact"/>
              <w:jc w:val="left"/>
            </w:pPr>
            <w:r>
              <w:rPr>
                <w:b w:val="0"/>
              </w:rPr>
              <w:t xml:space="preserve">24.56</w:t>
            </w:r>
          </w:p>
        </w:tc>
        <w:tc>
          <w:tcPr>
            <w:tcW w:type="dxa" w:w="900"/>
          </w:tcPr>
          <w:p>
            <w:pPr>
              <w:pStyle w:val="Compact"/>
              <w:jc w:val="left"/>
            </w:pPr>
            <w:r>
              <w:rPr>
                <w:b w:val="0"/>
              </w:rPr>
              <w:t xml:space="preserve">23.04</w:t>
            </w:r>
          </w:p>
        </w:tc>
        <w:tc>
          <w:tcPr>
            <w:tcW w:type="dxa" w:w="900"/>
          </w:tcPr>
          <w:p>
            <w:pPr>
              <w:pStyle w:val="Compact"/>
              <w:jc w:val="left"/>
            </w:pPr>
            <w:r>
              <w:rPr>
                <w:b w:val="0"/>
              </w:rPr>
              <w:t xml:space="preserve">+4.51</w:t>
            </w:r>
          </w:p>
        </w:tc>
      </w:tr>
      <w:tr>
        <w:tc>
          <w:tcPr>
            <w:tcW w:type="dxa" w:w="944"/>
          </w:tcPr>
          <w:p>
            <w:pPr>
              <w:pStyle w:val="Compact"/>
              <w:jc w:val="left"/>
            </w:pPr>
            <w:r>
              <w:rPr>
                <w:b w:val="0"/>
              </w:rPr>
              <w:t>deepseek-r1:1.5b_baseline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29.96</w:t>
            </w:r>
          </w:p>
        </w:tc>
        <w:tc>
          <w:tcPr>
            <w:tcW w:type="dxa" w:w="900"/>
          </w:tcPr>
          <w:p>
            <w:pPr>
              <w:pStyle w:val="Compact"/>
              <w:jc w:val="center"/>
            </w:pPr>
            <w:r>
              <w:rPr>
                <w:b w:val="0"/>
              </w:rPr>
              <w:t xml:space="preserve">24.72</w:t>
            </w:r>
          </w:p>
        </w:tc>
        <w:tc>
          <w:tcPr>
            <w:tcW w:type="dxa" w:w="900"/>
          </w:tcPr>
          <w:p>
            <w:pPr>
              <w:pStyle w:val="Compact"/>
              <w:jc w:val="center"/>
            </w:pPr>
            <w:r>
              <w:rPr>
                <w:b w:val="0"/>
              </w:rPr>
              <w:t xml:space="preserve">24.83</w:t>
            </w:r>
          </w:p>
        </w:tc>
        <w:tc>
          <w:tcPr>
            <w:tcW w:type="dxa" w:w="900"/>
          </w:tcPr>
          <w:p>
            <w:pPr>
              <w:pStyle w:val="Compact"/>
              <w:jc w:val="left"/>
            </w:pPr>
            <w:r>
              <w:rPr>
                <w:b w:val="0"/>
              </w:rPr>
              <w:t xml:space="preserve">43.27</w:t>
            </w:r>
          </w:p>
        </w:tc>
        <w:tc>
          <w:tcPr>
            <w:tcW w:type="dxa" w:w="900"/>
          </w:tcPr>
          <w:p>
            <w:pPr>
              <w:pStyle w:val="Compact"/>
              <w:jc w:val="left"/>
            </w:pPr>
            <w:r>
              <w:rPr>
                <w:b w:val="0"/>
              </w:rPr>
              <w:t xml:space="preserve">29.34</w:t>
            </w:r>
          </w:p>
        </w:tc>
        <w:tc>
          <w:tcPr>
            <w:tcW w:type="dxa" w:w="900"/>
          </w:tcPr>
          <w:p>
            <w:pPr>
              <w:pStyle w:val="Compact"/>
              <w:jc w:val="left"/>
            </w:pPr>
            <w:r>
              <w:rPr>
                <w:b w:val="0"/>
              </w:rPr>
              <w:t xml:space="preserve">+4.50</w:t>
            </w:r>
          </w:p>
        </w:tc>
      </w:tr>
      <w:tr>
        <w:tc>
          <w:tcPr>
            <w:tcW w:type="dxa" w:w="944"/>
          </w:tcPr>
          <w:p>
            <w:pPr>
              <w:pStyle w:val="Compact"/>
              <w:jc w:val="left"/>
            </w:pPr>
            <w:r>
              <w:rPr>
                <w:b w:val="0"/>
              </w:rPr>
              <w:t>deepseek-r1:1.5b_kb_rag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28.35</w:t>
            </w:r>
          </w:p>
        </w:tc>
        <w:tc>
          <w:tcPr>
            <w:tcW w:type="dxa" w:w="900"/>
          </w:tcPr>
          <w:p>
            <w:pPr>
              <w:pStyle w:val="Compact"/>
              <w:jc w:val="center"/>
            </w:pPr>
            <w:r>
              <w:rPr>
                <w:b w:val="0"/>
              </w:rPr>
              <w:t xml:space="preserve">24.71</w:t>
            </w:r>
          </w:p>
        </w:tc>
        <w:tc>
          <w:tcPr>
            <w:tcW w:type="dxa" w:w="900"/>
          </w:tcPr>
          <w:p>
            <w:pPr>
              <w:pStyle w:val="Compact"/>
              <w:jc w:val="center"/>
            </w:pPr>
            <w:r>
              <w:rPr>
                <w:b w:val="0"/>
              </w:rPr>
              <w:t xml:space="preserve">23.94</w:t>
            </w:r>
          </w:p>
        </w:tc>
        <w:tc>
          <w:tcPr>
            <w:tcW w:type="dxa" w:w="900"/>
          </w:tcPr>
          <w:p>
            <w:pPr>
              <w:pStyle w:val="Compact"/>
              <w:jc w:val="left"/>
            </w:pPr>
            <w:r>
              <w:rPr>
                <w:b w:val="0"/>
              </w:rPr>
              <w:t xml:space="preserve">36.13</w:t>
            </w:r>
          </w:p>
        </w:tc>
        <w:tc>
          <w:tcPr>
            <w:tcW w:type="dxa" w:w="900"/>
          </w:tcPr>
          <w:p>
            <w:pPr>
              <w:pStyle w:val="Compact"/>
              <w:jc w:val="left"/>
            </w:pPr>
            <w:r>
              <w:rPr>
                <w:b w:val="0"/>
              </w:rPr>
              <w:t xml:space="preserve">26.91</w:t>
            </w:r>
          </w:p>
        </w:tc>
        <w:tc>
          <w:tcPr>
            <w:tcW w:type="dxa" w:w="900"/>
          </w:tcPr>
          <w:p>
            <w:pPr>
              <w:pStyle w:val="Compact"/>
              <w:jc w:val="left"/>
            </w:pPr>
            <w:r>
              <w:rPr>
                <w:b w:val="0"/>
              </w:rPr>
              <w:t xml:space="preserve">+2.97</w:t>
            </w:r>
          </w:p>
        </w:tc>
      </w:tr>
      <w:tr>
        <w:tc>
          <w:tcPr>
            <w:tcW w:type="dxa" w:w="944"/>
          </w:tcPr>
          <w:p>
            <w:pPr>
              <w:pStyle w:val="Compact"/>
              <w:jc w:val="left"/>
            </w:pPr>
            <w:r>
              <w:rPr>
                <w:b w:val="0"/>
              </w:rPr>
              <w:t>nemotron-mini:4b_baseline</w:t>
            </w:r>
          </w:p>
        </w:tc>
        <w:tc>
          <w:tcPr>
            <w:tcW w:type="dxa" w:w="2494"/>
          </w:tcPr>
          <w:p>
            <w:pPr>
              <w:pStyle w:val="Compact"/>
              <w:jc w:val="left"/>
            </w:pPr>
            <w:r>
              <w:rPr>
                <w:b w:val="0"/>
              </w:rPr>
              <w:t>nemotron_rerun_n120_REMOTO</w:t>
            </w:r>
          </w:p>
        </w:tc>
        <w:tc>
          <w:tcPr>
            <w:tcW w:type="dxa" w:w="900"/>
          </w:tcPr>
          <w:p>
            <w:pPr>
              <w:pStyle w:val="Compact"/>
              <w:jc w:val="left"/>
            </w:pPr>
            <w:r>
              <w:rPr>
                <w:b w:val="0"/>
              </w:rPr>
              <w:t xml:space="preserve">34.50</w:t>
            </w:r>
          </w:p>
        </w:tc>
        <w:tc>
          <w:tcPr>
            <w:tcW w:type="dxa" w:w="900"/>
          </w:tcPr>
          <w:p>
            <w:pPr>
              <w:pStyle w:val="Compact"/>
              <w:jc w:val="center"/>
            </w:pPr>
            <w:r>
              <w:rPr>
                <w:b w:val="0"/>
              </w:rPr>
              <w:t xml:space="preserve">21.20</w:t>
            </w:r>
          </w:p>
        </w:tc>
        <w:tc>
          <w:tcPr>
            <w:tcW w:type="dxa" w:w="900"/>
          </w:tcPr>
          <w:p>
            <w:pPr>
              <w:pStyle w:val="Compact"/>
              <w:jc w:val="center"/>
            </w:pPr>
            <w:r>
              <w:rPr>
                <w:b w:val="0"/>
              </w:rPr>
              <w:t xml:space="preserve">22.59</w:t>
            </w:r>
          </w:p>
        </w:tc>
        <w:tc>
          <w:tcPr>
            <w:tcW w:type="dxa" w:w="900"/>
          </w:tcPr>
          <w:p>
            <w:pPr>
              <w:pStyle w:val="Compact"/>
              <w:jc w:val="left"/>
            </w:pPr>
            <w:r>
              <w:rPr>
                <w:b w:val="0"/>
              </w:rPr>
              <w:t xml:space="preserve">46.59</w:t>
            </w:r>
          </w:p>
        </w:tc>
        <w:tc>
          <w:tcPr>
            <w:tcW w:type="dxa" w:w="900"/>
          </w:tcPr>
          <w:p>
            <w:pPr>
              <w:pStyle w:val="Compact"/>
              <w:jc w:val="left"/>
            </w:pPr>
            <w:r>
              <w:rPr>
                <w:b w:val="0"/>
              </w:rPr>
              <w:t xml:space="preserve">25.28</w:t>
            </w:r>
          </w:p>
        </w:tc>
        <w:tc>
          <w:tcPr>
            <w:tcW w:type="dxa" w:w="900"/>
          </w:tcPr>
          <w:p>
            <w:pPr>
              <w:pStyle w:val="Compact"/>
              <w:jc w:val="left"/>
            </w:pPr>
            <w:r>
              <w:rPr>
                <w:b w:val="0"/>
              </w:rPr>
              <w:t xml:space="preserve">+2.68</w:t>
            </w:r>
          </w:p>
        </w:tc>
      </w:tr>
      <w:tr>
        <w:tc>
          <w:tcPr>
            <w:tcW w:type="dxa" w:w="944"/>
          </w:tcPr>
          <w:p>
            <w:pPr>
              <w:pStyle w:val="Compact"/>
              <w:jc w:val="left"/>
            </w:pPr>
            <w:r>
              <w:rPr>
                <w:b w:val="0"/>
              </w:rPr>
              <w:t>nemotron-mini:4b_rag_enhanced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35.16</w:t>
            </w:r>
          </w:p>
        </w:tc>
        <w:tc>
          <w:tcPr>
            <w:tcW w:type="dxa" w:w="900"/>
          </w:tcPr>
          <w:p>
            <w:pPr>
              <w:pStyle w:val="Compact"/>
              <w:jc w:val="center"/>
            </w:pPr>
            <w:r>
              <w:rPr>
                <w:b w:val="0"/>
              </w:rPr>
              <w:t xml:space="preserve">16.39</w:t>
            </w:r>
          </w:p>
        </w:tc>
        <w:tc>
          <w:tcPr>
            <w:tcW w:type="dxa" w:w="900"/>
          </w:tcPr>
          <w:p>
            <w:pPr>
              <w:pStyle w:val="Compact"/>
              <w:jc w:val="center"/>
            </w:pPr>
            <w:r>
              <w:rPr>
                <w:b w:val="0"/>
              </w:rPr>
              <w:t xml:space="preserve">19.54</w:t>
            </w:r>
          </w:p>
        </w:tc>
        <w:tc>
          <w:tcPr>
            <w:tcW w:type="dxa" w:w="900"/>
          </w:tcPr>
          <w:p>
            <w:pPr>
              <w:pStyle w:val="Compact"/>
              <w:jc w:val="left"/>
            </w:pPr>
            <w:r>
              <w:rPr>
                <w:b w:val="0"/>
              </w:rPr>
              <w:t xml:space="preserve">40.45</w:t>
            </w:r>
          </w:p>
        </w:tc>
        <w:tc>
          <w:tcPr>
            <w:tcW w:type="dxa" w:w="900"/>
          </w:tcPr>
          <w:p>
            <w:pPr>
              <w:pStyle w:val="Compact"/>
              <w:jc w:val="left"/>
            </w:pPr>
            <w:r>
              <w:rPr>
                <w:b w:val="0"/>
              </w:rPr>
              <w:t xml:space="preserve">21.26</w:t>
            </w:r>
          </w:p>
        </w:tc>
        <w:tc>
          <w:tcPr>
            <w:tcW w:type="dxa" w:w="900"/>
          </w:tcPr>
          <w:p>
            <w:pPr>
              <w:pStyle w:val="Compact"/>
              <w:jc w:val="left"/>
            </w:pPr>
            <w:r>
              <w:rPr>
                <w:b w:val="0"/>
              </w:rPr>
              <w:t xml:space="preserve">+1.72</w:t>
            </w:r>
          </w:p>
        </w:tc>
      </w:tr>
      <w:tr>
        <w:tc>
          <w:tcPr>
            <w:tcW w:type="dxa" w:w="944"/>
          </w:tcPr>
          <w:p>
            <w:pPr>
              <w:pStyle w:val="Compact"/>
              <w:jc w:val="left"/>
            </w:pPr>
            <w:r>
              <w:rPr>
                <w:b w:val="0"/>
              </w:rPr>
              <w:t>deepseek-r1:1.5b_rag_enhanced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22.28</w:t>
            </w:r>
          </w:p>
        </w:tc>
        <w:tc>
          <w:tcPr>
            <w:tcW w:type="dxa" w:w="900"/>
          </w:tcPr>
          <w:p>
            <w:pPr>
              <w:pStyle w:val="Compact"/>
              <w:jc w:val="center"/>
            </w:pPr>
            <w:r>
              <w:rPr>
                <w:b w:val="0"/>
              </w:rPr>
              <w:t xml:space="preserve">17.41</w:t>
            </w:r>
          </w:p>
        </w:tc>
        <w:tc>
          <w:tcPr>
            <w:tcW w:type="dxa" w:w="900"/>
          </w:tcPr>
          <w:p>
            <w:pPr>
              <w:pStyle w:val="Compact"/>
              <w:jc w:val="center"/>
            </w:pPr>
            <w:r>
              <w:rPr>
                <w:b w:val="0"/>
              </w:rPr>
              <w:t xml:space="preserve">16.82</w:t>
            </w:r>
          </w:p>
        </w:tc>
        <w:tc>
          <w:tcPr>
            <w:tcW w:type="dxa" w:w="900"/>
          </w:tcPr>
          <w:p>
            <w:pPr>
              <w:pStyle w:val="Compact"/>
              <w:jc w:val="left"/>
            </w:pPr>
            <w:r>
              <w:rPr>
                <w:b w:val="0"/>
              </w:rPr>
              <w:t xml:space="preserve">30.80</w:t>
            </w:r>
          </w:p>
        </w:tc>
        <w:tc>
          <w:tcPr>
            <w:tcW w:type="dxa" w:w="900"/>
          </w:tcPr>
          <w:p>
            <w:pPr>
              <w:pStyle w:val="Compact"/>
              <w:jc w:val="left"/>
            </w:pPr>
            <w:r>
              <w:rPr>
                <w:b w:val="0"/>
              </w:rPr>
              <w:t xml:space="preserve">20.11</w:t>
            </w:r>
          </w:p>
        </w:tc>
        <w:tc>
          <w:tcPr>
            <w:tcW w:type="dxa" w:w="900"/>
          </w:tcPr>
          <w:p>
            <w:pPr>
              <w:pStyle w:val="Compact"/>
              <w:jc w:val="left"/>
            </w:pPr>
            <w:r>
              <w:rPr>
                <w:b w:val="0"/>
              </w:rPr>
              <w:t xml:space="preserve">+3.29</w:t>
            </w:r>
          </w:p>
        </w:tc>
      </w:tr>
      <w:tr>
        <w:tc>
          <w:tcPr>
            <w:tcW w:type="dxa" w:w="944"/>
          </w:tcPr>
          <w:p>
            <w:pPr>
              <w:pStyle w:val="Compact"/>
              <w:jc w:val="left"/>
            </w:pPr>
            <w:r>
              <w:rPr>
                <w:b w:val="0"/>
              </w:rPr>
              <w:t>gemma4:12b-mlx_kb_rag</w:t>
            </w:r>
          </w:p>
        </w:tc>
        <w:tc>
          <w:tcPr>
            <w:tcW w:type="dxa" w:w="2494"/>
          </w:tcPr>
          <w:p>
            <w:pPr>
              <w:pStyle w:val="Compact"/>
              <w:jc w:val="left"/>
            </w:pPr>
            <w:r>
              <w:rPr>
                <w:b w:val="0"/>
              </w:rPr>
              <w:t xml:space="preserve">afectados_thinking_n120_REMOTO</w:t>
            </w:r>
          </w:p>
        </w:tc>
        <w:tc>
          <w:tcPr>
            <w:tcW w:type="dxa" w:w="900"/>
          </w:tcPr>
          <w:p>
            <w:pPr>
              <w:pStyle w:val="Compact"/>
              <w:jc w:val="left"/>
            </w:pPr>
            <w:r>
              <w:rPr>
                <w:b w:val="0"/>
              </w:rPr>
              <w:t xml:space="preserve">53.29</w:t>
            </w:r>
          </w:p>
        </w:tc>
        <w:tc>
          <w:tcPr>
            <w:tcW w:type="dxa" w:w="900"/>
          </w:tcPr>
          <w:p>
            <w:pPr>
              <w:pStyle w:val="Compact"/>
              <w:jc w:val="center"/>
            </w:pPr>
            <w:r>
              <w:rPr>
                <w:b w:val="0"/>
              </w:rPr>
              <w:t xml:space="preserve">68.33</w:t>
            </w:r>
          </w:p>
        </w:tc>
        <w:tc>
          <w:tcPr>
            <w:tcW w:type="dxa" w:w="900"/>
          </w:tcPr>
          <w:p>
            <w:pPr>
              <w:pStyle w:val="Compact"/>
              <w:jc w:val="center"/>
            </w:pPr>
            <w:r>
              <w:rPr>
                <w:b w:val="0"/>
              </w:rPr>
              <w:t xml:space="preserve">58.46</w:t>
            </w:r>
          </w:p>
        </w:tc>
        <w:tc>
          <w:tcPr>
            <w:tcW w:type="dxa" w:w="900"/>
          </w:tcPr>
          <w:p>
            <w:pPr>
              <w:pStyle w:val="Compact"/>
              <w:jc w:val="left"/>
            </w:pPr>
            <w:r>
              <w:rPr>
                <w:b w:val="0"/>
              </w:rPr>
              <w:t xml:space="preserve">80.50</w:t>
            </w:r>
          </w:p>
        </w:tc>
        <w:tc>
          <w:tcPr>
            <w:tcW w:type="dxa" w:w="900"/>
          </w:tcPr>
          <w:p>
            <w:pPr>
              <w:pStyle w:val="Compact"/>
              <w:jc w:val="left"/>
            </w:pPr>
            <w:r>
              <w:rPr>
                <w:b w:val="0"/>
              </w:rPr>
              <w:t xml:space="preserve">74.30</w:t>
            </w:r>
          </w:p>
        </w:tc>
        <w:tc>
          <w:tcPr>
            <w:tcW w:type="dxa" w:w="900"/>
          </w:tcPr>
          <w:p>
            <w:pPr>
              <w:pStyle w:val="Compact"/>
              <w:jc w:val="left"/>
            </w:pPr>
            <w:r>
              <w:rPr>
                <w:b w:val="0"/>
              </w:rPr>
              <w:t xml:space="preserve">+15.84</w:t>
            </w:r>
          </w:p>
        </w:tc>
      </w:tr>
    </w:tbl>
    <w:p>
      <w:pPr>
        <w:numPr>
          <w:ilvl w:val="0"/>
          <w:numId w:val="0"/>
        </w:numPr>
        <w:pStyle w:val="Normal"/>
      </w:pPr>
      <w:r>
        <w:t xml:space="preserve">En conjunto, 20 946 de los 32 201 falsos positivos de estas cuarenta y dos configuraciones (65,0 %) proceden de la categoría no anotada. La cifra no coincide con el 66,0 % que da §3.3 porque cubre una población distinta: esta tabla incluye configuraciones que el estudio no publica, entre ellas corridas después sustituidas por inválidas. Ambas son ciertas sobre lo que dicen medir. El mejor modelo local sobre este corpus, </w:t>
      </w:r>
      <w:r>
        <w:t xml:space="preserve">gemma4:31b-mlx</w:t>
      </w:r>
      <w:r>
        <w:t xml:space="preserve">, pasa de 62,67 % a 76,55 % de F1 y supera el umbral</w:t>
      </w:r>
      <w:r>
        <w:rPr>
          <w:b/>
        </w:rPr>
        <w:t xml:space="preserve"/>
      </w:r>
      <w:r>
        <w:t xml:space="preserve"> de 70 % que fija la hipótesis sobre material periodístico mayoritariamente en español. La variante en la nube del mismo modelo conserva su ventaja (80,42 % frente a 76,55 %), de modo que la corrección </w:t>
      </w:r>
      <w:r>
        <w:rPr>
          <w:b/>
        </w:rPr>
        <w:t xml:space="preserve">no</w:t>
      </w:r>
      <w:r>
        <w:t xml:space="preserve"> altera la conclusión sobre la comparación entre ejecución local y alojada.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line="228" w:lineRule="exact"/>
    </w:pPr>
    <w:name w:val="Normal"/>
    <w:qFormat/>
  </w:style>
  <w:style w:styleId="BodyText" w:type="paragraph">
    <w:name w:val="Body Text"/>
    <w:basedOn w:val="Normal"/>
    <w:link w:val="BodyTextChar"/>
    <w:qFormat/>
    <w:pPr>
      <w:spacing w:after="180" w:before="180" w:line="228" w:lineRule="exact"/>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6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0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22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spacing w:before="100" w:after="6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170" w:lineRule="exact"/>
    </w:pPr>
    <w:rPr>
      <w:sz w:val="14"/>
      <w:szCs w:val="1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2026-09-03T15:24:31Z</dcterms:created>
  <dcterms:modified xsi:type="dcterms:W3CDTF">2026-09-03T15:24:31Z</dcterms:modified>
</cp:coreProperties>
</file>

<file path=docProps/custom.xml><?xml version="1.0" encoding="utf-8"?>
<Properties xmlns="http://schemas.openxmlformats.org/officeDocument/2006/custom-properties" xmlns:vt="http://schemas.openxmlformats.org/officeDocument/2006/docPropsVTypes"/>
</file>