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Abstract"/>
      </w:pPr>
      <w:r>
        <w:t xml:space="preserve">Las instituciones financieras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en local mediante Ollama sobre Apple Silicon, con arquitectura pub/sub multihilo, concurrencia adaptativa (AIMD) y capa Factory/Facade. La validación comparó trece modelos sobre 120 artículos, 105 en español, y 30 del dominio en inglés; contrastó la extracción directa con la generación aumentada por recuperación (RAG) contextual y midió las diferencias con ANOVA y Tukey HSD. El beneficio del RAG decrece con la capacidad del modelo: solo alcanza significancia en dos de los trece (+14,5 y +10,8 puntos de F1) y es nulo o adverso en los mayores. Redactar el prompt en español con ejemplos </w:t>
      </w:r>
      <w:r>
        <w:rPr>
          <w:i/>
        </w:rPr>
        <w:t>few-shot</w:t>
      </w:r>
      <w:r>
        <w:t xml:space="preserve"> aporta +10,4 puntos en el corpus de quince artículos, mejora que no replica sobre el corpus mayor. Restringida la medición a las categorías que el corpus anota, el mejor modelo local alcanza 76,55 % de F1 en español y 90,16 % en el dominio, preservando la confidencialidad.</w:t>
      </w:r>
    </w:p>
    <w:p>
      <w:pPr>
        <w:numPr>
          <w:ilvl w:val="0"/>
          <w:numId w:val="0"/>
        </w:numPr>
        <w:pStyle w:val="Abstract"/>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locally through Ollama on Apple Silicon hardware, with a multithreaded pub/sub architecture, adaptive concurrency control (AIMD) and a Factory/Facade layer. Validation compared thirteen models on 120 articles, 105 in Spanish, and 30 domain ones in English; contrasted direct extraction with contextual retrieval-augmented generation (RAG) and measured the differences with ANOVA and Tukey HSD. The benefit of RAG decreases with model capacity: it reaches significance in only two of the thirteen (+14.5 and +10.8 F1 points) and is null or adverse in the larger ones. Writing the prompt in Spanish with </w:t>
      </w:r>
      <w:r>
        <w:rPr>
          <w:i/>
        </w:rPr>
        <w:t>few-shot</w:t>
      </w:r>
      <w:r>
        <w:t xml:space="preserve"> examples yields +10.4 points on the fifteen-article corpus, an improvement that does not replicate on the larger corpus. With scoring restricted to the categories the corpus annotates, the best local model reaches 76.55 % F1 in Spanish and 90.16 % on the domain corpus, preserving confidentiality.</w:t>
      </w:r>
    </w:p>
    <w:p>
      <w:pPr>
        <w:numPr>
          <w:ilvl w:val="0"/>
          <w:numId w:val="0"/>
        </w:numPr>
        <w:pStyle w:val="Abstract"/>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w:t>
      </w:r>
    </w:p>
    <w:p>
      <w:pPr>
        <w:numPr>
          <w:ilvl w:val="0"/>
          <w:numId w:val="0"/>
        </w:numPr>
        <w:pStyle w:val="BodyText"/>
      </w:pPr>
      <w:r>
        <w:t>Conclusiones y Trabajo Futuro</w:t>
      </w:r>
    </w:p>
    <w:p>
      <w:pPr>
        <w:numPr>
          <w:ilvl w:val="0"/>
          <w:numId w:val="0"/>
        </w:numPr>
        <w:pStyle w:val="BodyText"/>
      </w:pPr>
      <w:r>
        <w:t>Referencias Bibliográficas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[22]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estimado a partir del proceso vigente en Austranet, asciende a unos USD 8,75 por artículo analizado (el detalle del cálculo se expone en §5.5). A nivel global, según Verified Market Research el mercado de RegTech se valoró en USD 15,68 mil millones en 2020 y se proyecta que alcance USD 87,17 mil millones hacia 2028, con una CAGR del 23,92 % durante 2021-2028, evidenciando la urgencia de soluciones automatizadas y escalables [21].</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[2] alcanzan el mejor desempeño publicado [7], [15], pero requieren miles de ejemplos etiquetados en el dominio objetivo, inexistentes en español para cumplimiento financiero.</w:t>
      </w:r>
    </w:p>
    <w:p>
      <w:pPr>
        <w:numPr>
          <w:ilvl w:val="0"/>
          <w:numId w:val="0"/>
        </w:numPr>
        <w:pStyle w:val="Normal"/>
      </w:pPr>
      <w:r>
        <w:t>La brecha que este trabajo aborda se sitúa precisamente en esa intersección vacía: obtener un desempeño aprovechable sin datos etiquetados del dominio y sin ceder los datos a un tercero.</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en inglés y de noticias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BodyText"/>
      </w:pPr>
      <w:r>
        <w:t xml:space="preserve">Ejecutar una comparación sistemática de cuatro configuraciones de prompt (zero-shot/few-shot × inglés/español) (un diseño factorial 2×2, habitualmente llamado </w:t>
      </w:r>
      <w:r>
        <w:rPr>
          <w:i/>
        </w:rPr>
        <w:t>ablation study</w:t>
      </w:r>
      <w:r>
        <w:t xml:space="preserve"> en la bibliografía en inglés)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[10], [17]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[24]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[23]) constituyen el estado del arte académico. Partiendo de un modelo pre-entrenado, un ajuste fino alcanza 88,43 % de F1 en español sobre CoNLL-2002 con un codificador monolingüe [7], y 82,1 % de micro-F1 sobre FiNER-139, un corpus financiero en inglés cuya tarea es etiquetar magnitudes según la taxonomía XBRL y no identificar personas y organizaciones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Familias de técnicas para el reconocimiento de entidades y su comportamiento frente a los criterios de selección.</w:t>
      </w:r>
    </w:p>
    <w:tbl>
      <w:tblPr>
        <w:tblStyle w:val="Table"/>
        <w:tblW w:type="pct" w:w="5000"/>
        <w:tblLayout w:type="fixed"/>
        <w:tblLook w:firstRow="1" w:lastRow="0" w:firstColumn="0" w:lastColumn="0" w:noHBand="0" w:noVBand="0" w:val="0020"/>
      </w:tblPr>
      <w:tblGrid>
        <w:gridCol w:w="1940"/>
        <w:gridCol w:w="2011"/>
        <w:gridCol w:w="2443"/>
        <w:gridCol w:w="2444"/>
      </w:tblGrid>
      <w:tr>
        <w:trPr>
          <w:tblHeader w:val="on"/>
        </w:trPr>
        <w:tc>
          <w:tcPr>
            <w:tcW w:type="dxa" w:w="1940"/>
          </w:tcPr>
          <w:p>
            <w:pPr>
              <w:pStyle w:val="Compact"/>
              <w:jc w:val="left"/>
            </w:pPr>
            <w:r>
              <w:rPr>
                <w:b/>
              </w:rPr>
              <w:t>Familia</w:t>
            </w:r>
          </w:p>
        </w:tc>
        <w:tc>
          <w:tcPr>
            <w:tcW w:type="dxa" w:w="2011"/>
          </w:tcPr>
          <w:p>
            <w:pPr>
              <w:pStyle w:val="Compact"/>
              <w:jc w:val="left"/>
            </w:pPr>
            <w:r>
              <w:rPr>
                <w:b/>
              </w:rPr>
              <w:t>Datos etiquetados requeridos</w:t>
            </w:r>
          </w:p>
        </w:tc>
        <w:tc>
          <w:tcPr>
            <w:tcW w:type="dxa" w:w="2443"/>
          </w:tcPr>
          <w:p>
            <w:pPr>
              <w:pStyle w:val="Compact"/>
              <w:jc w:val="left"/>
            </w:pPr>
            <w:r>
              <w:rPr>
                <w:b/>
              </w:rPr>
              <w:t>Adaptación a dominio nuevo</w:t>
            </w:r>
          </w:p>
        </w:tc>
        <w:tc>
          <w:tcPr>
            <w:tcW w:type="dxa" w:w="2444"/>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BodyText"/>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extremo que este trabajo comprueba empíricamente en §5.6,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[5], [9],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[30],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[30] ofrece el motor de inferencia cuantizada de referencia pero exige gestión manual de modelos; </w:t>
      </w:r>
      <w:r>
        <w:rPr>
          <w:b/>
        </w:rPr>
        <w:t>vLLM</w:t>
      </w:r>
      <w:r>
        <w:t xml:space="preserve"> [28]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[31] aprovecha específicamente la memoria unificada de Apple Silicon; y </w:t>
      </w:r>
      <w:r>
        <w:rPr>
          <w:b/>
        </w:rPr>
        <w:t>Ollama</w:t>
      </w:r>
      <w:r>
        <w:t xml:space="preserve"> [29]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Validación estadística de comparaciones múltiples</w:t>
      </w:r>
    </w:p>
    <w:p>
      <w:pPr>
        <w:numPr>
          <w:ilvl w:val="0"/>
          <w:numId w:val="0"/>
        </w:numPr>
        <w:pStyle w:val="BodyText"/>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[25]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2.5 Estado del arte y criterios de selección</w:t>
      </w:r>
    </w:p>
    <w:p>
      <w:pPr>
        <w:numPr>
          <w:ilvl w:val="0"/>
          <w:numId w:val="0"/>
        </w:numPr>
        <w:pStyle w:val="BodyText"/>
      </w:pPr>
      <w:r>
        <w:t>La Tabla 2 posiciona este trabajo respecto de investigaciones recientes en NER para dominios financieros y regulatorios.</w:t>
      </w:r>
    </w:p>
    <w:p>
      <w:pPr>
        <w:numPr>
          <w:ilvl w:val="0"/>
          <w:numId w:val="0"/>
        </w:numPr>
        <w:pStyle w:val="TableCaption"/>
      </w:pPr>
      <w:r>
        <w:t>Tabla 2. Estado del arte en reconocimiento de entidades para dominios financieros y regulatorios.</w:t>
      </w:r>
    </w:p>
    <w:tbl>
      <w:tblPr>
        <w:tblStyle w:val="Table"/>
        <w:tblW w:type="pct" w:w="5000"/>
        <w:tblLayout w:type="fixed"/>
        <w:tblLook w:firstRow="1" w:lastRow="0" w:firstColumn="0" w:lastColumn="0" w:noHBand="0" w:noVBand="0" w:val="0020"/>
      </w:tblPr>
      <w:tblGrid>
        <w:gridCol w:w="1295"/>
        <w:gridCol w:w="2376"/>
        <w:gridCol w:w="1523"/>
        <w:gridCol w:w="1447"/>
        <w:gridCol w:w="900"/>
        <w:gridCol w:w="1297"/>
      </w:tblGrid>
      <w:tr>
        <w:trPr>
          <w:tblHeader w:val="on"/>
        </w:trPr>
        <w:tc>
          <w:tcPr>
            <w:tcW w:type="dxa" w:w="1295"/>
          </w:tcPr>
          <w:p>
            <w:pPr>
              <w:pStyle w:val="Compact"/>
              <w:jc w:val="left"/>
            </w:pPr>
            <w:r>
              <w:rPr>
                <w:b/>
              </w:rPr>
              <w:t>Trabajo</w:t>
            </w:r>
          </w:p>
        </w:tc>
        <w:tc>
          <w:tcPr>
            <w:tcW w:type="dxa" w:w="2376"/>
          </w:tcPr>
          <w:p>
            <w:pPr>
              <w:pStyle w:val="Compact"/>
              <w:jc w:val="left"/>
            </w:pPr>
            <w:r>
              <w:rPr>
                <w:b/>
              </w:rPr>
              <w:t>Dataset</w:t>
            </w:r>
          </w:p>
        </w:tc>
        <w:tc>
          <w:tcPr>
            <w:tcW w:type="dxa" w:w="1523"/>
          </w:tcPr>
          <w:p>
            <w:pPr>
              <w:pStyle w:val="Compact"/>
              <w:jc w:val="left"/>
            </w:pPr>
            <w:r>
              <w:rPr>
                <w:b/>
              </w:rPr>
              <w:t>Modelo</w:t>
            </w:r>
          </w:p>
        </w:tc>
        <w:tc>
          <w:tcPr>
            <w:tcW w:type="dxa" w:w="1447"/>
          </w:tcPr>
          <w:p>
            <w:pPr>
              <w:pStyle w:val="Compact"/>
              <w:jc w:val="center"/>
            </w:pPr>
            <w:r>
              <w:rPr>
                <w:b/>
              </w:rPr>
              <w:t>Desempeño publicado</w:t>
            </w:r>
          </w:p>
        </w:tc>
        <w:tc>
          <w:tcPr>
            <w:tcW w:type="dxa" w:w="900"/>
          </w:tcPr>
          <w:p>
            <w:pPr>
              <w:pStyle w:val="Compact"/>
              <w:jc w:val="center"/>
            </w:pPr>
            <w:r>
              <w:rPr>
                <w:b/>
              </w:rPr>
              <w:t>Privacidad</w:t>
            </w:r>
          </w:p>
        </w:tc>
        <w:tc>
          <w:tcPr>
            <w:tcW w:type="dxa" w:w="1297"/>
          </w:tcPr>
          <w:p>
            <w:pPr>
              <w:pStyle w:val="Compact"/>
              <w:jc w:val="left"/>
            </w:pPr>
            <w:r>
              <w:rPr>
                <w:b/>
              </w:rPr>
              <w:t>Idioma</w:t>
            </w:r>
          </w:p>
        </w:tc>
      </w:tr>
      <w:tr>
        <w:tc>
          <w:tcPr>
            <w:tcW w:type="dxa" w:w="1295"/>
          </w:tcPr>
          <w:p>
            <w:pPr>
              <w:pStyle w:val="Compact"/>
              <w:jc w:val="left"/>
            </w:pPr>
            <w:r>
              <w:rPr>
                <w:b w:val="0"/>
              </w:rPr>
              <w:t>BloombergGPT [3]</w:t>
            </w:r>
          </w:p>
        </w:tc>
        <w:tc>
          <w:tcPr>
            <w:tcW w:type="dxa" w:w="2376"/>
          </w:tcPr>
          <w:p>
            <w:pPr>
              <w:pStyle w:val="Compact"/>
              <w:jc w:val="left"/>
            </w:pPr>
            <w:r>
              <w:rPr>
                <w:b w:val="0"/>
              </w:rPr>
              <w:t>Corpus financiero propio</w:t>
            </w:r>
          </w:p>
        </w:tc>
        <w:tc>
          <w:tcPr>
            <w:tcW w:type="dxa" w:w="1523"/>
          </w:tcPr>
          <w:p>
            <w:pPr>
              <w:pStyle w:val="Compact"/>
              <w:jc w:val="left"/>
            </w:pPr>
            <w:r>
              <w:rPr>
                <w:b w:val="0"/>
              </w:rPr>
              <w:t>BLOOM 50B + dominio</w:t>
            </w:r>
          </w:p>
        </w:tc>
        <w:tc>
          <w:tcPr>
            <w:tcW w:type="dxa" w:w="1447"/>
          </w:tcPr>
          <w:p>
            <w:pPr>
              <w:pStyle w:val="Compact"/>
              <w:jc w:val="center"/>
            </w:pPr>
            <w:r>
              <w:rPr>
                <w:b w:val="0"/>
              </w:rPr>
              <w:t>53,6-75,5 % F1</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val="0"/>
              </w:rPr>
              <w:t>FiNER-139 [15]</w:t>
            </w:r>
          </w:p>
        </w:tc>
        <w:tc>
          <w:tcPr>
            <w:tcW w:type="dxa" w:w="2376"/>
          </w:tcPr>
          <w:p>
            <w:pPr>
              <w:pStyle w:val="Compact"/>
              <w:jc w:val="left"/>
            </w:pPr>
            <w:r>
              <w:rPr>
                <w:b w:val="0"/>
              </w:rPr>
              <w:t>SEC 10-K/10-Q (etiquetado XBRL)</w:t>
            </w:r>
          </w:p>
        </w:tc>
        <w:tc>
          <w:tcPr>
            <w:tcW w:type="dxa" w:w="1523"/>
          </w:tcPr>
          <w:p>
            <w:pPr>
              <w:pStyle w:val="Compact"/>
              <w:jc w:val="left"/>
            </w:pPr>
            <w:r>
              <w:rPr>
                <w:b w:val="0"/>
              </w:rPr>
              <w:t>SEC-BERT-SHAPE</w:t>
            </w:r>
          </w:p>
        </w:tc>
        <w:tc>
          <w:tcPr>
            <w:tcW w:type="dxa" w:w="1447"/>
          </w:tcPr>
          <w:p>
            <w:pPr>
              <w:pStyle w:val="Compact"/>
              <w:jc w:val="center"/>
            </w:pPr>
            <w:r>
              <w:rPr>
                <w:b w:val="0"/>
              </w:rPr>
              <w:t>82,1 % micro-F1</w:t>
            </w:r>
          </w:p>
        </w:tc>
        <w:tc>
          <w:tcPr>
            <w:tcW w:type="dxa" w:w="900"/>
          </w:tcPr>
          <w:p>
            <w:pPr>
              <w:pStyle w:val="Compact"/>
              <w:jc w:val="center"/>
            </w:pPr>
            <w:r>
              <w:rPr>
                <w:b w:val="0"/>
              </w:rPr>
              <w:t>Local</w:t>
            </w:r>
          </w:p>
        </w:tc>
        <w:tc>
          <w:tcPr>
            <w:tcW w:type="dxa" w:w="1297"/>
          </w:tcPr>
          <w:p>
            <w:pPr>
              <w:pStyle w:val="Compact"/>
              <w:jc w:val="left"/>
            </w:pPr>
            <w:r>
              <w:rPr>
                <w:b w:val="0"/>
              </w:rPr>
              <w:t>Inglés</w:t>
            </w:r>
          </w:p>
        </w:tc>
      </w:tr>
      <w:tr>
        <w:tc>
          <w:tcPr>
            <w:tcW w:type="dxa" w:w="1295"/>
          </w:tcPr>
          <w:p>
            <w:pPr>
              <w:pStyle w:val="Compact"/>
              <w:jc w:val="left"/>
            </w:pPr>
            <w:r>
              <w:rPr>
                <w:b w:val="0"/>
              </w:rPr>
              <w:t>Cañete et al. [7]</w:t>
            </w:r>
          </w:p>
        </w:tc>
        <w:tc>
          <w:tcPr>
            <w:tcW w:type="dxa" w:w="2376"/>
          </w:tcPr>
          <w:p>
            <w:pPr>
              <w:pStyle w:val="Compact"/>
              <w:jc w:val="left"/>
            </w:pPr>
            <w:r>
              <w:rPr>
                <w:b w:val="0"/>
              </w:rPr>
              <w:t>CoNLL-2002 (ES)</w:t>
            </w:r>
          </w:p>
        </w:tc>
        <w:tc>
          <w:tcPr>
            <w:tcW w:type="dxa" w:w="1523"/>
          </w:tcPr>
          <w:p>
            <w:pPr>
              <w:pStyle w:val="Compact"/>
              <w:jc w:val="left"/>
            </w:pPr>
            <w:r>
              <w:rPr>
                <w:b w:val="0"/>
              </w:rPr>
              <w:t>BETO (BERT español)</w:t>
            </w:r>
          </w:p>
        </w:tc>
        <w:tc>
          <w:tcPr>
            <w:tcW w:type="dxa" w:w="1447"/>
          </w:tcPr>
          <w:p>
            <w:pPr>
              <w:pStyle w:val="Compact"/>
              <w:jc w:val="center"/>
            </w:pPr>
            <w:r>
              <w:rPr>
                <w:b w:val="0"/>
              </w:rPr>
              <w:t>88,43 % F1</w:t>
            </w:r>
          </w:p>
        </w:tc>
        <w:tc>
          <w:tcPr>
            <w:tcW w:type="dxa" w:w="900"/>
          </w:tcPr>
          <w:p>
            <w:pPr>
              <w:pStyle w:val="Compact"/>
              <w:jc w:val="center"/>
            </w:pPr>
            <w:r>
              <w:rPr>
                <w:b w:val="0"/>
              </w:rPr>
              <w:t>Local</w:t>
            </w:r>
          </w:p>
        </w:tc>
        <w:tc>
          <w:tcPr>
            <w:tcW w:type="dxa" w:w="1297"/>
          </w:tcPr>
          <w:p>
            <w:pPr>
              <w:pStyle w:val="Compact"/>
              <w:jc w:val="left"/>
            </w:pPr>
            <w:r>
              <w:rPr>
                <w:b w:val="0"/>
              </w:rPr>
              <w:t>Español</w:t>
            </w:r>
          </w:p>
        </w:tc>
      </w:tr>
      <w:tr>
        <w:tc>
          <w:tcPr>
            <w:tcW w:type="dxa" w:w="1295"/>
          </w:tcPr>
          <w:p>
            <w:pPr>
              <w:pStyle w:val="Compact"/>
              <w:jc w:val="left"/>
            </w:pPr>
            <w:r>
              <w:rPr>
                <w:b w:val="0"/>
              </w:rPr>
              <w:t>FinanceBench [9]</w:t>
            </w:r>
          </w:p>
        </w:tc>
        <w:tc>
          <w:tcPr>
            <w:tcW w:type="dxa" w:w="2376"/>
          </w:tcPr>
          <w:p>
            <w:pPr>
              <w:pStyle w:val="Compact"/>
              <w:jc w:val="left"/>
            </w:pPr>
            <w:r>
              <w:rPr>
                <w:b w:val="0"/>
              </w:rPr>
              <w:t>361 informes SEC</w:t>
            </w:r>
          </w:p>
        </w:tc>
        <w:tc>
          <w:tcPr>
            <w:tcW w:type="dxa" w:w="1523"/>
          </w:tcPr>
          <w:p>
            <w:pPr>
              <w:pStyle w:val="Compact"/>
              <w:jc w:val="left"/>
            </w:pPr>
            <w:r>
              <w:rPr>
                <w:b w:val="0"/>
              </w:rPr>
              <w:t>GPT-4-Turbo + RAG</w:t>
            </w:r>
          </w:p>
        </w:tc>
        <w:tc>
          <w:tcPr>
            <w:tcW w:type="dxa" w:w="1447"/>
          </w:tcPr>
          <w:p>
            <w:pPr>
              <w:pStyle w:val="Compact"/>
              <w:jc w:val="center"/>
            </w:pPr>
            <w:r>
              <w:rPr>
                <w:b w:val="0"/>
              </w:rPr>
              <w:t>50 % exactitud</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rPr>
              <w:t>Este trabajo</w:t>
            </w:r>
          </w:p>
        </w:tc>
        <w:tc>
          <w:tcPr>
            <w:tcW w:type="dxa" w:w="2376"/>
          </w:tcPr>
          <w:p>
            <w:pPr>
              <w:pStyle w:val="Compact"/>
              <w:jc w:val="left"/>
            </w:pPr>
            <w:r>
              <w:rPr>
                <w:b/>
              </w:rPr>
              <w:t>CoNLL-2002 y Kleptotrace (N=120)</w:t>
            </w:r>
          </w:p>
        </w:tc>
        <w:tc>
          <w:tcPr>
            <w:tcW w:type="dxa" w:w="1523"/>
          </w:tcPr>
          <w:p>
            <w:pPr>
              <w:pStyle w:val="Compact"/>
              <w:jc w:val="left"/>
            </w:pPr>
            <w:r>
              <w:rPr>
                <w:b/>
              </w:rPr>
              <w:t>gemma4:31b-mlx local</w:t>
            </w:r>
          </w:p>
        </w:tc>
        <w:tc>
          <w:tcPr>
            <w:tcW w:type="dxa" w:w="1447"/>
          </w:tcPr>
          <w:p>
            <w:pPr>
              <w:pStyle w:val="Compact"/>
              <w:jc w:val="center"/>
            </w:pPr>
            <w:r>
              <w:rPr>
                <w:b/>
              </w:rPr>
              <w:t xml:space="preserve">76,55 % F1</w:t>
            </w:r>
          </w:p>
        </w:tc>
        <w:tc>
          <w:tcPr>
            <w:tcW w:type="dxa" w:w="900"/>
          </w:tcPr>
          <w:p>
            <w:pPr>
              <w:pStyle w:val="Compact"/>
              <w:jc w:val="center"/>
            </w:pPr>
            <w:r>
              <w:rPr>
                <w:b/>
              </w:rPr>
              <w:t>100 % Local</w:t>
            </w:r>
          </w:p>
        </w:tc>
        <w:tc>
          <w:tcPr>
            <w:tcW w:type="dxa" w:w="1297"/>
          </w:tcPr>
          <w:p>
            <w:pPr>
              <w:pStyle w:val="Compact"/>
              <w:jc w:val="left"/>
            </w:pPr>
            <w:r>
              <w:rPr>
                <w:b/>
              </w:rPr>
              <w:t>Español (105/120)</w:t>
            </w:r>
          </w:p>
        </w:tc>
      </w:tr>
    </w:tbl>
    <w:p>
      <w:pPr>
        <w:numPr>
          <w:ilvl w:val="0"/>
          <w:numId w:val="0"/>
        </w:numPr>
        <w:pStyle w:val="Normal"/>
      </w:pPr>
      <w:r>
        <w:t>Las cifras de la última columna no son directamente comparables entre sí, porque cada trabajo mide una tarea distinta: FiNER-139 etiqueta magnitudes numéricas según la taxonomía XBRL y FinanceBench evalúa exactitud de respuesta sobre preguntas abiertas, no identificación de personas y organizaciones. Aun así, 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BodyText"/>
      </w:pPr>
      <w:r>
        <w:t>El sistema se organiza en cinco capas funcionales con responsabilidades separadas, así que cada una pueda evolucionar sin arrastrar a las demás.</w:t>
      </w:r>
    </w:p>
    <w:p>
      <w:pPr>
        <w:numPr>
          <w:ilvl w:val="0"/>
          <w:numId w:val="0"/>
        </w:numPr>
        <w:pStyle w:val="TableCaption"/>
      </w:pPr>
      <w:r>
        <w:t>Tabla 3. Arquitectura del sistema por capas, con sus módulos y su detalle técnico.</w:t>
      </w:r>
    </w:p>
    <w:tbl>
      <w:tblPr>
        <w:tblStyle w:val="Table"/>
        <w:tblW w:type="pct" w:w="5000"/>
        <w:tblLayout w:type="fixed"/>
        <w:tblLook w:firstRow="1" w:lastRow="0" w:firstColumn="0" w:lastColumn="0" w:noHBand="0" w:noVBand="0" w:val="0020"/>
      </w:tblPr>
      <w:tblGrid>
        <w:gridCol w:w="1988"/>
        <w:gridCol w:w="3093"/>
        <w:gridCol w:w="3757"/>
      </w:tblGrid>
      <w:tr>
        <w:trPr>
          <w:tblHeader w:val="on"/>
        </w:trPr>
        <w:tc>
          <w:tcPr>
            <w:tcW w:type="dxa" w:w="1988"/>
          </w:tcPr>
          <w:p>
            <w:pPr>
              <w:pStyle w:val="Compact"/>
              <w:jc w:val="left"/>
            </w:pPr>
            <w:r>
              <w:rPr>
                <w:b/>
              </w:rPr>
              <w:t>Capa</w:t>
            </w:r>
          </w:p>
        </w:tc>
        <w:tc>
          <w:tcPr>
            <w:tcW w:type="dxa" w:w="3093"/>
          </w:tcPr>
          <w:p>
            <w:pPr>
              <w:pStyle w:val="Compact"/>
              <w:jc w:val="left"/>
            </w:pPr>
            <w:r>
              <w:rPr>
                <w:b/>
              </w:rPr>
              <w:t>Módulo(s)</w:t>
            </w:r>
          </w:p>
        </w:tc>
        <w:tc>
          <w:tcPr>
            <w:tcW w:type="dxa" w:w="3757"/>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Normal"/>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un controlador </w:t>
      </w:r>
      <w:r>
        <w:rPr>
          <w:b/>
        </w:rPr>
        <w:t>AIMD</w:t>
      </w:r>
      <w:r>
        <w:t xml:space="preserve"> (</w:t>
      </w:r>
      <w:r>
        <w:rPr>
          <w:i/>
        </w:rPr>
        <w:t>Additive Increase, Multiplicative Decrease</w:t>
      </w:r>
      <w:r>
        <w:t>), política tomada del control de congestión en redes [26].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La asimetría entre el aumento prudente y el recorte agresivo es deliberada, pues el coste de saturar un servicio de inferencia (reintentos, respuestas truncadas, penalización por cuota) excede con mucho al de infrautilizarlo.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pero no reduce el footprint de uno solo, y esa distinción resultó decisiva. macOS expone en </w:t>
      </w:r>
      <w:r>
        <w:t>recommendedMaxWorkingSetSize</w:t>
      </w:r>
      <w:r>
        <w:t xml:space="preserve"> [36] el techo de memoria que la GPU puede ocupar sin degradar el rendimiento; medido sobre los equipos de prueba equivale al 75 % de la memoria unificada,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emparejamiento difuso a nivel de caracteres, implementado con la función </w:t>
      </w:r>
      <w:r>
        <w:t>ratio</w:t>
      </w:r>
      <w:r>
        <w:t xml:space="preserve"> de la biblioteca </w:t>
      </w:r>
      <w:r>
        <w:rPr>
          <w:i/>
        </w:rPr>
        <w:t>rapidfuzz</w:t>
      </w:r>
      <w:r>
        <w:t xml:space="preserve"> [33], que normaliza la </w:t>
      </w:r>
      <w:r>
        <w:rPr>
          <w:b/>
        </w:rPr>
        <w:t>distancia de Indel</w:t>
      </w:r>
      <w:r>
        <w:t xml:space="preserve"> —el número mínimo de inserciones y supresiones necesarias para transformar una cadena en la otra, variante de la distancia de Levenshtein que excluye las sustituciones—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Normal"/>
      </w:pPr>
      <w:r>
        <w:t xml:space="preserve">Un tercer límite, de naturaleza distinta a los anteriores porque no procede del cotejo sino del diseño, afecta a la comparabilidad de las cifras absolutas. Los prompts del sistema solicitan tres categorías de entidad, personas, organizaciones y localizaciones, mientras que los tres corpus anotan únicamente las dos primeras: el campo de localizaciones está vacío en los ciento veinte registros. Como el evaluador puntúa las tres categorías, toda localización que el modelo devuelve se contabiliza como falso positivo, sin que exista ninguna forma de acertar en ella. El efecto no es menor: </w:t>
      </w:r>
      <w:r>
        <w:t xml:space="preserve">el </w:t>
      </w:r>
      <w:r>
        <w:rPr>
          <w:b/>
        </w:rPr>
        <w:t xml:space="preserve">66,0 %</w:t>
      </w:r>
      <w:r>
        <w:t xml:space="preserve"> de los falsos positivos del estudio, 12 852 de 19 464, proceden de esa categoría</w:t>
      </w:r>
      <w:r>
        <w:t xml:space="preserve">. Conviene subrayar que se trata de una penalización exclusivamente de precisión, porque al no haber localizaciones anotadas tampoco puede haber omisiones: la exhaustividad no varía en ninguna configuración. Por esa razón este informe acompaña cada resultado de una segunda medición, </w:t>
      </w:r>
      <w:r>
        <w:rPr>
          <w:b/>
        </w:rPr>
        <w:t>restringida a las categorías que el corpus efectivamente anota</w:t>
      </w:r>
      <w:r>
        <w:t>, que se obtiene reagregando los desgloses por tipo ya almacenados y no requiere repetir la inferencia. Las cifras originales se conservan íntegras junto a ella, de modo que el lector pueda juzgar el alcance de la corrección; la Tabla del Anexo I recoge ambas para las cuarenta y nueve configuraciones medidas sobre el corpus N=120.</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dos corpus complementarios:</w:t>
      </w:r>
    </w:p>
    <w:p>
      <w:pPr>
        <w:numPr>
          <w:ilvl w:val="0"/>
          <w:numId w:val="0"/>
        </w:numPr>
        <w:pStyle w:val="Normal"/>
      </w:pPr>
      <w:r>
        <w:t xml:space="preserve">Corpus 1 — Kleptotrace/CoNLL-2002 (N=15, Gold Standard) [18], [12]: 15 artículos periodísticos reales del conjunto </w:t>
      </w:r>
      <w:r>
        <w:rPr>
          <w:i/>
        </w:rPr>
        <w:t>Kleptotrace-micro-dataset</w:t>
      </w:r>
      <w:r>
        <w:t xml:space="preserve"> [18] sobre corrupción financiera, lavado de activos y sanciones internacionales, </w:t>
      </w:r>
      <w:r>
        <w:rPr>
          <w:b/>
        </w:rPr>
        <w:t>redactados en inglés</w:t>
      </w:r>
      <w:r>
        <w:t>. Anotados manualmente con entidades Personas (PER) y Organizaciones (ORG) como referencia; el corpus no anota localizaciones, lo que tiene consecuencias sobre la medición que se discuten en §3.3. Longitud promedio: ~4.833 caracteres por artículo (mediana 5.280; rango 725–8.813).</w:t>
      </w:r>
    </w:p>
    <w:p>
      <w:pPr>
        <w:numPr>
          <w:ilvl w:val="0"/>
          <w:numId w:val="0"/>
        </w:numPr>
        <w:pStyle w:val="Normal"/>
      </w:pPr>
      <w:r>
        <w:t xml:space="preserve">Corpus 2 — Kleptotrace/CoNLL-2002 Augmented (N=30, Corpus de Validación Estadística): 30 artículos breves </w:t>
      </w:r>
      <w:r>
        <w:rPr>
          <w:b/>
        </w:rPr>
        <w:t>en inglés</w:t>
      </w:r>
      <w:r>
        <w:t>,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BodyText"/>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la media muestral se aproxima a una distribución normal a medida que crece el número de observaciones independientes, y la práctica habitual sitúa en torno a treinta el tamaño a partir del cual esa aproximación se considera aceptable,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[19]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BodyText"/>
      </w:pPr>
      <w:r>
        <w:t xml:space="preserve">Tras la validación sobre el corpus sintético N=30 (§4.1.1–4.1.2), y como parte del cierre del proyecto (1 de septiembre de 2026, commit </w:t>
      </w:r>
      <w:r>
        <w:t>5ff38f5</w:t>
      </w:r>
      <w:r>
        <w:t xml:space="preserve">, </w:t>
      </w:r>
      <w:r>
        <w:rPr>
          <w:i/>
        </w:rPr>
        <w:t>"integrate balanced real dataset N=120"</w:t>
      </w:r>
      <w:r>
        <w:t>), se incorporó una tercera alternativa de corpus para reforzar la validez externa: en lugar de seguir aumentando el corpus por generación sintética, se amplió la base real combinando los 15 artículos Gold Standard de Kleptotrace/CoNLL-2002 [18] con 105 artículos reales del corpus público CoNLL-2002 en español [12]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BodyText"/>
      </w:pPr>
      <w:r>
        <w:t xml:space="preserve">El trabajo comprende dos conjuntos de evaluación que no hay que confundir. El benchmark exploratorio de la Tabla 4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4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BodyText"/>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habitualmente llamado </w:t>
      </w:r>
      <w:r>
        <w:rPr>
          <w:i/>
        </w:rPr>
        <w:t>ablation study</w:t>
      </w:r>
      <w:r>
        <w:t xml:space="preserve"> en la bibliografía en inglés. Las cuatro celdas son zero-shot en inglés, que actúa como referencia, zero-shot en español, few-shot en inglés y few-shot en español, empleando en los dos últimos tres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tres ejemplos empleados en la configuración few-shot en español cubren un caso de persona sancionada, uno de organización y uno de mención ambigua; se reproducen íntegros en el Anexo B.</w:t>
      </w:r>
    </w:p>
    <w:p>
      <w:pPr>
        <w:numPr>
          <w:ilvl w:val="0"/>
          <w:numId w:val="0"/>
        </w:numPr>
        <w:pStyle w:val="Normal"/>
      </w:pPr>
      <w:r>
        <w:t xml:space="preserve">Los resultados del análisis de variantes de prompts revelan una interacción entre los dos factores: por separado, la localización al español aporta +4.38 pp de F1 y los ejemplos </w:t>
      </w:r>
      <w:r>
        <w:rPr>
          <w:i/>
        </w:rPr>
        <w:t>few-shot</w:t>
      </w:r>
      <w:r>
        <w:t xml:space="preserve"> en inglés no aportan nada (−0.72 pp), pero su combinación alcanza +10.40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BodyText"/>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los segundos que tarda el sistema en procesar un artículo, pero no permite comparar modelos entre sí cuando las corridas usaron distinta concurrencia o distinto hardware, como ocurre en este estudio.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a nivel micro por artículo antes de promediarse entre artículos.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[29], scikit-learn [34], statsmodels [35],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4 presenta los resultados consolidados del benchmark completo agrupados por familia y tamaño de modelo:</w:t>
      </w:r>
    </w:p>
    <w:p>
      <w:pPr>
        <w:numPr>
          <w:ilvl w:val="0"/>
          <w:numId w:val="0"/>
        </w:numPr>
        <w:pStyle w:val="TableCaption"/>
      </w:pPr>
      <w:r>
        <w:t>Tabla 4. Benchmark exploratorio: doce modelos en trece configuraciones sobre el corpus de quince artículos (N=15).</w:t>
      </w:r>
    </w:p>
    <w:tbl>
      <w:tblPr>
        <w:tblStyle w:val="Table"/>
        <w:tblW w:type="pct" w:w="5000"/>
        <w:tblLayout w:type="fixed"/>
        <w:tblLook w:firstRow="1" w:lastRow="0" w:firstColumn="0" w:lastColumn="0" w:noHBand="0" w:noVBand="0" w:val="0020"/>
      </w:tblPr>
      <w:tblGrid>
        <w:gridCol w:w="1021"/>
        <w:gridCol w:w="900"/>
        <w:gridCol w:w="948"/>
        <w:gridCol w:w="900"/>
        <w:gridCol w:w="900"/>
        <w:gridCol w:w="900"/>
        <w:gridCol w:w="1232"/>
        <w:gridCol w:w="1137"/>
        <w:gridCol w:w="900"/>
      </w:tblGrid>
      <w:tr>
        <w:trPr>
          <w:tblHeader w:val="on"/>
        </w:trPr>
        <w:tc>
          <w:tcPr>
            <w:tcW w:type="dxa" w:w="1021"/>
          </w:tcPr>
          <w:p>
            <w:pPr>
              <w:pStyle w:val="Compact"/>
              <w:jc w:val="left"/>
            </w:pPr>
            <w:r>
              <w:rPr>
                <w:b/>
              </w:rPr>
              <w:t>Modelo</w:t>
            </w:r>
          </w:p>
        </w:tc>
        <w:tc>
          <w:tcPr>
            <w:tcW w:type="dxa" w:w="900"/>
          </w:tcPr>
          <w:p>
            <w:pPr>
              <w:pStyle w:val="Compact"/>
              <w:jc w:val="left"/>
            </w:pPr>
            <w:r>
              <w:rPr>
                <w:b/>
              </w:rPr>
              <w:t>Tipo</w:t>
            </w:r>
          </w:p>
        </w:tc>
        <w:tc>
          <w:tcPr>
            <w:tcW w:type="dxa" w:w="948"/>
          </w:tcPr>
          <w:p>
            <w:pPr>
              <w:pStyle w:val="Compact"/>
              <w:jc w:val="left"/>
            </w:pPr>
            <w:r>
              <w:rPr>
                <w:b/>
              </w:rPr>
              <w:t>Parámetros</w:t>
            </w:r>
          </w:p>
        </w:tc>
        <w:tc>
          <w:tcPr>
            <w:tcW w:type="dxa" w:w="900"/>
          </w:tcPr>
          <w:p>
            <w:pPr>
              <w:pStyle w:val="Compact"/>
              <w:jc w:val="center"/>
            </w:pPr>
            <w:r>
              <w:rPr>
                <w:b/>
              </w:rPr>
              <w:t>F1</w:t>
            </w:r>
          </w:p>
        </w:tc>
        <w:tc>
          <w:tcPr>
            <w:tcW w:type="dxa" w:w="900"/>
          </w:tcPr>
          <w:p>
            <w:pPr>
              <w:pStyle w:val="Compact"/>
              <w:jc w:val="center"/>
            </w:pPr>
            <w:r>
              <w:rPr>
                <w:b/>
              </w:rPr>
              <w:t>Precisión</w:t>
            </w:r>
          </w:p>
        </w:tc>
        <w:tc>
          <w:tcPr>
            <w:tcW w:type="dxa" w:w="900"/>
          </w:tcPr>
          <w:p>
            <w:pPr>
              <w:pStyle w:val="Compact"/>
              <w:jc w:val="left"/>
            </w:pPr>
            <w:r>
              <w:rPr>
                <w:b/>
              </w:rPr>
              <w:t>Recall</w:t>
            </w:r>
          </w:p>
        </w:tc>
        <w:tc>
          <w:tcPr>
            <w:tcW w:type="dxa" w:w="1232"/>
          </w:tcPr>
          <w:p>
            <w:pPr>
              <w:pStyle w:val="Compact"/>
              <w:jc w:val="left"/>
            </w:pPr>
            <w:r>
              <w:rPr>
                <w:b/>
              </w:rPr>
              <w:t>Hallucination</w:t>
            </w:r>
          </w:p>
        </w:tc>
        <w:tc>
          <w:tcPr>
            <w:tcW w:type="dxa" w:w="1137"/>
          </w:tcPr>
          <w:p>
            <w:pPr>
              <w:pStyle w:val="Compact"/>
              <w:jc w:val="left"/>
            </w:pPr>
            <w:r>
              <w:rPr>
                <w:b/>
              </w:rPr>
              <w:t>Latencia (s)</w:t>
            </w:r>
          </w:p>
        </w:tc>
        <w:tc>
          <w:tcPr>
            <w:tcW w:type="dxa" w:w="900"/>
          </w:tcPr>
          <w:p>
            <w:pPr>
              <w:pStyle w:val="Compact"/>
              <w:jc w:val="left"/>
            </w:pPr>
            <w:r>
              <w:rPr>
                <w:b/>
              </w:rPr>
              <w:t>Tok/s/B</w:t>
            </w:r>
          </w:p>
        </w:tc>
      </w:tr>
      <w:tr>
        <w:tc>
          <w:tcPr>
            <w:tcW w:type="dxa" w:w="1021"/>
          </w:tcPr>
          <w:p>
            <w:pPr>
              <w:pStyle w:val="Compact"/>
              <w:jc w:val="left"/>
            </w:pPr>
            <w:r>
              <w:rPr>
                <w:b w:val="0"/>
              </w:rPr>
              <w:t>gemma4:latest (FS-ES)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rPr>
              <w:t>74.44%</w:t>
            </w:r>
          </w:p>
        </w:tc>
        <w:tc>
          <w:tcPr>
            <w:tcW w:type="dxa" w:w="900"/>
          </w:tcPr>
          <w:p>
            <w:pPr>
              <w:pStyle w:val="Compact"/>
              <w:jc w:val="center"/>
            </w:pPr>
            <w:r>
              <w:rPr>
                <w:b w:val="0"/>
              </w:rPr>
              <w:t>66.78%</w:t>
            </w:r>
          </w:p>
        </w:tc>
        <w:tc>
          <w:tcPr>
            <w:tcW w:type="dxa" w:w="900"/>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900"/>
          </w:tcPr>
          <w:p>
            <w:pPr>
              <w:pStyle w:val="Compact"/>
              <w:jc w:val="left"/>
            </w:pPr>
            <w:r>
              <w:rPr>
                <w:b w:val="0"/>
              </w:rPr>
              <w:t xml:space="preserve">5.80</w:t>
            </w:r>
          </w:p>
        </w:tc>
      </w:tr>
      <w:tr>
        <w:tc>
          <w:tcPr>
            <w:tcW w:type="dxa" w:w="1021"/>
          </w:tcPr>
          <w:p>
            <w:pPr>
              <w:pStyle w:val="Compact"/>
              <w:jc w:val="left"/>
            </w:pPr>
            <w:r>
              <w:rPr>
                <w:b/>
              </w:rPr>
              <w:t>gemma4:31b</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69.12%</w:t>
            </w:r>
          </w:p>
        </w:tc>
        <w:tc>
          <w:tcPr>
            <w:tcW w:type="dxa" w:w="900"/>
          </w:tcPr>
          <w:p>
            <w:pPr>
              <w:pStyle w:val="Compact"/>
              <w:jc w:val="center"/>
            </w:pPr>
            <w:r>
              <w:rPr>
                <w:b w:val="0"/>
              </w:rPr>
              <w:t>58.83%</w:t>
            </w:r>
          </w:p>
        </w:tc>
        <w:tc>
          <w:tcPr>
            <w:tcW w:type="dxa" w:w="900"/>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900"/>
          </w:tcPr>
          <w:p>
            <w:pPr>
              <w:pStyle w:val="Compact"/>
              <w:jc w:val="left"/>
            </w:pPr>
            <w:r>
              <w:rPr>
                <w:b w:val="0"/>
              </w:rPr>
              <w:t>0.33</w:t>
            </w:r>
          </w:p>
        </w:tc>
      </w:tr>
      <w:tr>
        <w:tc>
          <w:tcPr>
            <w:tcW w:type="dxa" w:w="1021"/>
          </w:tcPr>
          <w:p>
            <w:pPr>
              <w:pStyle w:val="Compact"/>
              <w:jc w:val="left"/>
            </w:pPr>
            <w:r>
              <w:rPr>
                <w:b w:val="0"/>
              </w:rPr>
              <w:t>gemma4:31b-mlx</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68.52%</w:t>
            </w:r>
          </w:p>
        </w:tc>
        <w:tc>
          <w:tcPr>
            <w:tcW w:type="dxa" w:w="900"/>
          </w:tcPr>
          <w:p>
            <w:pPr>
              <w:pStyle w:val="Compact"/>
              <w:jc w:val="center"/>
            </w:pPr>
            <w:r>
              <w:rPr>
                <w:b w:val="0"/>
              </w:rPr>
              <w:t>58.31%</w:t>
            </w:r>
          </w:p>
        </w:tc>
        <w:tc>
          <w:tcPr>
            <w:tcW w:type="dxa" w:w="900"/>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900"/>
          </w:tcPr>
          <w:p>
            <w:pPr>
              <w:pStyle w:val="Compact"/>
              <w:jc w:val="left"/>
            </w:pPr>
            <w:r>
              <w:rPr>
                <w:b w:val="0"/>
              </w:rPr>
              <w:t>0.74</w:t>
            </w:r>
          </w:p>
        </w:tc>
      </w:tr>
      <w:tr>
        <w:tc>
          <w:tcPr>
            <w:tcW w:type="dxa" w:w="1021"/>
          </w:tcPr>
          <w:p>
            <w:pPr>
              <w:pStyle w:val="Compact"/>
              <w:jc w:val="left"/>
            </w:pPr>
            <w:r>
              <w:rPr>
                <w:b w:val="0"/>
              </w:rPr>
              <w:t>gemma4:latest (ZS-ES)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val="0"/>
              </w:rPr>
              <w:t>68.43%</w:t>
            </w:r>
          </w:p>
        </w:tc>
        <w:tc>
          <w:tcPr>
            <w:tcW w:type="dxa" w:w="900"/>
          </w:tcPr>
          <w:p>
            <w:pPr>
              <w:pStyle w:val="Compact"/>
              <w:jc w:val="center"/>
            </w:pPr>
            <w:r>
              <w:rPr>
                <w:b w:val="0"/>
              </w:rPr>
              <w:t>60.68%</w:t>
            </w:r>
          </w:p>
        </w:tc>
        <w:tc>
          <w:tcPr>
            <w:tcW w:type="dxa" w:w="900"/>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900"/>
          </w:tcPr>
          <w:p>
            <w:pPr>
              <w:pStyle w:val="Compact"/>
              <w:jc w:val="left"/>
            </w:pPr>
            <w:r>
              <w:rPr>
                <w:b w:val="0"/>
              </w:rPr>
              <w:t xml:space="preserve">5.80</w:t>
            </w:r>
          </w:p>
        </w:tc>
      </w:tr>
      <w:tr>
        <w:tc>
          <w:tcPr>
            <w:tcW w:type="dxa" w:w="1021"/>
          </w:tcPr>
          <w:p>
            <w:pPr>
              <w:pStyle w:val="Compact"/>
              <w:jc w:val="left"/>
            </w:pPr>
            <w:r>
              <w:rPr>
                <w:b w:val="0"/>
              </w:rPr>
              <w:t>gemma4:31b-cloud</w:t>
            </w:r>
          </w:p>
        </w:tc>
        <w:tc>
          <w:tcPr>
            <w:tcW w:type="dxa" w:w="900"/>
          </w:tcPr>
          <w:p>
            <w:pPr>
              <w:pStyle w:val="Compact"/>
              <w:jc w:val="left"/>
            </w:pPr>
            <w:r>
              <w:rPr>
                <w:b w:val="0"/>
              </w:rPr>
              <w:t>Cloud</w:t>
            </w:r>
          </w:p>
        </w:tc>
        <w:tc>
          <w:tcPr>
            <w:tcW w:type="dxa" w:w="948"/>
          </w:tcPr>
          <w:p>
            <w:pPr>
              <w:pStyle w:val="Compact"/>
              <w:jc w:val="left"/>
            </w:pPr>
            <w:r>
              <w:rPr>
                <w:b w:val="0"/>
              </w:rPr>
              <w:t>31B</w:t>
            </w:r>
          </w:p>
        </w:tc>
        <w:tc>
          <w:tcPr>
            <w:tcW w:type="dxa" w:w="900"/>
          </w:tcPr>
          <w:p>
            <w:pPr>
              <w:pStyle w:val="Compact"/>
              <w:jc w:val="center"/>
            </w:pPr>
            <w:r>
              <w:rPr>
                <w:b w:val="0"/>
              </w:rPr>
              <w:t>66.99%</w:t>
            </w:r>
          </w:p>
        </w:tc>
        <w:tc>
          <w:tcPr>
            <w:tcW w:type="dxa" w:w="900"/>
          </w:tcPr>
          <w:p>
            <w:pPr>
              <w:pStyle w:val="Compact"/>
              <w:jc w:val="center"/>
            </w:pPr>
            <w:r>
              <w:rPr>
                <w:b w:val="0"/>
              </w:rPr>
              <w:t>55.46%</w:t>
            </w:r>
          </w:p>
        </w:tc>
        <w:tc>
          <w:tcPr>
            <w:tcW w:type="dxa" w:w="900"/>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900"/>
          </w:tcPr>
          <w:p>
            <w:pPr>
              <w:pStyle w:val="Compact"/>
              <w:jc w:val="left"/>
            </w:pPr>
            <w:r>
              <w:rPr>
                <w:b w:val="0"/>
              </w:rPr>
              <w:t>—</w:t>
            </w:r>
          </w:p>
        </w:tc>
      </w:tr>
      <w:tr>
        <w:tc>
          <w:tcPr>
            <w:tcW w:type="dxa" w:w="1021"/>
          </w:tcPr>
          <w:p>
            <w:pPr>
              <w:pStyle w:val="Compact"/>
              <w:jc w:val="left"/>
            </w:pPr>
            <w:r>
              <w:rPr>
                <w:b w:val="0"/>
              </w:rPr>
              <w:t>llama3.2:latest</w:t>
            </w:r>
          </w:p>
        </w:tc>
        <w:tc>
          <w:tcPr>
            <w:tcW w:type="dxa" w:w="900"/>
          </w:tcPr>
          <w:p>
            <w:pPr>
              <w:pStyle w:val="Compact"/>
              <w:jc w:val="left"/>
            </w:pPr>
            <w:r>
              <w:rPr>
                <w:b w:val="0"/>
              </w:rPr>
              <w:t>Local</w:t>
            </w:r>
          </w:p>
        </w:tc>
        <w:tc>
          <w:tcPr>
            <w:tcW w:type="dxa" w:w="948"/>
          </w:tcPr>
          <w:p>
            <w:pPr>
              <w:pStyle w:val="Compact"/>
              <w:jc w:val="left"/>
            </w:pPr>
            <w:r>
              <w:rPr>
                <w:b w:val="0"/>
              </w:rPr>
              <w:t>3B</w:t>
            </w:r>
          </w:p>
        </w:tc>
        <w:tc>
          <w:tcPr>
            <w:tcW w:type="dxa" w:w="900"/>
          </w:tcPr>
          <w:p>
            <w:pPr>
              <w:pStyle w:val="Compact"/>
              <w:jc w:val="center"/>
            </w:pPr>
            <w:r>
              <w:rPr>
                <w:b w:val="0"/>
              </w:rPr>
              <w:t>63.19%</w:t>
            </w:r>
          </w:p>
        </w:tc>
        <w:tc>
          <w:tcPr>
            <w:tcW w:type="dxa" w:w="900"/>
          </w:tcPr>
          <w:p>
            <w:pPr>
              <w:pStyle w:val="Compact"/>
              <w:jc w:val="center"/>
            </w:pPr>
            <w:r>
              <w:rPr>
                <w:b w:val="0"/>
              </w:rPr>
              <w:t>62.82%</w:t>
            </w:r>
          </w:p>
        </w:tc>
        <w:tc>
          <w:tcPr>
            <w:tcW w:type="dxa" w:w="900"/>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900"/>
          </w:tcPr>
          <w:p>
            <w:pPr>
              <w:pStyle w:val="Compact"/>
              <w:jc w:val="left"/>
            </w:pPr>
            <w:r>
              <w:rPr>
                <w:b w:val="0"/>
              </w:rPr>
              <w:t>26.44</w:t>
            </w:r>
          </w:p>
        </w:tc>
      </w:tr>
      <w:tr>
        <w:tc>
          <w:tcPr>
            <w:tcW w:type="dxa" w:w="1021"/>
          </w:tcPr>
          <w:p>
            <w:pPr>
              <w:pStyle w:val="Compact"/>
              <w:jc w:val="left"/>
            </w:pPr>
            <w:r>
              <w:rPr>
                <w:b w:val="0"/>
              </w:rPr>
              <w:t>gemma:latest</w:t>
            </w:r>
          </w:p>
        </w:tc>
        <w:tc>
          <w:tcPr>
            <w:tcW w:type="dxa" w:w="900"/>
          </w:tcPr>
          <w:p>
            <w:pPr>
              <w:pStyle w:val="Compact"/>
              <w:jc w:val="left"/>
            </w:pPr>
            <w:r>
              <w:rPr>
                <w:b w:val="0"/>
              </w:rPr>
              <w:t>Local</w:t>
            </w:r>
          </w:p>
        </w:tc>
        <w:tc>
          <w:tcPr>
            <w:tcW w:type="dxa" w:w="948"/>
          </w:tcPr>
          <w:p>
            <w:pPr>
              <w:pStyle w:val="Compact"/>
              <w:jc w:val="left"/>
            </w:pPr>
            <w:r>
              <w:rPr>
                <w:b w:val="0"/>
              </w:rPr>
              <w:t>7B</w:t>
            </w:r>
          </w:p>
        </w:tc>
        <w:tc>
          <w:tcPr>
            <w:tcW w:type="dxa" w:w="900"/>
          </w:tcPr>
          <w:p>
            <w:pPr>
              <w:pStyle w:val="Compact"/>
              <w:jc w:val="center"/>
            </w:pPr>
            <w:r>
              <w:rPr>
                <w:b w:val="0"/>
              </w:rPr>
              <w:t>62.66%</w:t>
            </w:r>
          </w:p>
        </w:tc>
        <w:tc>
          <w:tcPr>
            <w:tcW w:type="dxa" w:w="900"/>
          </w:tcPr>
          <w:p>
            <w:pPr>
              <w:pStyle w:val="Compact"/>
              <w:jc w:val="center"/>
            </w:pPr>
            <w:r>
              <w:rPr>
                <w:b w:val="0"/>
              </w:rPr>
              <w:t>58.47%</w:t>
            </w:r>
          </w:p>
        </w:tc>
        <w:tc>
          <w:tcPr>
            <w:tcW w:type="dxa" w:w="900"/>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900"/>
          </w:tcPr>
          <w:p>
            <w:pPr>
              <w:pStyle w:val="Compact"/>
              <w:jc w:val="left"/>
            </w:pPr>
            <w:r>
              <w:rPr>
                <w:b w:val="0"/>
              </w:rPr>
              <w:t>5.17</w:t>
            </w:r>
          </w:p>
        </w:tc>
      </w:tr>
      <w:tr>
        <w:tc>
          <w:tcPr>
            <w:tcW w:type="dxa" w:w="1021"/>
          </w:tcPr>
          <w:p>
            <w:pPr>
              <w:pStyle w:val="Compact"/>
              <w:jc w:val="left"/>
            </w:pPr>
            <w:r>
              <w:rPr>
                <w:b w:val="0"/>
              </w:rPr>
              <w:t>qwen2.5:14b</w:t>
            </w:r>
          </w:p>
        </w:tc>
        <w:tc>
          <w:tcPr>
            <w:tcW w:type="dxa" w:w="900"/>
          </w:tcPr>
          <w:p>
            <w:pPr>
              <w:pStyle w:val="Compact"/>
              <w:jc w:val="left"/>
            </w:pPr>
            <w:r>
              <w:rPr>
                <w:b w:val="0"/>
              </w:rPr>
              <w:t>Local</w:t>
            </w:r>
          </w:p>
        </w:tc>
        <w:tc>
          <w:tcPr>
            <w:tcW w:type="dxa" w:w="948"/>
          </w:tcPr>
          <w:p>
            <w:pPr>
              <w:pStyle w:val="Compact"/>
              <w:jc w:val="left"/>
            </w:pPr>
            <w:r>
              <w:rPr>
                <w:b w:val="0"/>
              </w:rPr>
              <w:t>14B</w:t>
            </w:r>
          </w:p>
        </w:tc>
        <w:tc>
          <w:tcPr>
            <w:tcW w:type="dxa" w:w="900"/>
          </w:tcPr>
          <w:p>
            <w:pPr>
              <w:pStyle w:val="Compact"/>
              <w:jc w:val="center"/>
            </w:pPr>
            <w:r>
              <w:rPr>
                <w:b w:val="0"/>
              </w:rPr>
              <w:t>61.06%</w:t>
            </w:r>
          </w:p>
        </w:tc>
        <w:tc>
          <w:tcPr>
            <w:tcW w:type="dxa" w:w="900"/>
          </w:tcPr>
          <w:p>
            <w:pPr>
              <w:pStyle w:val="Compact"/>
              <w:jc w:val="center"/>
            </w:pPr>
            <w:r>
              <w:rPr>
                <w:b w:val="0"/>
              </w:rPr>
              <w:t>57.60%</w:t>
            </w:r>
          </w:p>
        </w:tc>
        <w:tc>
          <w:tcPr>
            <w:tcW w:type="dxa" w:w="900"/>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900"/>
          </w:tcPr>
          <w:p>
            <w:pPr>
              <w:pStyle w:val="Compact"/>
              <w:jc w:val="left"/>
            </w:pPr>
            <w:r>
              <w:rPr>
                <w:b w:val="0"/>
              </w:rPr>
              <w:t>1.57</w:t>
            </w:r>
          </w:p>
        </w:tc>
      </w:tr>
      <w:tr>
        <w:tc>
          <w:tcPr>
            <w:tcW w:type="dxa" w:w="1021"/>
          </w:tcPr>
          <w:p>
            <w:pPr>
              <w:pStyle w:val="Compact"/>
              <w:jc w:val="left"/>
            </w:pPr>
            <w:r>
              <w:rPr>
                <w:b w:val="0"/>
              </w:rPr>
              <w:t>llama3.1:8b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60.72%</w:t>
            </w:r>
          </w:p>
        </w:tc>
        <w:tc>
          <w:tcPr>
            <w:tcW w:type="dxa" w:w="900"/>
          </w:tcPr>
          <w:p>
            <w:pPr>
              <w:pStyle w:val="Compact"/>
              <w:jc w:val="center"/>
            </w:pPr>
            <w:r>
              <w:rPr>
                <w:b w:val="0"/>
              </w:rPr>
              <w:t>53.70%</w:t>
            </w:r>
          </w:p>
        </w:tc>
        <w:tc>
          <w:tcPr>
            <w:tcW w:type="dxa" w:w="900"/>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900"/>
          </w:tcPr>
          <w:p>
            <w:pPr>
              <w:pStyle w:val="Compact"/>
              <w:jc w:val="left"/>
            </w:pPr>
            <w:r>
              <w:rPr>
                <w:b w:val="0"/>
              </w:rPr>
              <w:t>5.03</w:t>
            </w:r>
          </w:p>
        </w:tc>
      </w:tr>
      <w:tr>
        <w:tc>
          <w:tcPr>
            <w:tcW w:type="dxa" w:w="1021"/>
          </w:tcPr>
          <w:p>
            <w:pPr>
              <w:pStyle w:val="Compact"/>
              <w:jc w:val="left"/>
            </w:pPr>
            <w:r>
              <w:rPr>
                <w:b w:val="0"/>
              </w:rPr>
              <w:t>qwen3:8b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53.65%</w:t>
            </w:r>
          </w:p>
        </w:tc>
        <w:tc>
          <w:tcPr>
            <w:tcW w:type="dxa" w:w="900"/>
          </w:tcPr>
          <w:p>
            <w:pPr>
              <w:pStyle w:val="Compact"/>
              <w:jc w:val="center"/>
            </w:pPr>
            <w:r>
              <w:rPr>
                <w:b w:val="0"/>
              </w:rPr>
              <w:t>46.75%</w:t>
            </w:r>
          </w:p>
        </w:tc>
        <w:tc>
          <w:tcPr>
            <w:tcW w:type="dxa" w:w="900"/>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900"/>
          </w:tcPr>
          <w:p>
            <w:pPr>
              <w:pStyle w:val="Compact"/>
              <w:jc w:val="left"/>
            </w:pPr>
            <w:r>
              <w:rPr>
                <w:b w:val="0"/>
              </w:rPr>
              <w:t>4.56</w:t>
            </w:r>
          </w:p>
        </w:tc>
      </w:tr>
      <w:tr>
        <w:tc>
          <w:tcPr>
            <w:tcW w:type="dxa" w:w="1021"/>
          </w:tcPr>
          <w:p>
            <w:pPr>
              <w:pStyle w:val="Compact"/>
              <w:jc w:val="left"/>
            </w:pPr>
            <w:r>
              <w:rPr>
                <w:b w:val="0"/>
              </w:rPr>
              <w:t>mistral-nemo:latest</w:t>
            </w:r>
          </w:p>
        </w:tc>
        <w:tc>
          <w:tcPr>
            <w:tcW w:type="dxa" w:w="900"/>
          </w:tcPr>
          <w:p>
            <w:pPr>
              <w:pStyle w:val="Compact"/>
              <w:jc w:val="left"/>
            </w:pPr>
            <w:r>
              <w:rPr>
                <w:b w:val="0"/>
              </w:rPr>
              <w:t>Local</w:t>
            </w:r>
          </w:p>
        </w:tc>
        <w:tc>
          <w:tcPr>
            <w:tcW w:type="dxa" w:w="948"/>
          </w:tcPr>
          <w:p>
            <w:pPr>
              <w:pStyle w:val="Compact"/>
              <w:jc w:val="left"/>
            </w:pPr>
            <w:r>
              <w:rPr>
                <w:b w:val="0"/>
              </w:rPr>
              <w:t>12B</w:t>
            </w:r>
          </w:p>
        </w:tc>
        <w:tc>
          <w:tcPr>
            <w:tcW w:type="dxa" w:w="900"/>
          </w:tcPr>
          <w:p>
            <w:pPr>
              <w:pStyle w:val="Compact"/>
              <w:jc w:val="center"/>
            </w:pPr>
            <w:r>
              <w:rPr>
                <w:b w:val="0"/>
              </w:rPr>
              <w:t>53.07%</w:t>
            </w:r>
          </w:p>
        </w:tc>
        <w:tc>
          <w:tcPr>
            <w:tcW w:type="dxa" w:w="900"/>
          </w:tcPr>
          <w:p>
            <w:pPr>
              <w:pStyle w:val="Compact"/>
              <w:jc w:val="center"/>
            </w:pPr>
            <w:r>
              <w:rPr>
                <w:b w:val="0"/>
              </w:rPr>
              <w:t>58.13%</w:t>
            </w:r>
          </w:p>
        </w:tc>
        <w:tc>
          <w:tcPr>
            <w:tcW w:type="dxa" w:w="900"/>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900"/>
          </w:tcPr>
          <w:p>
            <w:pPr>
              <w:pStyle w:val="Compact"/>
              <w:jc w:val="left"/>
            </w:pPr>
            <w:r>
              <w:rPr>
                <w:b w:val="0"/>
              </w:rPr>
              <w:t>2.36</w:t>
            </w:r>
          </w:p>
        </w:tc>
      </w:tr>
      <w:tr>
        <w:tc>
          <w:tcPr>
            <w:tcW w:type="dxa" w:w="1021"/>
          </w:tcPr>
          <w:p>
            <w:pPr>
              <w:pStyle w:val="Compact"/>
              <w:jc w:val="left"/>
            </w:pPr>
            <w:r>
              <w:rPr>
                <w:b w:val="0"/>
              </w:rPr>
              <w:t>nemotron-mini:4b</w:t>
            </w:r>
          </w:p>
        </w:tc>
        <w:tc>
          <w:tcPr>
            <w:tcW w:type="dxa" w:w="900"/>
          </w:tcPr>
          <w:p>
            <w:pPr>
              <w:pStyle w:val="Compact"/>
              <w:jc w:val="left"/>
            </w:pPr>
            <w:r>
              <w:rPr>
                <w:b w:val="0"/>
              </w:rPr>
              <w:t>Local</w:t>
            </w:r>
          </w:p>
        </w:tc>
        <w:tc>
          <w:tcPr>
            <w:tcW w:type="dxa" w:w="948"/>
          </w:tcPr>
          <w:p>
            <w:pPr>
              <w:pStyle w:val="Compact"/>
              <w:jc w:val="left"/>
            </w:pPr>
            <w:r>
              <w:rPr>
                <w:b w:val="0"/>
              </w:rPr>
              <w:t>4B</w:t>
            </w:r>
          </w:p>
        </w:tc>
        <w:tc>
          <w:tcPr>
            <w:tcW w:type="dxa" w:w="900"/>
          </w:tcPr>
          <w:p>
            <w:pPr>
              <w:pStyle w:val="Compact"/>
              <w:jc w:val="center"/>
            </w:pPr>
            <w:r>
              <w:rPr>
                <w:b w:val="0"/>
              </w:rPr>
              <w:t>35.33%</w:t>
            </w:r>
          </w:p>
        </w:tc>
        <w:tc>
          <w:tcPr>
            <w:tcW w:type="dxa" w:w="900"/>
          </w:tcPr>
          <w:p>
            <w:pPr>
              <w:pStyle w:val="Compact"/>
              <w:jc w:val="center"/>
            </w:pPr>
            <w:r>
              <w:rPr>
                <w:b w:val="0"/>
              </w:rPr>
              <w:t>44.37%</w:t>
            </w:r>
          </w:p>
        </w:tc>
        <w:tc>
          <w:tcPr>
            <w:tcW w:type="dxa" w:w="900"/>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900"/>
          </w:tcPr>
          <w:p>
            <w:pPr>
              <w:pStyle w:val="Compact"/>
              <w:jc w:val="left"/>
            </w:pPr>
            <w:r>
              <w:rPr>
                <w:b w:val="0"/>
              </w:rPr>
              <w:t>17.08</w:t>
            </w:r>
          </w:p>
        </w:tc>
      </w:tr>
      <w:tr>
        <w:tc>
          <w:tcPr>
            <w:tcW w:type="dxa" w:w="1021"/>
          </w:tcPr>
          <w:p>
            <w:pPr>
              <w:pStyle w:val="Compact"/>
              <w:jc w:val="left"/>
            </w:pPr>
            <w:r>
              <w:rPr>
                <w:b w:val="0"/>
              </w:rPr>
              <w:t>deepseek-r1:1.5b</w:t>
            </w:r>
          </w:p>
        </w:tc>
        <w:tc>
          <w:tcPr>
            <w:tcW w:type="dxa" w:w="900"/>
          </w:tcPr>
          <w:p>
            <w:pPr>
              <w:pStyle w:val="Compact"/>
              <w:jc w:val="left"/>
            </w:pPr>
            <w:r>
              <w:rPr>
                <w:b w:val="0"/>
              </w:rPr>
              <w:t>Local</w:t>
            </w:r>
          </w:p>
        </w:tc>
        <w:tc>
          <w:tcPr>
            <w:tcW w:type="dxa" w:w="948"/>
          </w:tcPr>
          <w:p>
            <w:pPr>
              <w:pStyle w:val="Compact"/>
              <w:jc w:val="left"/>
            </w:pPr>
            <w:r>
              <w:rPr>
                <w:b w:val="0"/>
              </w:rPr>
              <w:t>1.5B</w:t>
            </w:r>
          </w:p>
        </w:tc>
        <w:tc>
          <w:tcPr>
            <w:tcW w:type="dxa" w:w="900"/>
          </w:tcPr>
          <w:p>
            <w:pPr>
              <w:pStyle w:val="Compact"/>
              <w:jc w:val="center"/>
            </w:pPr>
            <w:r>
              <w:rPr>
                <w:b w:val="0"/>
              </w:rPr>
              <w:t>27.65%</w:t>
            </w:r>
          </w:p>
        </w:tc>
        <w:tc>
          <w:tcPr>
            <w:tcW w:type="dxa" w:w="900"/>
          </w:tcPr>
          <w:p>
            <w:pPr>
              <w:pStyle w:val="Compact"/>
              <w:jc w:val="center"/>
            </w:pPr>
            <w:r>
              <w:rPr>
                <w:b w:val="0"/>
              </w:rPr>
              <w:t>39.49%</w:t>
            </w:r>
          </w:p>
        </w:tc>
        <w:tc>
          <w:tcPr>
            <w:tcW w:type="dxa" w:w="900"/>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900"/>
          </w:tcPr>
          <w:p>
            <w:pPr>
              <w:pStyle w:val="Compact"/>
              <w:jc w:val="left"/>
            </w:pPr>
            <w:r>
              <w:rPr>
                <w:b w:val="0"/>
              </w:rPr>
              <w:t>86.20</w:t>
            </w:r>
          </w:p>
        </w:tc>
      </w:tr>
    </w:tbl>
    <w:p>
      <w:pPr>
        <w:numPr>
          <w:ilvl w:val="0"/>
          <w:numId w:val="0"/>
        </w:numPr>
        <w:pStyle w:val="BodyText"/>
      </w:pPr>
      <w:r>
        <w:t xml:space="preserve">Cifras medidas sobre </w:t>
      </w:r>
      <w:r>
        <w:t xml:space="preserve">results/benchmark_results.csv</w:t>
      </w:r>
      <w:r>
        <w:t xml:space="preserve"> (N=15, modo </w:t>
      </w:r>
      <w:r>
        <w:t xml:space="preserve">entities</w:t>
      </w:r>
      <w:r>
        <w:t xml:space="preserve">), salvo </w:t>
      </w:r>
      <w:r>
        <w:t xml:space="preserve">gemma4:31b</w:t>
      </w:r>
      <w:r>
        <w:t xml:space="preserve"> (</w:t>
      </w:r>
      <w:r>
        <w:t xml:space="preserve">gemma4_31b_n15_REMOTO</w:t>
      </w:r>
      <w:r>
        <w:t xml:space="preserve">), las dos variantes de </w:t>
      </w:r>
      <w:r>
        <w:t xml:space="preserve">gemma4:latest</w:t>
      </w:r>
      <w:r>
        <w:t xml:space="preserve"> (</w:t>
      </w:r>
      <w:r>
        <w:t xml:space="preserve">ablacion_n15_REMOTO</w:t>
      </w:r>
      <w:r>
        <w:t xml:space="preserve">) y </w:t>
      </w:r>
      <w:r>
        <w:t xml:space="preserve">gemma4:31b-cloud</w:t>
      </w:r>
      <w:r>
        <w:t xml:space="preserve"> (</w:t>
      </w:r>
      <w:r>
        <w:t xml:space="preserve">cloud_n15_limpio_20260905</w:t>
      </w:r>
      <w:r>
        <w:t xml:space="preserve">). Las latencias proceden de corridas con distinta concurrencia y hardware, por lo que </w:t>
      </w:r>
      <w:r>
        <w:rPr>
          <w:b/>
        </w:rPr>
        <w:t xml:space="preserve">no son comparables entre filas</w:t>
      </w:r>
      <w:r>
        <w:t xml:space="preserve">; el índice Tok/s/B sí lo es. </w:t>
      </w:r>
      <w:r>
        <w:t xml:space="preserve"/>
      </w:r>
      <w:r>
        <w:t xml:space="preserve"/>
      </w:r>
      <w:r>
        <w:t xml:space="preserve"/>
      </w:r>
      <w:r>
        <w:t xml:space="preserve"/>
      </w:r>
      <w:r>
        <w:t xml:space="preserve"/>
      </w:r>
      <w:r>
        <w:t xml:space="preserve">La columna «Parámetros» recoge la denominación nominal de la etiqueta del modelo, que no siempre coincide con el recuento del manifiesto —1,8B en </w:t>
      </w:r>
      <w:r>
        <w:t xml:space="preserve">deepseek-r1:1.5b</w:t>
      </w:r>
      <w:r>
        <w:t xml:space="preserve">, 4,2B en </w:t>
      </w:r>
      <w:r>
        <w:t xml:space="preserve">nemotron-mini:4b</w:t>
      </w:r>
      <w:r>
        <w:t xml:space="preserve">, 8,2B en </w:t>
      </w:r>
      <w:r>
        <w:t xml:space="preserve">qwen3:8b</w:t>
      </w:r>
      <w:r>
        <w:t xml:space="preserve">, 12,2B en </w:t>
      </w:r>
      <w:r>
        <w:t xml:space="preserve">mistral-nemo</w:t>
      </w:r>
      <w:r>
        <w:t xml:space="preserve">, 31,3B en </w:t>
      </w:r>
      <w:r>
        <w:t xml:space="preserve">gemma4:31b</w:t>
      </w:r>
      <w:r>
        <w:t xml:space="preserve">—, y el índice Tok/s/B se calcula sobre la nominal. </w:t>
      </w:r>
      <w:r>
        <w:t xml:space="preserve">gemma4:31b-cloud</w:t>
      </w:r>
      <w:r>
        <w:t xml:space="preserve"> corre además en BF16 sobre ~32,7B parámetros sin cuantizar, así que su footprint no es comparable con el de las compilaciones locales.</w:t>
      </w:r>
    </w:p>
    <w:p>
      <w:pPr>
        <w:numPr>
          <w:ilvl w:val="0"/>
          <w:numId w:val="0"/>
        </w:numPr>
        <w:pStyle w:val="BodyText"/>
      </w:pPr>
      <w:r>
        <w:rPr>
          <w:b/>
        </w:rPr>
        <w:t>Hallazgo 1:</w:t>
      </w:r>
      <w:r>
        <w:t xml:space="preserve"> la familia </w:t>
      </w:r>
      <w:r>
        <w:t>gemma4</w:t>
      </w:r>
      <w:r>
        <w:t xml:space="preserve"> copa las cinco primeras posiciones. </w:t>
      </w:r>
      <w:r>
        <w:t>gemma4:latest</w:t>
      </w:r>
      <w:r>
        <w:t xml:space="preserve"> con prompt </w:t>
      </w:r>
      <w:r>
        <w:rPr>
          <w:i/>
        </w:rPr>
        <w:t>few-shot</w:t>
      </w:r>
      <w:r>
        <w:t xml:space="preserve"> en español (74.44%) supera a los dos modelos de 31B, a un tercio de su tamaño. </w:t>
      </w:r>
      <w:r>
        <w:rPr>
          <w:b/>
        </w:rPr>
        <w:t>Hallazgo 2:</w:t>
      </w:r>
      <w:r>
        <w:t xml:space="preserve"> </w:t>
      </w:r>
      <w:r>
        <w:t>gemma4:31b</w:t>
      </w:r>
      <w:r>
        <w:t xml:space="preserve"> lidera en Recall entre los locales (86.80%) con una tasa de alucinación de 0.16%, y su contraparte cloud alcanza un Recall equivalente (86.88%). </w:t>
      </w:r>
      <w:r>
        <w:rPr>
          <w:b/>
        </w:rPr>
        <w:t>Hallazgo 3:</w:t>
      </w:r>
      <w:r>
        <w:t xml:space="preserve"> </w:t>
      </w:r>
      <w:r>
        <w:t>deepseek-r1:1.5b</w:t>
      </w:r>
      <w:r>
        <w:t xml:space="preserve"> debe descartarse para producción: F1 de 27.65% y Recall de solo 25.77%. </w:t>
      </w:r>
      <w:r>
        <w:rPr>
          <w:b/>
        </w:rPr>
        <w:t>Hallazgo 4:</w:t>
      </w:r>
      <w:r>
        <w:t xml:space="preserve"> el índice de eficiencia de hardware (Tok/s/B) favorece a los modelos compactos —</w:t>
      </w:r>
      <w:r>
        <w:t>deepseek-r1:1.5b</w:t>
      </w:r>
      <w:r>
        <w:t xml:space="preserve"> (86.20) y </w:t>
      </w:r>
      <w:r>
        <w:t>llama3.2</w:t>
      </w:r>
      <w:r>
        <w:t xml:space="preserve"> (26.44)— para </w:t>
      </w:r>
      <w:r>
        <w:rPr>
          <w:i/>
        </w:rPr>
        <w:t>screening</w:t>
      </w:r>
      <w:r>
        <w:t xml:space="preserve"> masivo, mientras que </w:t>
      </w:r>
      <w:r>
        <w:t>gemma4:31b</w:t>
      </w:r>
      <w:r>
        <w:t xml:space="preserve"> (0.33) se justifica para análisis de alto riesgo.</w:t>
      </w:r>
    </w:p>
    <w:p>
      <w:pPr>
        <w:numPr>
          <w:ilvl w:val="0"/>
          <w:numId w:val="0"/>
        </w:numPr>
        <w:pStyle w:val="Heading2"/>
      </w:pPr>
      <w:r>
        <w:t>5.2 Análisis de Variantes de Prompts (gemma4:latest, N=15)</w:t>
      </w:r>
    </w:p>
    <w:p>
      <w:pPr>
        <w:numPr>
          <w:ilvl w:val="0"/>
          <w:numId w:val="0"/>
        </w:numPr>
        <w:pStyle w:val="TableCaption"/>
      </w:pPr>
      <w:r>
        <w:t xml:space="preserve">Tabla 5. Variantes de prompt sobre </w:t>
      </w:r>
      <w:r>
        <w:t>gemma4:latest</w:t>
      </w:r>
      <w:r>
        <w:t>: diseño factorial de idioma de la instrucción y de los ejemplos (N=15).</w:t>
      </w:r>
    </w:p>
    <w:tbl>
      <w:tblPr>
        <w:tblStyle w:val="Table"/>
        <w:tblW w:type="pct" w:w="5000"/>
        <w:tblLayout w:type="fixed"/>
        <w:tblLook w:firstRow="1" w:lastRow="0" w:firstColumn="0" w:lastColumn="0" w:noHBand="0" w:noVBand="0" w:val="0020"/>
      </w:tblPr>
      <w:tblGrid>
        <w:gridCol w:w="2254"/>
        <w:gridCol w:w="900"/>
        <w:gridCol w:w="900"/>
        <w:gridCol w:w="900"/>
        <w:gridCol w:w="1293"/>
        <w:gridCol w:w="1194"/>
        <w:gridCol w:w="1397"/>
      </w:tblGrid>
      <w:tr>
        <w:trPr>
          <w:tblHeader w:val="on"/>
        </w:trPr>
        <w:tc>
          <w:tcPr>
            <w:tcW w:type="dxa" w:w="2254"/>
          </w:tcPr>
          <w:p>
            <w:pPr>
              <w:pStyle w:val="Compact"/>
              <w:jc w:val="left"/>
            </w:pPr>
            <w:r>
              <w:rPr>
                <w:b/>
              </w:rPr>
              <w:t>Configuración</w:t>
            </w:r>
          </w:p>
        </w:tc>
        <w:tc>
          <w:tcPr>
            <w:tcW w:type="dxa" w:w="900"/>
          </w:tcPr>
          <w:p>
            <w:pPr>
              <w:pStyle w:val="Compact"/>
              <w:jc w:val="left"/>
            </w:pPr>
            <w:r>
              <w:rPr>
                <w:b/>
              </w:rPr>
              <w:t>F1</w:t>
            </w:r>
          </w:p>
        </w:tc>
        <w:tc>
          <w:tcPr>
            <w:tcW w:type="dxa" w:w="900"/>
          </w:tcPr>
          <w:p>
            <w:pPr>
              <w:pStyle w:val="Compact"/>
              <w:jc w:val="left"/>
            </w:pPr>
            <w:r>
              <w:rPr>
                <w:b/>
              </w:rPr>
              <w:t>Precisión</w:t>
            </w:r>
          </w:p>
        </w:tc>
        <w:tc>
          <w:tcPr>
            <w:tcW w:type="dxa" w:w="900"/>
          </w:tcPr>
          <w:p>
            <w:pPr>
              <w:pStyle w:val="Compact"/>
              <w:jc w:val="center"/>
            </w:pPr>
            <w:r>
              <w:rPr>
                <w:b/>
              </w:rPr>
              <w:t>Recall</w:t>
            </w:r>
          </w:p>
        </w:tc>
        <w:tc>
          <w:tcPr>
            <w:tcW w:type="dxa" w:w="1293"/>
          </w:tcPr>
          <w:p>
            <w:pPr>
              <w:pStyle w:val="Compact"/>
              <w:jc w:val="center"/>
            </w:pPr>
            <w:r>
              <w:rPr>
                <w:b/>
              </w:rPr>
              <w:t>Hallucination</w:t>
            </w:r>
          </w:p>
        </w:tc>
        <w:tc>
          <w:tcPr>
            <w:tcW w:type="dxa" w:w="1194"/>
          </w:tcPr>
          <w:p>
            <w:pPr>
              <w:pStyle w:val="Compact"/>
              <w:jc w:val="left"/>
            </w:pPr>
            <w:r>
              <w:rPr>
                <w:b/>
              </w:rPr>
              <w:t>Latencia (s)</w:t>
            </w:r>
          </w:p>
        </w:tc>
        <w:tc>
          <w:tcPr>
            <w:tcW w:type="dxa" w:w="1397"/>
          </w:tcPr>
          <w:p>
            <w:pPr>
              <w:pStyle w:val="Compact"/>
              <w:jc w:val="left"/>
            </w:pPr>
            <w:r>
              <w:rPr>
                <w:b/>
              </w:rPr>
              <w:t>Δ vs. Baseline</w:t>
            </w:r>
          </w:p>
        </w:tc>
      </w:tr>
      <w:tr>
        <w:tc>
          <w:tcPr>
            <w:tcW w:type="dxa" w:w="2254"/>
          </w:tcPr>
          <w:p>
            <w:pPr>
              <w:pStyle w:val="Compact"/>
              <w:jc w:val="left"/>
            </w:pPr>
            <w:r>
              <w:rPr>
                <w:b w:val="0"/>
              </w:rPr>
              <w:t>Zero-shot Inglés (Baseline)</w:t>
            </w:r>
          </w:p>
        </w:tc>
        <w:tc>
          <w:tcPr>
            <w:tcW w:type="dxa" w:w="900"/>
          </w:tcPr>
          <w:p>
            <w:pPr>
              <w:pStyle w:val="Compact"/>
              <w:jc w:val="left"/>
            </w:pPr>
            <w:r>
              <w:rPr>
                <w:b w:val="0"/>
              </w:rPr>
              <w:t>64.05%</w:t>
            </w:r>
          </w:p>
        </w:tc>
        <w:tc>
          <w:tcPr>
            <w:tcW w:type="dxa" w:w="900"/>
          </w:tcPr>
          <w:p>
            <w:pPr>
              <w:pStyle w:val="Compact"/>
              <w:jc w:val="left"/>
            </w:pPr>
            <w:r>
              <w:rPr>
                <w:b w:val="0"/>
              </w:rPr>
              <w:t>57.69%</w:t>
            </w:r>
          </w:p>
        </w:tc>
        <w:tc>
          <w:tcPr>
            <w:tcW w:type="dxa" w:w="900"/>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254"/>
          </w:tcPr>
          <w:p>
            <w:pPr>
              <w:pStyle w:val="Compact"/>
              <w:jc w:val="left"/>
            </w:pPr>
            <w:r>
              <w:rPr>
                <w:b w:val="0"/>
              </w:rPr>
              <w:t>Zero-shot Español</w:t>
            </w:r>
          </w:p>
        </w:tc>
        <w:tc>
          <w:tcPr>
            <w:tcW w:type="dxa" w:w="900"/>
          </w:tcPr>
          <w:p>
            <w:pPr>
              <w:pStyle w:val="Compact"/>
              <w:jc w:val="left"/>
            </w:pPr>
            <w:r>
              <w:rPr>
                <w:b w:val="0"/>
              </w:rPr>
              <w:t>68.43%</w:t>
            </w:r>
          </w:p>
        </w:tc>
        <w:tc>
          <w:tcPr>
            <w:tcW w:type="dxa" w:w="900"/>
          </w:tcPr>
          <w:p>
            <w:pPr>
              <w:pStyle w:val="Compact"/>
              <w:jc w:val="left"/>
            </w:pPr>
            <w:r>
              <w:rPr>
                <w:b w:val="0"/>
              </w:rPr>
              <w:t>60.68%</w:t>
            </w:r>
          </w:p>
        </w:tc>
        <w:tc>
          <w:tcPr>
            <w:tcW w:type="dxa" w:w="900"/>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254"/>
          </w:tcPr>
          <w:p>
            <w:pPr>
              <w:pStyle w:val="Compact"/>
              <w:jc w:val="left"/>
            </w:pPr>
            <w:r>
              <w:rPr>
                <w:b w:val="0"/>
              </w:rPr>
              <w:t>Few-shot Inglés</w:t>
            </w:r>
          </w:p>
        </w:tc>
        <w:tc>
          <w:tcPr>
            <w:tcW w:type="dxa" w:w="900"/>
          </w:tcPr>
          <w:p>
            <w:pPr>
              <w:pStyle w:val="Compact"/>
              <w:jc w:val="left"/>
            </w:pPr>
            <w:r>
              <w:rPr>
                <w:b w:val="0"/>
              </w:rPr>
              <w:t>63.32%</w:t>
            </w:r>
          </w:p>
        </w:tc>
        <w:tc>
          <w:tcPr>
            <w:tcW w:type="dxa" w:w="900"/>
          </w:tcPr>
          <w:p>
            <w:pPr>
              <w:pStyle w:val="Compact"/>
              <w:jc w:val="left"/>
            </w:pPr>
            <w:r>
              <w:rPr>
                <w:b w:val="0"/>
              </w:rPr>
              <w:t>55.81%</w:t>
            </w:r>
          </w:p>
        </w:tc>
        <w:tc>
          <w:tcPr>
            <w:tcW w:type="dxa" w:w="900"/>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254"/>
          </w:tcPr>
          <w:p>
            <w:pPr>
              <w:pStyle w:val="Compact"/>
              <w:jc w:val="left"/>
            </w:pPr>
            <w:r>
              <w:rPr>
                <w:b w:val="0"/>
              </w:rPr>
              <w:t>Few-shot Español</w:t>
            </w:r>
          </w:p>
        </w:tc>
        <w:tc>
          <w:tcPr>
            <w:tcW w:type="dxa" w:w="900"/>
          </w:tcPr>
          <w:p>
            <w:pPr>
              <w:pStyle w:val="Compact"/>
              <w:jc w:val="left"/>
            </w:pPr>
            <w:r>
              <w:rPr>
                <w:b/>
              </w:rPr>
              <w:t>74.44%</w:t>
            </w:r>
          </w:p>
        </w:tc>
        <w:tc>
          <w:tcPr>
            <w:tcW w:type="dxa" w:w="900"/>
          </w:tcPr>
          <w:p>
            <w:pPr>
              <w:pStyle w:val="Compact"/>
              <w:jc w:val="left"/>
            </w:pPr>
            <w:r>
              <w:rPr>
                <w:b/>
              </w:rPr>
              <w:t>66.78%</w:t>
            </w:r>
          </w:p>
        </w:tc>
        <w:tc>
          <w:tcPr>
            <w:tcW w:type="dxa" w:w="900"/>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BodyText"/>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BodyText"/>
      </w:pPr>
      <w:r>
        <w:rPr>
          <w:b/>
        </w:rPr>
        <w:t>Hallazgo 5:</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6. Validación estadística sobre el corpus del dominio (N=30), con intervalos de confianza del 95 %.</w:t>
      </w:r>
    </w:p>
    <w:tbl>
      <w:tblPr>
        <w:tblStyle w:val="Table"/>
        <w:tblW w:type="pct" w:w="5000"/>
        <w:tblLayout w:type="fixed"/>
        <w:tblLook w:firstRow="1" w:lastRow="0" w:firstColumn="0" w:lastColumn="0" w:noHBand="0" w:noVBand="0" w:val="0020"/>
      </w:tblPr>
      <w:tblGrid>
        <w:gridCol w:w="2028"/>
        <w:gridCol w:w="1014"/>
        <w:gridCol w:w="1303"/>
        <w:gridCol w:w="1014"/>
        <w:gridCol w:w="2579"/>
        <w:gridCol w:w="900"/>
      </w:tblGrid>
      <w:tr>
        <w:trPr>
          <w:tblHeader w:val="on"/>
        </w:trPr>
        <w:tc>
          <w:tcPr>
            <w:tcW w:type="dxa" w:w="2028"/>
          </w:tcPr>
          <w:p>
            <w:pPr>
              <w:pStyle w:val="Compact"/>
              <w:jc w:val="left"/>
            </w:pPr>
            <w:r>
              <w:rPr>
                <w:b/>
              </w:rPr>
              <w:t>Modelo</w:t>
            </w:r>
          </w:p>
        </w:tc>
        <w:tc>
          <w:tcPr>
            <w:tcW w:type="dxa" w:w="1014"/>
          </w:tcPr>
          <w:p>
            <w:pPr>
              <w:pStyle w:val="Compact"/>
              <w:jc w:val="left"/>
            </w:pPr>
            <w:r>
              <w:rPr>
                <w:b/>
              </w:rPr>
              <w:t>F1</w:t>
            </w:r>
          </w:p>
        </w:tc>
        <w:tc>
          <w:tcPr>
            <w:tcW w:type="dxa" w:w="1303"/>
          </w:tcPr>
          <w:p>
            <w:pPr>
              <w:pStyle w:val="Compact"/>
              <w:jc w:val="left"/>
            </w:pPr>
            <w:r>
              <w:rPr>
                <w:b/>
              </w:rPr>
              <w:t>Precisión</w:t>
            </w:r>
          </w:p>
        </w:tc>
        <w:tc>
          <w:tcPr>
            <w:tcW w:type="dxa" w:w="1014"/>
          </w:tcPr>
          <w:p>
            <w:pPr>
              <w:pStyle w:val="Compact"/>
              <w:jc w:val="center"/>
            </w:pPr>
            <w:r>
              <w:rPr>
                <w:b/>
              </w:rPr>
              <w:t>Recall</w:t>
            </w:r>
          </w:p>
        </w:tc>
        <w:tc>
          <w:tcPr>
            <w:tcW w:type="dxa" w:w="2579"/>
          </w:tcPr>
          <w:p>
            <w:pPr>
              <w:pStyle w:val="Compact"/>
              <w:jc w:val="center"/>
            </w:pPr>
            <w:r>
              <w:rPr>
                <w:b/>
              </w:rPr>
              <w:t>IC 95 % del F1</w:t>
            </w:r>
          </w:p>
        </w:tc>
        <w:tc>
          <w:tcPr>
            <w:tcW w:type="dxa" w:w="900"/>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579"/>
          </w:tcPr>
          <w:p>
            <w:pPr>
              <w:pStyle w:val="Compact"/>
              <w:jc w:val="center"/>
            </w:pPr>
            <w:r>
              <w:rPr>
                <w:b w:val="0"/>
              </w:rPr>
              <w:t>[74.22 %, 86.92 %]</w:t>
            </w:r>
          </w:p>
        </w:tc>
        <w:tc>
          <w:tcPr>
            <w:tcW w:type="dxa" w:w="900"/>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579"/>
          </w:tcPr>
          <w:p>
            <w:pPr>
              <w:pStyle w:val="Compact"/>
              <w:jc w:val="center"/>
            </w:pPr>
            <w:r>
              <w:rPr>
                <w:b w:val="0"/>
              </w:rPr>
              <w:t>[72.59 %, 84.52 %]</w:t>
            </w:r>
          </w:p>
        </w:tc>
        <w:tc>
          <w:tcPr>
            <w:tcW w:type="dxa" w:w="900"/>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Normal"/>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Normal"/>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la precisión coincide hasta el cuarto decimal (73,34 %) y el F1 difiere en menos de medio punto,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BodyText"/>
      </w:pPr>
      <w:r>
        <w:t xml:space="preserve">Sobre el corpus real N=120 descrito en §4.1.3 se ejecutó el mismo protocolo (ANOVA de una vía + Tukey HSD) para el estudio completo de 13 modelos,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7. Efecto de la base de conocimientos contextual sobre el corpus real (N=120, trece modelos).</w:t>
      </w:r>
    </w:p>
    <w:tbl>
      <w:tblPr>
        <w:tblStyle w:val="Table"/>
        <w:tblW w:type="pct" w:w="5000"/>
        <w:tblLayout w:type="fixed"/>
        <w:tblLook w:firstRow="1" w:lastRow="0" w:firstColumn="0" w:lastColumn="0" w:noHBand="0" w:noVBand="0" w:val="0020"/>
      </w:tblPr>
      <w:tblGrid>
        <w:gridCol w:w="2665"/>
        <w:gridCol w:w="1543"/>
        <w:gridCol w:w="1262"/>
        <w:gridCol w:w="1262"/>
        <w:gridCol w:w="2106"/>
      </w:tblGrid>
      <w:tr>
        <w:trPr>
          <w:tblHeader w:val="on"/>
        </w:trPr>
        <w:tc>
          <w:tcPr>
            <w:tcW w:type="dxa" w:w="2665"/>
          </w:tcPr>
          <w:p>
            <w:pPr>
              <w:pStyle w:val="Compact"/>
              <w:jc w:val="left"/>
            </w:pPr>
            <w:r>
              <w:rPr>
                <w:b/>
              </w:rPr>
              <w:t>Modelo</w:t>
            </w:r>
          </w:p>
        </w:tc>
        <w:tc>
          <w:tcPr>
            <w:tcW w:type="dxa" w:w="1543"/>
          </w:tcPr>
          <w:p>
            <w:pPr>
              <w:pStyle w:val="Compact"/>
              <w:jc w:val="left"/>
            </w:pPr>
            <w:r>
              <w:rPr>
                <w:b/>
              </w:rPr>
              <w:t>F1 baseline</w:t>
            </w:r>
          </w:p>
        </w:tc>
        <w:tc>
          <w:tcPr>
            <w:tcW w:type="dxa" w:w="1262"/>
          </w:tcPr>
          <w:p>
            <w:pPr>
              <w:pStyle w:val="Compact"/>
              <w:jc w:val="left"/>
            </w:pPr>
            <w:r>
              <w:rPr>
                <w:b/>
              </w:rPr>
              <w:t>F1 KB RAG</w:t>
            </w:r>
          </w:p>
        </w:tc>
        <w:tc>
          <w:tcPr>
            <w:tcW w:type="dxa" w:w="1262"/>
          </w:tcPr>
          <w:p>
            <w:pPr>
              <w:pStyle w:val="Compact"/>
              <w:jc w:val="center"/>
            </w:pPr>
            <w:r>
              <w:rPr>
                <w:b/>
              </w:rPr>
              <w:t>Δ RAG</w:t>
            </w:r>
          </w:p>
        </w:tc>
        <w:tc>
          <w:tcPr>
            <w:tcW w:type="dxa" w:w="2106"/>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−0.54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BodyText"/>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BodyText"/>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Normal"/>
      </w:pPr>
      <w:r>
        <w:t xml:space="preserve">El ANOVA de una vía sobre los veintiséis grupos arroja </w:t>
      </w:r>
      <w:r>
        <w:rPr>
          <w:b/>
        </w:rPr>
        <w:t>F = 38,2222</w:t>
      </w:r>
      <w:r>
        <w:t xml:space="preserve"> con p = 3,4453 × 10⁻¹⁶⁰,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158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 Conviene declarar una limitación del contraste: los veintiséis grupos evalúan los mismos 120 artículos, de modo que las observaciones están apareadas y un modelo de medidas repetidas sería el procedimiento estrictamente correcto. La homocedasticidad se verifica (Levene, p = 0,18) y, al ser el diseño pareado más potente que el independiente, la significancia obtenida por esta vía es conservadora.</w:t>
      </w:r>
    </w:p>
    <w:p>
      <w:pPr>
        <w:numPr>
          <w:ilvl w:val="0"/>
          <w:numId w:val="0"/>
        </w:numPr>
        <w:pStyle w:val="Normal"/>
      </w:pPr>
      <w:r>
        <w:t>Ese resultado dibuja el hallazgo central del estudio: el beneficio del KB RAG es inversamente proporcional a la capacidad del modelo. Aporta de forma demostrable en los dos modelos más débiles, es positivo pero no concluyente en la franja intermedia y se anula o revierte en los de mayor capacidad (−0,54 y −0,18 puntos en los dos de 31B), que ya siguen correctamente las instrucciones sin contexto adicional. Nueve de los trece modelos mejoran, aunque solo dos lo hagan de manera estadísticamente sólida.</w:t>
      </w:r>
    </w:p>
    <w:p>
      <w:pPr>
        <w:numPr>
          <w:ilvl w:val="0"/>
          <w:numId w:val="0"/>
        </w:numPr>
        <w:pStyle w:val="Normal"/>
      </w:pPr>
      <w:r>
        <w:t>Lectura conjunta con el corpus N=30 (§5.3):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BodyText"/>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según el propio artículo del corpus,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8. Eficiencia en hardware soberano: memoria, rendimiento y coste estimado por artículo.</w:t>
      </w:r>
    </w:p>
    <w:tbl>
      <w:tblPr>
        <w:tblStyle w:val="Table"/>
        <w:tblW w:type="pct" w:w="5000"/>
        <w:tblLayout w:type="fixed"/>
        <w:tblLook w:firstRow="1" w:lastRow="0" w:firstColumn="0" w:lastColumn="0" w:noHBand="0" w:noVBand="0" w:val="0020"/>
      </w:tblPr>
      <w:tblGrid>
        <w:gridCol w:w="1753"/>
        <w:gridCol w:w="1127"/>
        <w:gridCol w:w="900"/>
        <w:gridCol w:w="1753"/>
        <w:gridCol w:w="1753"/>
        <w:gridCol w:w="1552"/>
      </w:tblGrid>
      <w:tr>
        <w:trPr>
          <w:tblHeader w:val="on"/>
        </w:trPr>
        <w:tc>
          <w:tcPr>
            <w:tcW w:type="dxa" w:w="1753"/>
          </w:tcPr>
          <w:p>
            <w:pPr>
              <w:pStyle w:val="Compact"/>
              <w:jc w:val="left"/>
            </w:pPr>
            <w:r>
              <w:rPr>
                <w:b/>
              </w:rPr>
              <w:t>Modelo</w:t>
            </w:r>
          </w:p>
        </w:tc>
        <w:tc>
          <w:tcPr>
            <w:tcW w:type="dxa" w:w="1127"/>
          </w:tcPr>
          <w:p>
            <w:pPr>
              <w:pStyle w:val="Compact"/>
              <w:jc w:val="left"/>
            </w:pPr>
            <w:r>
              <w:rPr>
                <w:b/>
              </w:rPr>
              <w:t>VRAM (MB)</w:t>
            </w:r>
          </w:p>
        </w:tc>
        <w:tc>
          <w:tcPr>
            <w:tcW w:type="dxa" w:w="900"/>
          </w:tcPr>
          <w:p>
            <w:pPr>
              <w:pStyle w:val="Compact"/>
              <w:jc w:val="left"/>
            </w:pPr>
            <w:r>
              <w:rPr>
                <w:b/>
              </w:rPr>
              <w:t>Tok/s</w:t>
            </w:r>
          </w:p>
        </w:tc>
        <w:tc>
          <w:tcPr>
            <w:tcW w:type="dxa" w:w="1753"/>
          </w:tcPr>
          <w:p>
            <w:pPr>
              <w:pStyle w:val="Compact"/>
              <w:jc w:val="center"/>
            </w:pPr>
            <w:r>
              <w:rPr>
                <w:b/>
              </w:rPr>
              <w:t>Parámetros (B)</w:t>
            </w:r>
          </w:p>
        </w:tc>
        <w:tc>
          <w:tcPr>
            <w:tcW w:type="dxa" w:w="1753"/>
          </w:tcPr>
          <w:p>
            <w:pPr>
              <w:pStyle w:val="Compact"/>
              <w:jc w:val="center"/>
            </w:pPr>
            <w:r>
              <w:rPr>
                <w:b/>
              </w:rPr>
              <w:t>Índice Tok/s/B</w:t>
            </w:r>
          </w:p>
        </w:tc>
        <w:tc>
          <w:tcPr>
            <w:tcW w:type="dxa" w:w="1552"/>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900"/>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552"/>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900"/>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552"/>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900"/>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552"/>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ambos parámetros tomados de la observación interna del proceso vigente en Austranet y no de una fuente publicada.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BodyText"/>
      </w:pPr>
      <w:r>
        <w:t xml:space="preserve">La primera versión del módulo de recuperación indexaba </w:t>
      </w:r>
      <w:r>
        <w:rPr>
          <w:b/>
        </w:rPr>
        <w:t>nombres de entidades</w:t>
      </w:r>
      <w:r>
        <w:t xml:space="preserve"> —3 605 personas y 1 848 organizaciones de las listas de sanciones de OpenSanctions [19],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doce de los catorce modelos con par completo de resultados empeoraron al activarlo (los quince solicitados menos </w:t>
      </w:r>
      <w:r>
        <w:t>gpt-oss:20b</w:t>
      </w:r>
      <w:r>
        <w:t>, que no llegó a ejecutarse), y entre ellos los de mejor desempeño base; solo mejoraron los dos servidos en la nube.</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§5.3.5, que compara los trece modelos del estudio en ambos modos. Su lectura confirma que el cambio de estrategia revierte la degradación (nueve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La hipótesis fijaba un F1 igual o superior al 70 % como umbral de viabilidad. El umbral se alcanza sobre el corpus del dominio —</w:t>
      </w:r>
      <w:r>
        <w:t>gemma4:31b-mlx</w:t>
      </w:r>
      <w:r>
        <w:t xml:space="preserve"> obtiene 80,57 % con intervalo de confianza al 95 % de [74,22 %, 86,92 %] y ninguna extracción fallida sobre N=30— y no se alcanza sobre el corpus periodístico general, cuyo mejor resultado local es 59,25 % (</w:t>
      </w:r>
      <w:r>
        <w:t>gemma4:31b-mlx</w:t>
      </w:r>
      <w:r>
        <w:t>) sobre N=120. La hipótesis queda por tanto confirmada para el dominio específico de sanciones financieras y no confirmada para corpus periodísticos heterogéneos.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 xml:space="preserve">Tres factores explican la distribución de resultados observada. El primero es el idioma del prompt y de sus ejemplos. Redactar ambos en español aporta 10,40 puntos de F1 sin cambiar de modelo, mejora que ninguno de los dos factores consigue por separado: traducir solo el prompt aporta 4,38 puntos y añadir ejemplos en inglés resta 0,72. La interpretación de esa interacción exige cuidado, porque la que sugiere la intuición no se sostiene: el corpus sobre el que se midió está redactado </w:t>
      </w:r>
      <w:r>
        <w:rPr>
          <w:b/>
        </w:rPr>
        <w:t>en inglés</w:t>
      </w:r>
      <w:r>
        <w:t xml:space="preserve">, de modo que la instrucción en español no puede estar ayudando al modelo a leer el texto. Lo que sí caracteriza a ese corpus es una minoría de entidades ibéricas, doce de sus ochenta y cuatro personas, procedentes en su mayoría de un caso de corrupción angoleño y por tanto de grafía portuguesa: </w:t>
      </w:r>
      <w:r>
        <w:t>Isabel dos Santos</w:t>
      </w:r>
      <w:r>
        <w:t xml:space="preserve">, </w:t>
      </w:r>
      <w:r>
        <w:t>José Eduardo dos Santos</w:t>
      </w:r>
      <w:r>
        <w:t xml:space="preserve">, </w:t>
      </w:r>
      <w:r>
        <w:t>Hélder Pitta Grós</w:t>
      </w:r>
      <w:r>
        <w:t xml:space="preserve"> o </w:t>
      </w:r>
      <w:r>
        <w:t>Mario Leite da Silva</w:t>
      </w:r>
      <w:r>
        <w:t>. Son nombres con partículas y acentos cuya delimitación es precisamente donde un tokenizador anglocéntrico falla, partiendo la entidad en dos, y donde una instrucción en español orienta mejor al modelo, en línea con el sobrecoste de tokenización documentado para lenguas distintas del inglés [11]. La explicación es entonces más estrecha que la que se suponía, y predice un efecto proporcional a esa minoría, no una mejora general; predicción compatible con que la corrida que replica el experimento arroje 3,11 puntos y no 10,40, y con que el efecto se anule sobre el corpus mayor por la razón que se expone a continuación.</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equivalencia entre ejecución local y en la nube.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con la medición restringida a las categorías que el corpus anota, </w:t>
      </w:r>
      <w:r>
        <w:rPr>
          <w:b/>
        </w:rPr>
        <w:t xml:space="preserve">76,55 % de F1 sobre el corpus periodístico de ciento veinte artículos</w:t>
      </w:r>
      <w:r>
        <w:t xml:space="preserve"> —de los que 105 están en español— y </w:t>
      </w:r>
      <w:r>
        <w:rPr>
          <w:b/>
        </w:rPr>
        <w:t xml:space="preserve">90,16 % sobre el corpus del dominio de treinta artículos</w:t>
      </w:r>
      <w:r>
        <w:t>, que está redactado en inglés. Bajo la convención original, que puntúa también una categoría sin anotar, las cifras equivalentes son 62,67 % y 80,51 %. En ninguno de los dos corpus se registraron extracciones fallidas.</w:t>
      </w:r>
    </w:p>
    <w:p>
      <w:pPr>
        <w:numPr>
          <w:ilvl w:val="0"/>
          <w:numId w:val="0"/>
        </w:numPr>
        <w:pStyle w:val="BodyText"/>
      </w:pPr>
      <w:r>
        <w:t xml:space="preserve">Localización lingüística como tendencia no replicada: sobre el corpus de quince artículos, el idioma de la instrucción y el de los ejemplos </w:t>
      </w:r>
      <w:r>
        <w:rPr>
          <w:i/>
        </w:rPr>
        <w:t>few-shot</w:t>
      </w:r>
      <w:r>
        <w:t xml:space="preserve"> parecen </w:t>
      </w:r>
      <w:r>
        <w:rPr>
          <w:b/>
        </w:rPr>
        <w:t>interactuar</w:t>
      </w:r>
      <w:r>
        <w:t xml:space="preserve">, pues por separado aportan +4,38 y −0,72 puntos de F1 mientras combinados alcanzan +10,40. El efecto, sin embargo, </w:t>
      </w:r>
      <w:r>
        <w:rPr>
          <w:b/>
        </w:rPr>
        <w:t>no replica</w:t>
      </w:r>
      <w:r>
        <w:t>: una segunda ejecución sobre el mismo corpus y modelo lo reduce a +3,11 puntos, y sobre el corpus de ciento veinte artículos se anula, con una diferencia de −0,43 puntos y p = 0,9328. La conclusión defendible es por tanto más débil de lo que sugería la primera medición, y además el mecanismo que se le atribuía —que los ejemplos rinden en el idioma del corpus— no puede ser el correcto, porque la mejora se obtuvo sobre artículos redactados en inglés. Determinarlo exige el diseño con réplicas que se propone en §7.2.</w:t>
      </w:r>
    </w:p>
    <w:p>
      <w:pPr>
        <w:numPr>
          <w:ilvl w:val="0"/>
          <w:numId w:val="0"/>
        </w:numPr>
        <w:pStyle w:val="BodyText"/>
      </w:pPr>
      <w:r>
        <w:t xml:space="preserve">Soberanía de datos con un coste de rendimiento acotado: sobre el corpus de quince artículos la ejecución local supera a la alojada (69,12 % frente a 66,99 % de F1), pero ese experimento es el de menor potencia estadística y el estudio principal lo contradice: sobre los ciento veinte artículos, y con la medición restringida a las categorías anotadas, la variante en la nube del mismo modelo obtiene 80,42 % frente al 76,55 % del mejor local. La conclusión sostenible no es la equivalencia sino que </w:t>
      </w:r>
      <w:r>
        <w:rPr>
          <w:b/>
        </w:rPr>
        <w:t xml:space="preserve">la soberanía cuesta del orden de cuatro puntos de F1</w:t>
      </w:r>
      <w:r>
        <w:t>, un precio que en un entorno regulado puede resultar razonable, y que se paga a cambio de no transferir texto de clientes a un tercero.</w:t>
      </w:r>
    </w:p>
    <w:p>
      <w:pPr>
        <w:numPr>
          <w:ilvl w:val="0"/>
          <w:numId w:val="0"/>
        </w:numPr>
        <w:pStyle w:val="BodyText"/>
      </w:pPr>
      <w:r>
        <w:rPr>
          <w:b/>
        </w:rPr>
        <w:t>Reducción estimada de costos operativos:</w:t>
      </w:r>
      <w:r>
        <w:t xml:space="preserve"> ambas cifras son </w:t>
      </w:r>
      <w:r>
        <w:rPr>
          <w:b/>
        </w:rPr>
        <w:t>estimaciones y no mediciones</w:t>
      </w:r>
      <w:r>
        <w:t>: el coste del sistema soberano (0,052 dólares por artículo) reparte infraestructura amortizada y no mide cómputo, de modo que no varía entre modelos, y el de la revisión manual (8,75 dólares por artículo) procede de valorar el tiempo de un analista. Sobre esa base, la reducción estimada es del 99,4 % en el coste unitario directo (60–80% del costo operativo total, que incluye la supervisión humana), con potencial de procesamiento de cientos de artículos diarios sin personal analista dedicado.</w:t>
      </w:r>
    </w:p>
    <w:p>
      <w:pPr>
        <w:numPr>
          <w:ilvl w:val="0"/>
          <w:numId w:val="0"/>
        </w:numPr>
        <w:pStyle w:val="BodyText"/>
      </w:pPr>
      <w:r>
        <w:rPr>
          <w:b/>
        </w:rPr>
        <w:t>Robustez arquitectural, con su alcance declarado:</w:t>
      </w:r>
      <w:r>
        <w:t xml:space="preserve"> el controlador AIMD acota la concurrencia y reacciona de forma autónoma ante dos señales, las respuestas de limitación de tasa del proveedor —que detecta por coincidencia de subcadenas en el mensaje de error, buscando códigos 429 y 503 y menciones de cuota o sobrecarga— y una racha de errores consecutivos, que abre un cortacircuitos y reduce el número de trabajadores al mínimo. Conviene precisar lo que </w:t>
      </w:r>
      <w:r>
        <w:rPr>
          <w:b/>
        </w:rPr>
        <w:t>no</w:t>
      </w:r>
      <w:r>
        <w:t xml:space="preserve"> hace, porque el diseño no lo contempla: el controlador no recibe telemetría de memoria, de modo que no detecta ni previene el agotamiento de la VRAM. Esa contención se obtiene por otra vía, ejecutando un solo modelo por turno, que es además la condición que garantiza mediciones de telemetría limpias en una GPU de memoria unificada. El </w:t>
      </w:r>
      <w:r>
        <w:rPr>
          <w:i/>
        </w:rPr>
        <w:t>checkpointing</w:t>
      </w:r>
      <w:r>
        <w:t xml:space="preserve"> permite reanudar una corrida interrumpida sin repetir el trabajo ya hecho.</w:t>
      </w:r>
    </w:p>
    <w:p>
      <w:pPr>
        <w:numPr>
          <w:ilvl w:val="0"/>
          <w:numId w:val="0"/>
        </w:numPr>
        <w:pStyle w:val="BodyText"/>
      </w:pPr>
      <w:r>
        <w:t xml:space="preserve">El RAG contextual supera al RAG por diccionario: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dos de los trece modelos (</w:t>
      </w:r>
      <w:r>
        <w:t>nemotron-mini:4b</w:t>
      </w:r>
      <w:r>
        <w:t xml:space="preserve"> </w:t>
      </w:r>
      <w:r>
        <w:rPr>
          <w:b/>
        </w:rPr>
        <w:t>+14,52 pp</w:t>
      </w:r>
      <w:r>
        <w:t xml:space="preserve">, p&lt;0,001, y </w:t>
      </w:r>
      <w:r>
        <w:t>llama3.2:latest</w:t>
      </w:r>
      <w:r>
        <w:t xml:space="preserve"> </w:t>
      </w:r>
      <w:r>
        <w:rPr>
          <w:b/>
        </w:rPr>
        <w:t>+10,82 pp</w:t>
      </w:r>
      <w:r>
        <w:t xml:space="preserve">, p=0,007; conviene precisar que este último no es el segundo más débil del estudio sino el tercero por la cola, y que el segundo, </w:t>
      </w:r>
      <w:r>
        <w:t>deepseek-r1:1.5b</w:t>
      </w:r>
      <w:r>
        <w:t xml:space="preserve">, empeora 0,90 puntos con KB RAG), con ganancias positivas pero no concluyentes en la franja intermedia y efecto nulo en los modelos de 31B, versus el dict-RAG (v1.0), que en un sondeo exploratorio N=5 sobre el mismo modelo, no persistido en </w:t>
      </w:r>
      <w:r>
        <w:t>results/</w:t>
      </w:r>
      <w:r>
        <w:t xml:space="preserve">, degradó el F1 hasta 0.2367 (−57.8% respecto de su propio baseline), degradación confirmada después en la corrida reproducible N=120, donde ese mismo modelo cae de 0.3611 a 0.3113. Su efectividad parece modularse por la capacidad paramétrica, beneficiando sobre todo a los modelos de 3 a 14 mil millones de parámetros, donde actúa como memoria externa de conocimiento lingüístico sin coste adicional de hardware. La relación es una </w:t>
      </w:r>
      <w:r>
        <w:rPr>
          <w:b/>
        </w:rPr>
        <w:t>tendencia y no un resultado significativo</w:t>
      </w:r>
      <w:r>
        <w:t>: la correlación por rangos entre capacidad y beneficio da ρ = −0,52 con p = 0,071, que no alcanza el nivel de significación que este trabajo fija, con trece modelos como tamaño de muestra. Este hallazgo tiene implicaciones directas para el diseño de sistemas RAG en dominio abierto con LLMs soberanos.</w:t>
      </w:r>
    </w:p>
    <w:p>
      <w:pPr>
        <w:numPr>
          <w:ilvl w:val="0"/>
          <w:numId w:val="0"/>
        </w:numPr>
        <w:pStyle w:val="BodyText"/>
      </w:pPr>
      <w:r>
        <w:t xml:space="preserve">La codificación del corpus condiciona la medición, y no de forma neutra: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favorece a los modelos que transcriben literalmente y penaliza a los que normalizan la ortografía, con un efecto cuyo </w:t>
      </w:r>
      <w:r>
        <w:rPr>
          <w:b/>
        </w:rPr>
        <w:t>signo depende de dónde esté la corrupción</w:t>
      </w:r>
      <w:r>
        <w:t xml:space="preserve">, y esa dependencia es el resultado. Cuando está en la anotación de referencia, diecinueve de las veinticuatro configuraciones medidas puntúan </w:t>
      </w:r>
      <w:r>
        <w:rPr>
          <w:b/>
        </w:rPr>
        <w:t>mejor</w:t>
      </w:r>
      <w:r>
        <w:t xml:space="preserve"> en los artículos afectados, porque el cotejo premia transcribir los bytes literalmente y penaliza al modelo que escribe el nombre correctamente. Cuando está en el texto de entrada, diecinueve de veinticuatro puntúan </w:t>
      </w:r>
      <w:r>
        <w:rPr>
          <w:b/>
        </w:rPr>
        <w:t>peor</w:t>
      </w:r>
      <w:r>
        <w:t xml:space="preserve">, porque la corrupción dificulta la extracción para todos. Los dos efectos se contraponen, y su cancelación explica que la ventaja de la instrucción en español desaparezca precisamente sobre el corpus con más entidades hispanas: allí la competencia lingüística se vuelve desventaja frente a una referencia corrompida. La implicación metodológica excede a este trabajo: en una evaluación de NER un defecto de codificación no es ruido de fondo sino una variable que interactúa con el comportamiento del modelo, y verificar la codificación </w:t>
      </w:r>
      <w:r>
        <w:rPr>
          <w:b/>
        </w:rPr>
        <w:t>de la entrada y de la referencia por separado</w:t>
      </w:r>
      <w:r>
        <w:t xml:space="preserve"> debe formar parte del protocolo antes de dar por válida cualquier cifra. El detalle, con el script que permite reproducirlo, se desarrolla en el </w:t>
      </w:r>
      <w:r>
        <w:rPr>
          <w:b/>
        </w:rPr>
        <w:t>Anexo H</w:t>
      </w:r>
      <w:r>
        <w:t>.</w:t>
      </w:r>
    </w:p>
    <w:p>
      <w:pPr>
        <w:numPr>
          <w:ilvl w:val="0"/>
          <w:numId w:val="0"/>
        </w:numPr>
        <w:pStyle w:val="Heading2"/>
      </w:pPr>
      <w:r>
        <w:t>7.2 Trabajo Futuro</w:t>
      </w:r>
    </w:p>
    <w:p>
      <w:pPr>
        <w:numPr>
          <w:ilvl w:val="0"/>
          <w:numId w:val="0"/>
        </w:numPr>
        <w:pStyle w:val="BodyText"/>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w:t>
      </w:r>
      <w:r>
        <w:rPr>
          <w:i/>
        </w:rPr>
        <w:t>Low-Rank Adaptation</w:t>
      </w:r>
      <w:r>
        <w:t xml:space="preserve">) [27],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BodyText"/>
      </w:pPr>
      <w:r>
        <w:t>Expansión del corpus de evaluación (Fase 2): Ampliar el corpus de N=120 a N≥200 artículos reales del dominio AML/KYC chileno, incorporando fuentes como la UAF, CMF y bases de datos de OpenSanctions [19].</w:t>
      </w:r>
    </w:p>
    <w:p>
      <w:pPr>
        <w:numPr>
          <w:ilvl w:val="0"/>
          <w:numId w:val="0"/>
        </w:numPr>
        <w:pStyle w:val="BodyText"/>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t>Evaluación en producción (Fase 4):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portugués, dado el alcance latinoamericano del problema de cumplimiento. El comportamiento en inglés ya queda caracterizado por los corpus del dominio empleados aquí, y el contraste entre ambos idiomas sobre el corpus N=120 aporta la primera evidencia comparativa.</w:t>
      </w:r>
    </w:p>
    <w:p>
      <w:pPr>
        <w:numPr>
          <w:ilvl w:val="0"/>
          <w:numId w:val="0"/>
        </w:numPr>
        <w:pStyle w:val="BodyText"/>
      </w:pPr>
      <w:r>
        <w:t xml:space="preserve">Normalización de codificación del corpus y re-evaluación (Fase 6):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+0.025 de F1 según el modelo (§5.3.5). La línea de trabajo consiste en normalizar la codificación en ambos lados de la comparación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BodyText"/>
      </w:pPr>
      <w:r>
        <w:t>Anotación de localizaciones en el corpus de referencia (Prioridad Alta): los prompts del sistema solicitan</w:t>
      </w:r>
    </w:p>
    <w:p>
      <w:pPr>
        <w:numPr>
          <w:ilvl w:val="0"/>
          <w:numId w:val="0"/>
        </w:numPr>
        <w:pStyle w:val="Normal"/>
      </w:pPr>
      <w:r>
        <w:t xml:space="preserve">tres categorías de entidad, personas, organizaciones y localizaciones, pero ninguno de los tres corpus anota la tercera. Como se explica en §3.3, eso convierte toda localización correctamente identificada en un falso positivo, y de ahí procede el 66,0 % de los falsos positivos del estudio. La medición restringida a las dos categorías anotadas, que este informe publica en paralelo, corrige el efecto sin reejecutar inferencia, pero no sustituye a la solución de fondo: anotar las localizaciones y medir las tres categorías, que es la única vía para saber cuánto de la precisión aparente se debe a la habilidad del modelo y cuánto al vacío del gold.</w:t>
      </w:r>
    </w:p>
    <w:p>
      <w:pPr>
        <w:numPr>
          <w:ilvl w:val="0"/>
          <w:numId w:val="0"/>
        </w:numPr>
        <w:pStyle w:val="BodyText"/>
      </w:pPr>
      <w:r>
        <w:t>Construcción de un corpus periodístico del dominio en español (Prioridad Alta): los dos corpus específicos</w:t>
      </w:r>
    </w:p>
    <w:p>
      <w:pPr>
        <w:numPr>
          <w:ilvl w:val="0"/>
          <w:numId w:val="0"/>
        </w:numPr>
        <w:pStyle w:val="Normal"/>
      </w:pPr>
      <w:r>
        <w:t>de cumplimiento empleados aquí, el de quince artículos anotados y el sintético de treinta, están redactados en inglés, y el material en español proviene de CoNLL-2002, que es periodismo general y no del dominio. Falta por tanto un corpus que reúna ambas condiciones a la vez. Las fuentes naturales son las resoluciones sancionatorias de la UAF y de la CMF chilenas y la prensa económica regional, y su anotación por especialistas en cumplimiento es el paso que este trabajo no pudo dar por falta de un corpus etiquetado en el dominio.</w:t>
      </w:r>
    </w:p>
    <w:p>
      <w:pPr>
        <w:numPr>
          <w:ilvl w:val="0"/>
          <w:numId w:val="0"/>
        </w:numPr>
        <w:pStyle w:val="BodyText"/>
      </w:pPr>
      <w:r>
        <w:t>Replicación del efecto del idioma del prompt (Prioridad Media): la ventaja de redactar la instrucción y los</w:t>
      </w:r>
    </w:p>
    <w:p>
      <w:pPr>
        <w:numPr>
          <w:ilvl w:val="0"/>
          <w:numId w:val="0"/>
        </w:numPr>
        <w:pStyle w:val="Normal"/>
      </w:pPr>
      <w:r>
        <w:t>ejemplos en español se midió en +10,40 puntos sobre el corpus de quince artículos, pero no replica: una segunda ejecución sobre el mismo corpus y modelo da +3,11 puntos, y sobre el corpus de ciento veinte el efecto se anula, con una diferencia de −0,43 puntos y p = 0,9328. Determinar si la ventaja existe exige un diseño con réplicas y semillas declaradas sobre un corpus del tamaño suficiente, y conviene hacerlo porque el mecanismo que se le atribuía, la concordancia de idioma entre prompt y texto, no puede ser el correcto: la mejora se obtuvo sobre artículos en inglés.</w:t>
      </w:r>
    </w:p>
    <w:p>
      <w:pPr>
        <w:numPr>
          <w:ilvl w:val="0"/>
          <w:numId w:val="0"/>
        </w:numPr>
        <w:pStyle w:val="BodyText"/>
      </w:pPr>
      <w:r>
        <w:rPr>
          <w:i/>
        </w:rPr>
        <w:t>Formato IEEE</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 [En línea]. Disponible: https://proceedings.neurips.cc/paper/2020/hash/6b493230205f780e1bc26945df7481e5-Abstract.html</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 [En línea]. Disponible: https://doi.org/10.18653/v1/N19-1423</w:t>
      </w:r>
    </w:p>
    <w:p>
      <w:pPr>
        <w:numPr>
          <w:ilvl w:val="0"/>
          <w:numId w:val="0"/>
        </w:numPr>
        <w:pStyle w:val="BodyText"/>
      </w:pPr>
      <w:r>
        <w:t>[3] S. Wu et al., "BloombergGPT: A Large Language Model for Finance," 2023, arXiv:2303.17564. [Online]. Available: https://arxiv.org/abs/2303.17564</w:t>
      </w:r>
    </w:p>
    <w:p>
      <w:pPr>
        <w:numPr>
          <w:ilvl w:val="0"/>
          <w:numId w:val="0"/>
        </w:numPr>
        <w:pStyle w:val="BodyText"/>
      </w:pPr>
      <w:r>
        <w:t xml:space="preserve">[4] A. Vaswani et al., "Attention is All you Need," </w:t>
      </w:r>
      <w:r>
        <w:rPr>
          <w:i/>
        </w:rPr>
        <w:t>Advances in Neural Information Processing Systems</w:t>
      </w:r>
      <w:r>
        <w:t>, vol. 30, 2017. [En línea]. Disponible: https://proceedings.neurips.cc/paper/2017/hash/3f5ee243547dee91fbd053c1c4a845aa-Abstract.html</w:t>
      </w:r>
    </w:p>
    <w:p>
      <w:pPr>
        <w:numPr>
          <w:ilvl w:val="0"/>
          <w:numId w:val="0"/>
        </w:numPr>
        <w:pStyle w:val="BodyText"/>
      </w:pPr>
      <w:r>
        <w:t xml:space="preserve">[5] K. Bourne, </w:t>
      </w:r>
      <w:r>
        <w:rPr>
          <w:i/>
        </w:rPr>
        <w:t>Unlocking Data with Generative AI and RAG</w:t>
      </w:r>
      <w:r>
        <w:t>. Birmingham, R.U.: Packt Publishing, 2024, ISBN 978-1-83588-790-5. [En línea]. Disponible: https://books.google.com/books?vid=ISBN9781835887905</w:t>
      </w:r>
    </w:p>
    <w:p>
      <w:pPr>
        <w:numPr>
          <w:ilvl w:val="0"/>
          <w:numId w:val="0"/>
        </w:numPr>
        <w:pStyle w:val="BodyText"/>
      </w:pPr>
      <w:r>
        <w:t>[6] Y. Gao et al., "Retrieval-Augmented Generation for Large Language Models: A Survey," 2024, arXiv:2312.10997. [Online]. Available: https://arxiv.org/abs/2312.10997</w:t>
      </w:r>
    </w:p>
    <w:p>
      <w:pPr>
        <w:numPr>
          <w:ilvl w:val="0"/>
          <w:numId w:val="0"/>
        </w:numPr>
        <w:pStyle w:val="BodyText"/>
      </w:pPr>
      <w:r>
        <w:t xml:space="preserve">[7] J. Cañete, G. Chaperon, R. Fuentes, J.-H. Ho, H. Kang, and J. Pérez, "Spanish Pre-Trained BERT Model and Evaluation Data," in </w:t>
      </w:r>
      <w:r>
        <w:rPr>
          <w:i/>
        </w:rPr>
        <w:t>Proc. Practical ML for Developing Countries Workshop (PML4DC) at ICLR 2020</w:t>
      </w:r>
      <w:r>
        <w:t>, Addis Abeba, Etiopía, 2020. [En línea]. Disponible: https://arxiv.org/abs/2308.02976</w:t>
      </w:r>
    </w:p>
    <w:p>
      <w:pPr>
        <w:numPr>
          <w:ilvl w:val="0"/>
          <w:numId w:val="0"/>
        </w:numPr>
        <w:pStyle w:val="BodyText"/>
      </w:pPr>
      <w:r>
        <w:t xml:space="preserve">[8] T. Brown et al., "Language Models are Few-Shot Learners," </w:t>
      </w:r>
      <w:r>
        <w:rPr>
          <w:i/>
        </w:rPr>
        <w:t>Advances in Neural Information Processing Systems</w:t>
      </w:r>
      <w:r>
        <w:t>, vol. 33, pp. 1877-1901, 2020. [En línea]. Disponible: https://proceedings.neurips.cc/paper/2020/hash/1457c0d6bfcb4967418bfb8ac142f64a-Abstract.html</w:t>
      </w:r>
    </w:p>
    <w:p>
      <w:pPr>
        <w:numPr>
          <w:ilvl w:val="0"/>
          <w:numId w:val="0"/>
        </w:numPr>
        <w:pStyle w:val="BodyText"/>
      </w:pPr>
      <w:r>
        <w:t>[9] P. Islam, A. Kannappan, D. Kiela, R. Qian, N. Scherrer, and B. Vidgen, "FinanceBench: A New Benchmark for Financial Question Answering," 2023, arXiv:2311.11944. [En línea]. Disponible: https://arxiv.org/abs/2311.11944</w:t>
      </w:r>
    </w:p>
    <w:p>
      <w:pPr>
        <w:numPr>
          <w:ilvl w:val="0"/>
          <w:numId w:val="0"/>
        </w:numPr>
        <w:pStyle w:val="BodyText"/>
      </w:pPr>
      <w:r>
        <w:t xml:space="preserve">[10] J. C. Salinas Alvarado, K. Verspoor, and T. Baldwin, "Domain Adaption of Named Entity Recognition to Support Credit Risk Assessment," in </w:t>
      </w:r>
      <w:r>
        <w:rPr>
          <w:i/>
        </w:rPr>
        <w:t>Proc. Australasian Language Technology Association Workshop (ALTA)</w:t>
      </w:r>
      <w:r>
        <w:t>, Parramatta, Australia, dic. 2015, pp. 84-90. [En línea]. Disponible: https://aclanthology.org/U15-1010/</w:t>
      </w:r>
    </w:p>
    <w:p>
      <w:pPr>
        <w:numPr>
          <w:ilvl w:val="0"/>
          <w:numId w:val="0"/>
        </w:numPr>
        <w:pStyle w:val="BodyText"/>
      </w:pPr>
      <w:r>
        <w:t xml:space="preserve">[11] O. Ahia et al., "Do All Languages Cost the Same? Tokenization in the Era of Commercial Language Models," in </w:t>
      </w:r>
      <w:r>
        <w:rPr>
          <w:i/>
        </w:rPr>
        <w:t>Proc. Conf. Empirical Methods in Natural Language Processing (EMNLP)</w:t>
      </w:r>
      <w:r>
        <w:t>, 2023, pp. 9904-9923. [En línea]. Disponible: https://doi.org/10.18653/v1/2023.emnlp-main.614</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https://aclanthology.org/W02-2024/</w:t>
      </w:r>
    </w:p>
    <w:p>
      <w:pPr>
        <w:numPr>
          <w:ilvl w:val="0"/>
          <w:numId w:val="0"/>
        </w:numPr>
        <w:pStyle w:val="BodyText"/>
      </w:pPr>
      <w:r>
        <w:t xml:space="preserve">[13] J. Wei et al., "Chain-of-Thought Prompting Elicits Reasoning in Large Language Models," </w:t>
      </w:r>
      <w:r>
        <w:rPr>
          <w:i/>
        </w:rPr>
        <w:t>Advances in Neural Information Processing Systems</w:t>
      </w:r>
      <w:r>
        <w:t>, vol. 35, pp. 24824-24837, 2022. [En línea]. Disponible: https://doi.org/10.52202/068431-1800</w:t>
      </w:r>
    </w:p>
    <w:p>
      <w:pPr>
        <w:numPr>
          <w:ilvl w:val="0"/>
          <w:numId w:val="0"/>
        </w:numPr>
        <w:pStyle w:val="BodyText"/>
      </w:pPr>
      <w:r>
        <w:t xml:space="preserve">[14] Z. Zhao et al., "Calibrate Before Use: Improving Few-shot Performance of Language Models," in </w:t>
      </w:r>
      <w:r>
        <w:rPr>
          <w:i/>
        </w:rPr>
        <w:t>Proc. 38th Int. Conf. Machine Learning (ICML)</w:t>
      </w:r>
      <w:r>
        <w:t>, PMLR vol. 139, 2021, pp. 12697-12706. [En línea]. Disponible: https://proceedings.mlr.press/v139/zhao21c.html</w:t>
      </w:r>
    </w:p>
    <w:p>
      <w:pPr>
        <w:numPr>
          <w:ilvl w:val="0"/>
          <w:numId w:val="0"/>
        </w:numPr>
        <w:pStyle w:val="BodyText"/>
      </w:pPr>
      <w:r>
        <w:t xml:space="preserve">[15] L. Loukas, M. Fergadiotis, I. Chalkidis, E. Spyropoulou, P. Malakasiotis, I. Androutsopoulos, and G. Paliouras, "FiNER: Financial Numeric Entity Recognition for XBRL Tagging," in </w:t>
      </w:r>
      <w:r>
        <w:rPr>
          <w:i/>
        </w:rPr>
        <w:t>Proc. 60th Annu. Meeting Assoc. Comput. Linguistics (ACL)</w:t>
      </w:r>
      <w:r>
        <w:t>, vol. 1, Dublín, Irlanda, mayo 2022, pp. 4419-4431, doi: 10.18653/v1/2022.acl-long.303. [En línea]. Disponible: https://aclanthology.org/2022.acl-long.303/</w:t>
      </w:r>
    </w:p>
    <w:p>
      <w:pPr>
        <w:numPr>
          <w:ilvl w:val="0"/>
          <w:numId w:val="0"/>
        </w:numPr>
        <w:pStyle w:val="BodyText"/>
      </w:pPr>
      <w:r>
        <w:t xml:space="preserve">[16] R. Schwartz et al., "Green AI," </w:t>
      </w:r>
      <w:r>
        <w:rPr>
          <w:i/>
        </w:rPr>
        <w:t>Communications of the ACM</w:t>
      </w:r>
      <w:r>
        <w:t>, vol. 63, no. 12, pp. 54-63, 2020. [En línea]. Disponible: https://doi.org/10.1145/3381831</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 [En línea]. Disponible: https://dl.acm.org/doi/10.5555/645530.655813</w:t>
      </w:r>
    </w:p>
    <w:p>
      <w:pPr>
        <w:numPr>
          <w:ilvl w:val="0"/>
          <w:numId w:val="0"/>
        </w:numPr>
        <w:pStyle w:val="BodyText"/>
      </w:pPr>
      <w:r>
        <w:t>[18] Proyecto KLEPTOTRACE, "Kleptotrace-micro-dataset," conjunto de datos, Zenodo, 2024 (15 artículos y 441 frases sobre corrupción financiera, con listas de personas y organizaciones anotadas). doi: 10.5281/zenodo.14027005. [En línea]. Disponible: https://doi.org/10.5281/zenodo.14027005</w:t>
      </w:r>
    </w:p>
    <w:p>
      <w:pPr>
        <w:numPr>
          <w:ilvl w:val="0"/>
          <w:numId w:val="0"/>
        </w:numPr>
        <w:pStyle w:val="BodyText"/>
      </w:pPr>
      <w:r>
        <w:t xml:space="preserve">[19] OpenSanctions. (2024). </w:t>
      </w:r>
      <w:r>
        <w:rPr>
          <w:i/>
        </w:rPr>
        <w:t>OpenSanctions: Open Data on Sanctions Lists and Politically Exposed Persons</w:t>
      </w:r>
      <w:r>
        <w:t xml:space="preserve"> [Online]. Available: https://www.opensanctions.org (accedido: 8 sep. 2026).</w:t>
      </w:r>
    </w:p>
    <w:p>
      <w:pPr>
        <w:numPr>
          <w:ilvl w:val="0"/>
          <w:numId w:val="0"/>
        </w:numPr>
        <w:pStyle w:val="BodyText"/>
      </w:pPr>
      <w:r>
        <w:t xml:space="preserve">[20] T. Dettmers, A. Pagnoni, A. Holtzman, and L. Zettlemoyer, "QLoRA: Efficient Finetuning of Quantized LLMs," </w:t>
      </w:r>
      <w:r>
        <w:rPr>
          <w:i/>
        </w:rPr>
        <w:t>Advances in Neural Information Processing Systems</w:t>
      </w:r>
      <w:r>
        <w:t>, vol. 36, pp. 10088-10115, 2023. [En línea]. Disponible: https://doi.org/10.52202/075280-0441</w:t>
      </w:r>
    </w:p>
    <w:p>
      <w:pPr>
        <w:numPr>
          <w:ilvl w:val="0"/>
          <w:numId w:val="0"/>
        </w:numPr>
        <w:pStyle w:val="BodyText"/>
      </w:pPr>
      <w:r>
        <w:t xml:space="preserve">[21] Verified Market Research. (2022, mar. 8). </w:t>
      </w:r>
      <w:r>
        <w:rPr>
          <w:i/>
        </w:rPr>
        <w:t>RegTech Market Size Worth $87.17 Billion, Globally, by 2028 at 23.92% CAGR</w:t>
      </w:r>
      <w:r>
        <w:t xml:space="preserve"> [Online]. Available: https://www.prnewswire.com/news-releases/regtech-market-size-worth--87-17-billion-globally-by-2028-at-23-92-cagr-verified-market-research-301497770.html (accedido: 8 sep. 2026).</w:t>
      </w:r>
    </w:p>
    <w:p>
      <w:pPr>
        <w:numPr>
          <w:ilvl w:val="0"/>
          <w:numId w:val="0"/>
        </w:numPr>
        <w:pStyle w:val="BodyText"/>
      </w:pPr>
      <w:r>
        <w:t xml:space="preserve">[22] Chile, </w:t>
      </w:r>
      <w:r>
        <w:rPr>
          <w:i/>
        </w:rPr>
        <w:t>Ley N.º 19.913: Crea la Unidad de Análisis Financiero y modifica diversas disposiciones en materia de lavado y blanqueo de activos</w:t>
      </w:r>
      <w:r>
        <w:t>, Diario Oficial, 18 dic. 2003. [Online]. Available: https://www.uaf.cl/es-cl/normativa/nuestra-ley (accedido: 8 sep. 2026).</w:t>
      </w:r>
    </w:p>
    <w:p>
      <w:pPr>
        <w:numPr>
          <w:ilvl w:val="0"/>
          <w:numId w:val="0"/>
        </w:numPr>
        <w:pStyle w:val="BodyText"/>
      </w:pPr>
      <w:r>
        <w:t xml:space="preserve">[23] A. Conneau et al., "Unsupervised Cross-lingual Representation Learning at Scale," in </w:t>
      </w:r>
      <w:r>
        <w:rPr>
          <w:i/>
        </w:rPr>
        <w:t>Proc. 58th Annual Meeting of the Association for Computational Linguistics (ACL)</w:t>
      </w:r>
      <w:r>
        <w:t>, 2020, pp. 8440-8451. [En línea]. Disponible: https://doi.org/10.18653/v1/2020.acl-main.747</w:t>
      </w:r>
    </w:p>
    <w:p>
      <w:pPr>
        <w:numPr>
          <w:ilvl w:val="0"/>
          <w:numId w:val="0"/>
        </w:numPr>
        <w:pStyle w:val="BodyText"/>
      </w:pPr>
      <w:r>
        <w:t xml:space="preserve">[24] G. Lample et al., "Neural Architectures for Named Entity Recognition," in </w:t>
      </w:r>
      <w:r>
        <w:rPr>
          <w:i/>
        </w:rPr>
        <w:t>Proc. Conf. North American Chapter of the Association for Computational Linguistics: Human Language Technologies (NAACL-HLT)</w:t>
      </w:r>
      <w:r>
        <w:t>, San Diego, CA, USA, 2016, pp. 260-270. [En línea]. Disponible: https://doi.org/10.18653/v1/N16-1030</w:t>
      </w:r>
    </w:p>
    <w:p>
      <w:pPr>
        <w:numPr>
          <w:ilvl w:val="0"/>
          <w:numId w:val="0"/>
        </w:numPr>
        <w:pStyle w:val="BodyText"/>
      </w:pPr>
      <w:r>
        <w:t xml:space="preserve">[25] J. W. Tukey, "Comparing Individual Means in the Analysis of Variance," </w:t>
      </w:r>
      <w:r>
        <w:rPr>
          <w:i/>
        </w:rPr>
        <w:t>Biometrics</w:t>
      </w:r>
      <w:r>
        <w:t>, vol. 5, no. 2, pp. 99-114, 1949. [En línea]. Disponible: https://doi.org/10.2307/3001913</w:t>
      </w:r>
    </w:p>
    <w:p>
      <w:pPr>
        <w:numPr>
          <w:ilvl w:val="0"/>
          <w:numId w:val="0"/>
        </w:numPr>
        <w:pStyle w:val="BodyText"/>
      </w:pPr>
      <w:r>
        <w:t xml:space="preserve">[26] D.-M. Chiu and R. Jain, "Analysis of the Increase and Decrease Algorithms for Congestion Avoidance in Computer Networks," </w:t>
      </w:r>
      <w:r>
        <w:rPr>
          <w:i/>
        </w:rPr>
        <w:t>Computer Networks and ISDN Systems</w:t>
      </w:r>
      <w:r>
        <w:t>, vol. 17, no. 1, pp. 1-14, 1989. [En línea]. Disponible: https://doi.org/10.1016/0169-7552(89)90019-6</w:t>
      </w:r>
    </w:p>
    <w:p>
      <w:pPr>
        <w:numPr>
          <w:ilvl w:val="0"/>
          <w:numId w:val="0"/>
        </w:numPr>
        <w:pStyle w:val="BodyText"/>
      </w:pPr>
      <w:r>
        <w:t xml:space="preserve">[27] E. J. Hu et al., "LoRA: Low-Rank Adaptation of Large Language Models," in </w:t>
      </w:r>
      <w:r>
        <w:rPr>
          <w:i/>
        </w:rPr>
        <w:t>Proc. Int. Conf. on Learning Representations (ICLR)</w:t>
      </w:r>
      <w:r>
        <w:t>, 2022. [En línea]. Disponible: https://iclr.cc/virtual/2022/poster/6319</w:t>
      </w:r>
    </w:p>
    <w:p>
      <w:pPr>
        <w:numPr>
          <w:ilvl w:val="0"/>
          <w:numId w:val="0"/>
        </w:numPr>
        <w:pStyle w:val="BodyText"/>
      </w:pPr>
      <w:r>
        <w:t xml:space="preserve">[28] W. Kwon et al., "Efficient Memory Management for Large Language Model Serving with PagedAttention," in </w:t>
      </w:r>
      <w:r>
        <w:rPr>
          <w:i/>
        </w:rPr>
        <w:t>Proc. 29th ACM Symp. on Operating Systems Principles (SOSP)</w:t>
      </w:r>
      <w:r>
        <w:t>, 2023, pp. 611-626. doi: 10.1145/3600006.3613165. [En línea]. Disponible: https://doi.org/10.1145/3600006.3613165</w:t>
      </w:r>
    </w:p>
    <w:p>
      <w:pPr>
        <w:numPr>
          <w:ilvl w:val="0"/>
          <w:numId w:val="0"/>
        </w:numPr>
        <w:pStyle w:val="BodyText"/>
      </w:pPr>
      <w:r>
        <w:t xml:space="preserve">[29] Ollama. </w:t>
      </w:r>
      <w:r>
        <w:rPr>
          <w:i/>
        </w:rPr>
        <w:t>Ollama</w:t>
      </w:r>
      <w:r>
        <w:t xml:space="preserve"> [Online]. Available: https://github.com/ollama/ollama (accedido: 8 sep. 2026).</w:t>
      </w:r>
    </w:p>
    <w:p>
      <w:pPr>
        <w:numPr>
          <w:ilvl w:val="0"/>
          <w:numId w:val="0"/>
        </w:numPr>
        <w:pStyle w:val="BodyText"/>
      </w:pPr>
      <w:r>
        <w:t xml:space="preserve">[30] llama.cpp contributors. </w:t>
      </w:r>
      <w:r>
        <w:rPr>
          <w:i/>
        </w:rPr>
        <w:t>llama.cpp: LLM inference in C/C++</w:t>
      </w:r>
      <w:r>
        <w:t xml:space="preserve"> [Online]. Available: https://github.com/ggml-org/llama.cpp (accedido: 8 sep. 2026).</w:t>
      </w:r>
    </w:p>
    <w:p>
      <w:pPr>
        <w:numPr>
          <w:ilvl w:val="0"/>
          <w:numId w:val="0"/>
        </w:numPr>
        <w:pStyle w:val="BodyText"/>
      </w:pPr>
      <w:r>
        <w:t xml:space="preserve">[31] Apple Machine Learning Research. </w:t>
      </w:r>
      <w:r>
        <w:rPr>
          <w:i/>
        </w:rPr>
        <w:t>MLX: An array framework for Apple silicon</w:t>
      </w:r>
      <w:r>
        <w:t xml:space="preserve"> [Online]. Available: https://github.com/ml-explore/mlx (accedido: 8 sep. 2026).</w:t>
      </w:r>
    </w:p>
    <w:p>
      <w:pPr>
        <w:numPr>
          <w:ilvl w:val="0"/>
          <w:numId w:val="0"/>
        </w:numPr>
        <w:pStyle w:val="BodyText"/>
      </w:pPr>
      <w:r>
        <w:t xml:space="preserve">[32] Chroma. </w:t>
      </w:r>
      <w:r>
        <w:rPr>
          <w:i/>
        </w:rPr>
        <w:t>chroma: search infrastructure for AI</w:t>
      </w:r>
      <w:r>
        <w:t xml:space="preserve"> [Online]. Available: https://github.com/chroma-core/chroma (accedido: 8 sep. 2026).</w:t>
      </w:r>
    </w:p>
    <w:p>
      <w:pPr>
        <w:numPr>
          <w:ilvl w:val="0"/>
          <w:numId w:val="0"/>
        </w:numPr>
        <w:pStyle w:val="BodyText"/>
      </w:pPr>
      <w:r>
        <w:t xml:space="preserve">[33] M. Bachmann et al. </w:t>
      </w:r>
      <w:r>
        <w:rPr>
          <w:i/>
        </w:rPr>
        <w:t>RapidFuzz: rapid fuzzy string matching in Python</w:t>
      </w:r>
      <w:r>
        <w:t xml:space="preserve"> [Online]. Available: https://pypi.org/project/RapidFuzz/ (accedido: 8 sep. 2026).</w:t>
      </w:r>
    </w:p>
    <w:p>
      <w:pPr>
        <w:numPr>
          <w:ilvl w:val="0"/>
          <w:numId w:val="0"/>
        </w:numPr>
        <w:pStyle w:val="BodyText"/>
      </w:pPr>
      <w:r>
        <w:t xml:space="preserve">[34] F. Pedregosa et al., "Scikit-learn: Machine Learning in Python," </w:t>
      </w:r>
      <w:r>
        <w:rPr>
          <w:i/>
        </w:rPr>
        <w:t>Journal of Machine Learning Research</w:t>
      </w:r>
      <w:r>
        <w:t>, vol. 12, pp. 2825-2830, 2011. [En línea]. Disponible: https://www.jmlr.org/papers/v12/pedregosa11a.html</w:t>
      </w:r>
    </w:p>
    <w:p>
      <w:pPr>
        <w:numPr>
          <w:ilvl w:val="0"/>
          <w:numId w:val="0"/>
        </w:numPr>
        <w:pStyle w:val="BodyText"/>
      </w:pPr>
      <w:r>
        <w:t xml:space="preserve">[35] S. Seabold and J. Perktold, "Statsmodels: Econometric and Statistical Modeling with Python," in </w:t>
      </w:r>
      <w:r>
        <w:rPr>
          <w:i/>
        </w:rPr>
        <w:t>Proc. 9th Python in Science Conf. (SciPy)</w:t>
      </w:r>
      <w:r>
        <w:t>, Austin, TX, USA, 2010, pp. 92-96. [En línea]. Disponible: https://doi.org/10.25080/Majora-92bf1922-011</w:t>
      </w:r>
    </w:p>
    <w:p>
      <w:pPr>
        <w:numPr>
          <w:ilvl w:val="0"/>
          <w:numId w:val="0"/>
        </w:numPr>
        <w:pStyle w:val="BodyText"/>
      </w:pPr>
      <w:r>
        <w:t xml:space="preserve">[36] Apple Inc. </w:t>
      </w:r>
      <w:r>
        <w:rPr>
          <w:i/>
        </w:rPr>
        <w:t>recommendedMaxWorkingSetSize (Metal, MTLDevice)</w:t>
      </w:r>
      <w:r>
        <w:t xml:space="preserve"> [Online]. Available: https://developer.apple.com/documentation/metal/mtldevice/recommendedmaxworkingsetsize (accedido: 8 sep. 2026).</w:t>
      </w:r>
    </w:p>
    <w:p>
      <w:pPr>
        <w:numPr>
          <w:ilvl w:val="0"/>
          <w:numId w:val="0"/>
        </w:numPr>
        <w:pStyle w:val="BodyText"/>
      </w:pPr>
      <w:r>
        <w:t xml:space="preserve">[37] E. Ahumada Gallardo. </w:t>
      </w:r>
      <w:r>
        <w:rPr>
          <w:i/>
        </w:rPr>
        <w:t>mti-pge-tesina-ner-llm-local</w:t>
      </w:r>
      <w:r>
        <w:t>, repositorio de código del trabajo, 2026. [Online]. Available: https://github.com/eahumada/mti-pge-tesina-ner-llm-local (accedido: 8 sep. 2026).</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BodyText"/>
      </w:pPr>
      <w:r>
        <w:t>El código, los corpus, los resultados por corrida y los documentos de trabajo están publicados en el repositorio del trabajo [37]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9. Estructura del repositorio de código.</w:t>
      </w:r>
    </w:p>
    <w:tbl>
      <w:tblPr>
        <w:tblStyle w:val="Table"/>
        <w:tblW w:type="pct" w:w="5000"/>
        <w:tblLayout w:type="fixed"/>
        <w:tblLook w:firstRow="1" w:lastRow="0" w:firstColumn="0" w:lastColumn="0" w:noHBand="0" w:noVBand="0" w:val="0020"/>
      </w:tblPr>
      <w:tblGrid>
        <w:gridCol w:w="5461"/>
        <w:gridCol w:w="3377"/>
      </w:tblGrid>
      <w:tr>
        <w:trPr>
          <w:tblHeader w:val="on"/>
        </w:trPr>
        <w:tc>
          <w:tcPr>
            <w:tcW w:type="dxa" w:w="5461"/>
          </w:tcPr>
          <w:p>
            <w:pPr>
              <w:pStyle w:val="Compact"/>
              <w:jc w:val="left"/>
            </w:pPr>
            <w:r>
              <w:rPr>
                <w:b/>
              </w:rPr>
              <w:t>Ruta</w:t>
            </w:r>
          </w:p>
        </w:tc>
        <w:tc>
          <w:tcPr>
            <w:tcW w:type="dxa" w:w="3377"/>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p>
        </w:tc>
      </w:tr>
      <w:tr>
        <w:tc>
          <w:tcPr>
            <w:tcW w:type="dxa" w:w="5461"/>
          </w:tcPr>
          <w:p>
            <w:pPr>
              <w:pStyle w:val="Compact"/>
              <w:jc w:val="left"/>
            </w:pPr>
            <w:r>
              <w:rPr>
                <w:b w:val="0"/>
              </w:rPr>
              <w:t>src/</w:t>
            </w:r>
          </w:p>
        </w:tc>
        <w:tc>
          <w:tcPr>
            <w:tcW w:type="dxa" w:w="3377"/>
          </w:tcPr>
          <w:p>
            <w:pPr>
              <w:pStyle w:val="Compact"/>
              <w:jc w:val="left"/>
            </w:pP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p>
        </w:tc>
      </w:tr>
      <w:tr>
        <w:tc>
          <w:tcPr>
            <w:tcW w:type="dxa" w:w="5461"/>
          </w:tcPr>
          <w:p>
            <w:pPr>
              <w:pStyle w:val="Compact"/>
              <w:jc w:val="left"/>
            </w:pPr>
            <w:r>
              <w:rPr>
                <w:b w:val="0"/>
              </w:rPr>
              <w:t xml:space="preserve">    statistical_report.md</w:t>
            </w:r>
          </w:p>
        </w:tc>
        <w:tc>
          <w:tcPr>
            <w:tcW w:type="dxa" w:w="3377"/>
          </w:tcPr>
          <w:p>
            <w:pPr>
              <w:pStyle w:val="Compact"/>
              <w:jc w:val="left"/>
            </w:pP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p>
        </w:tc>
      </w:tr>
      <w:tr>
        <w:tc>
          <w:tcPr>
            <w:tcW w:type="dxa" w:w="5461"/>
          </w:tcPr>
          <w:p>
            <w:pPr>
              <w:pStyle w:val="Compact"/>
              <w:jc w:val="left"/>
            </w:pPr>
            <w:r>
              <w:rPr>
                <w:b w:val="0"/>
              </w:rPr>
              <w:t xml:space="preserve">    rag/</w:t>
            </w:r>
          </w:p>
        </w:tc>
        <w:tc>
          <w:tcPr>
            <w:tcW w:type="dxa" w:w="3377"/>
          </w:tcPr>
          <w:p>
            <w:pPr>
              <w:pStyle w:val="Compact"/>
              <w:jc w:val="left"/>
            </w:pP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Normal"/>
      </w:pPr>
      <w:r>
        <w:rPr>
          <w:b/>
        </w:rPr>
        <w:t>Ejemplos few-shot de la configuración FS-ES</w:t>
      </w:r>
      <w:r>
        <w:t xml:space="preserve"> (§4.3):</w:t>
      </w:r>
    </w:p>
    <w:p>
      <w:pPr>
        <w:numPr>
          <w:ilvl w:val="0"/>
          <w:numId w:val="0"/>
        </w:numPr>
        <w:pStyle w:val="Normal"/>
      </w:pPr>
      <w:r>
        <w:rPr>
          <w:b/>
        </w:rPr>
        <w:t>Ejemplo few-shot 1 (caso persona sancionada):</w:t>
      </w:r>
    </w:p>
    <w:p>
      <w:pPr>
        <w:numPr>
          <w:ilvl w:val="0"/>
          <w:numId w:val="0"/>
        </w:numPr>
        <w:pStyle w:val="Source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Normal"/>
      </w:pPr>
      <w:r>
        <w:rPr>
          <w:b/>
        </w:rPr>
        <w:t>Ejemplo few-shot 2 (caso organización sancionada):</w:t>
      </w:r>
    </w:p>
    <w:p>
      <w:pPr>
        <w:numPr>
          <w:ilvl w:val="0"/>
          <w:numId w:val="0"/>
        </w:numPr>
        <w:pStyle w:val="Source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Normal"/>
      </w:pPr>
      <w:r>
        <w:rPr>
          <w:b/>
        </w:rPr>
        <w:t>Ejemplo few-shot 3 (caso PEP complejo):</w:t>
      </w:r>
    </w:p>
    <w:p>
      <w:pPr>
        <w:numPr>
          <w:ilvl w:val="0"/>
          <w:numId w:val="0"/>
        </w:numPr>
        <w:pStyle w:val="Source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Source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10. Configuración del entorno de pruebas.</w:t>
      </w:r>
    </w:p>
    <w:tbl>
      <w:tblPr>
        <w:tblStyle w:val="Table"/>
        <w:tblW w:type="pct" w:w="5000"/>
        <w:tblLayout w:type="fixed"/>
        <w:tblLook w:firstRow="1" w:lastRow="0" w:firstColumn="0" w:lastColumn="0" w:noHBand="0" w:noVBand="0" w:val="0020"/>
      </w:tblPr>
      <w:tblGrid>
        <w:gridCol w:w="4419"/>
        <w:gridCol w:w="4419"/>
      </w:tblGrid>
      <w:tr>
        <w:trPr>
          <w:tblHeader w:val="on"/>
        </w:trPr>
        <w:tc>
          <w:tcPr>
            <w:tcW w:type="dxa" w:w="4419"/>
          </w:tcPr>
          <w:p>
            <w:pPr>
              <w:pStyle w:val="Compact"/>
              <w:jc w:val="left"/>
            </w:pPr>
            <w:r>
              <w:rPr>
                <w:b/>
              </w:rPr>
              <w:t>Componente</w:t>
            </w:r>
          </w:p>
        </w:tc>
        <w:tc>
          <w:tcPr>
            <w:tcW w:type="dxa" w:w="4419"/>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BodyText"/>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w:t>
      </w:r>
    </w:p>
    <w:p>
      <w:pPr>
        <w:numPr>
          <w:ilvl w:val="0"/>
          <w:numId w:val="0"/>
        </w:numPr>
        <w:pStyle w:val="TableCaption"/>
      </w:pPr>
      <w:r>
        <w:t>Tabla 11. Configuración CLI del Módulo KB RAG.</w:t>
      </w:r>
    </w:p>
    <w:tbl>
      <w:tblPr>
        <w:tblStyle w:val="Table"/>
        <w:tblW w:type="pct" w:w="5000"/>
        <w:tblLayout w:type="fixed"/>
        <w:tblLook w:firstRow="1" w:lastRow="0" w:firstColumn="0" w:lastColumn="0" w:noHBand="0" w:noVBand="0" w:val="0020"/>
      </w:tblPr>
      <w:tblGrid>
        <w:gridCol w:w="1148"/>
        <w:gridCol w:w="2121"/>
        <w:gridCol w:w="3004"/>
        <w:gridCol w:w="2565"/>
      </w:tblGrid>
      <w:tr>
        <w:trPr>
          <w:tblHeader w:val="on"/>
        </w:trPr>
        <w:tc>
          <w:tcPr>
            <w:tcW w:type="dxa" w:w="1148"/>
          </w:tcPr>
          <w:p>
            <w:pPr>
              <w:pStyle w:val="Compact"/>
              <w:jc w:val="left"/>
            </w:pPr>
            <w:r>
              <w:rPr>
                <w:b/>
              </w:rPr>
              <w:t>Modo</w:t>
            </w:r>
          </w:p>
        </w:tc>
        <w:tc>
          <w:tcPr>
            <w:tcW w:type="dxa" w:w="2121"/>
          </w:tcPr>
          <w:p>
            <w:pPr>
              <w:pStyle w:val="Compact"/>
              <w:jc w:val="left"/>
            </w:pPr>
            <w:r>
              <w:rPr>
                <w:b/>
              </w:rPr>
              <w:t>Flag CLI</w:t>
            </w:r>
          </w:p>
        </w:tc>
        <w:tc>
          <w:tcPr>
            <w:tcW w:type="dxa" w:w="3004"/>
          </w:tcPr>
          <w:p>
            <w:pPr>
              <w:pStyle w:val="Compact"/>
              <w:jc w:val="left"/>
            </w:pPr>
            <w:r>
              <w:rPr>
                <w:b/>
              </w:rPr>
              <w:t>Descripción</w:t>
            </w:r>
          </w:p>
        </w:tc>
        <w:tc>
          <w:tcPr>
            <w:tcW w:type="dxa" w:w="2565"/>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[32]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Tabla 12. Guías Tipológicas de Dominio de la Base de Conocimientos.</w:t>
      </w:r>
    </w:p>
    <w:tbl>
      <w:tblPr>
        <w:tblStyle w:val="Table"/>
        <w:tblW w:type="pct" w:w="5000"/>
        <w:tblLayout w:type="fixed"/>
        <w:tblLook w:firstRow="1" w:lastRow="0" w:firstColumn="0" w:lastColumn="0" w:noHBand="0" w:noVBand="0" w:val="0020"/>
      </w:tblPr>
      <w:tblGrid>
        <w:gridCol w:w="2513"/>
        <w:gridCol w:w="2211"/>
        <w:gridCol w:w="900"/>
        <w:gridCol w:w="3214"/>
      </w:tblGrid>
      <w:tr>
        <w:trPr>
          <w:tblHeader w:val="on"/>
        </w:trPr>
        <w:tc>
          <w:tcPr>
            <w:tcW w:type="dxa" w:w="2513"/>
          </w:tcPr>
          <w:p>
            <w:pPr>
              <w:pStyle w:val="Compact"/>
              <w:jc w:val="left"/>
            </w:pPr>
            <w:r>
              <w:rPr>
                <w:b/>
              </w:rPr>
              <w:t>Dominio</w:t>
            </w:r>
          </w:p>
        </w:tc>
        <w:tc>
          <w:tcPr>
            <w:tcW w:type="dxa" w:w="2211"/>
          </w:tcPr>
          <w:p>
            <w:pPr>
              <w:pStyle w:val="Compact"/>
              <w:jc w:val="left"/>
            </w:pPr>
            <w:r>
              <w:rPr>
                <w:b/>
              </w:rPr>
              <w:t>ID</w:t>
            </w:r>
          </w:p>
        </w:tc>
        <w:tc>
          <w:tcPr>
            <w:tcW w:type="dxa" w:w="900"/>
          </w:tcPr>
          <w:p>
            <w:pPr>
              <w:pStyle w:val="Compact"/>
              <w:jc w:val="left"/>
            </w:pPr>
            <w:r>
              <w:rPr>
                <w:b/>
              </w:rPr>
              <w:t>Idioma</w:t>
            </w:r>
          </w:p>
        </w:tc>
        <w:tc>
          <w:tcPr>
            <w:tcW w:type="dxa" w:w="3214"/>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900"/>
          </w:tcPr>
          <w:p>
            <w:pPr>
              <w:pStyle w:val="Compact"/>
              <w:jc w:val="left"/>
            </w:pPr>
            <w:r>
              <w:rPr>
                <w:b w:val="0"/>
              </w:rPr>
              <w:t>ES</w:t>
            </w:r>
          </w:p>
        </w:tc>
        <w:tc>
          <w:tcPr>
            <w:tcW w:type="dxa" w:w="3214"/>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900"/>
          </w:tcPr>
          <w:p>
            <w:pPr>
              <w:pStyle w:val="Compact"/>
              <w:jc w:val="left"/>
            </w:pPr>
            <w:r>
              <w:rPr>
                <w:b w:val="0"/>
              </w:rPr>
              <w:t>ES</w:t>
            </w:r>
          </w:p>
        </w:tc>
        <w:tc>
          <w:tcPr>
            <w:tcW w:type="dxa" w:w="3214"/>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900"/>
          </w:tcPr>
          <w:p>
            <w:pPr>
              <w:pStyle w:val="Compact"/>
              <w:jc w:val="left"/>
            </w:pPr>
            <w:r>
              <w:rPr>
                <w:b w:val="0"/>
              </w:rPr>
              <w:t>EN</w:t>
            </w:r>
          </w:p>
        </w:tc>
        <w:tc>
          <w:tcPr>
            <w:tcW w:type="dxa" w:w="3214"/>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900"/>
          </w:tcPr>
          <w:p>
            <w:pPr>
              <w:pStyle w:val="Compact"/>
              <w:jc w:val="left"/>
            </w:pPr>
            <w:r>
              <w:rPr>
                <w:b w:val="0"/>
              </w:rPr>
              <w:t>ES</w:t>
            </w:r>
          </w:p>
        </w:tc>
        <w:tc>
          <w:tcPr>
            <w:tcW w:type="dxa" w:w="3214"/>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900"/>
          </w:tcPr>
          <w:p>
            <w:pPr>
              <w:pStyle w:val="Compact"/>
              <w:jc w:val="left"/>
            </w:pPr>
            <w:r>
              <w:rPr>
                <w:b w:val="0"/>
              </w:rPr>
              <w:t>ES</w:t>
            </w:r>
          </w:p>
        </w:tc>
        <w:tc>
          <w:tcPr>
            <w:tcW w:type="dxa" w:w="3214"/>
          </w:tcPr>
          <w:p>
            <w:pPr>
              <w:pStyle w:val="Compact"/>
              <w:jc w:val="center"/>
            </w:pPr>
            <w:r>
              <w:rPr>
                <w:b w:val="0"/>
              </w:rPr>
              <w:t>liga, federación, torneo</w:t>
            </w:r>
          </w:p>
        </w:tc>
      </w:tr>
    </w:tbl>
    <w:p>
      <w:pPr>
        <w:numPr>
          <w:ilvl w:val="0"/>
          <w:numId w:val="0"/>
        </w:numPr>
        <w:pStyle w:val="TableCaption"/>
      </w:pPr>
      <w:r>
        <w:t>Tabla 13. Ejemplares Few-Shot de la Base de Conocimientos.</w:t>
      </w:r>
    </w:p>
    <w:tbl>
      <w:tblPr>
        <w:tblStyle w:val="Table"/>
        <w:tblW w:type="pct" w:w="5000"/>
        <w:tblLayout w:type="fixed"/>
        <w:tblLook w:firstRow="1" w:lastRow="0" w:firstColumn="0" w:lastColumn="0" w:noHBand="0" w:noVBand="0" w:val="0020"/>
      </w:tblPr>
      <w:tblGrid>
        <w:gridCol w:w="4344"/>
        <w:gridCol w:w="2396"/>
        <w:gridCol w:w="2098"/>
      </w:tblGrid>
      <w:tr>
        <w:trPr>
          <w:tblHeader w:val="on"/>
        </w:trPr>
        <w:tc>
          <w:tcPr>
            <w:tcW w:type="dxa" w:w="4344"/>
          </w:tcPr>
          <w:p>
            <w:pPr>
              <w:pStyle w:val="Compact"/>
              <w:jc w:val="left"/>
            </w:pPr>
            <w:r>
              <w:rPr>
                <w:b/>
              </w:rPr>
              <w:t>ID Ejemplar</w:t>
            </w:r>
          </w:p>
        </w:tc>
        <w:tc>
          <w:tcPr>
            <w:tcW w:type="dxa" w:w="2396"/>
          </w:tcPr>
          <w:p>
            <w:pPr>
              <w:pStyle w:val="Compact"/>
              <w:jc w:val="left"/>
            </w:pPr>
            <w:r>
              <w:rPr>
                <w:b/>
              </w:rPr>
              <w:t>Dominio</w:t>
            </w:r>
          </w:p>
        </w:tc>
        <w:tc>
          <w:tcPr>
            <w:tcW w:type="dxa" w:w="2098"/>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Tabla 14. Reglas de la guía tipológica del dominio político-administrativo (politics_es), a modo de ejemplo.</w:t>
      </w:r>
    </w:p>
    <w:tbl>
      <w:tblPr>
        <w:tblStyle w:val="Table"/>
        <w:tblW w:type="pct" w:w="5000"/>
        <w:tblLayout w:type="fixed"/>
        <w:tblLook w:firstRow="1" w:lastRow="0" w:firstColumn="0" w:lastColumn="0" w:noHBand="0" w:noVBand="0" w:val="0020"/>
      </w:tblPr>
      <w:tblGrid>
        <w:gridCol w:w="3130"/>
        <w:gridCol w:w="5708"/>
      </w:tblGrid>
      <w:tr>
        <w:trPr>
          <w:tblHeader w:val="on"/>
        </w:trPr>
        <w:tc>
          <w:tcPr>
            <w:tcW w:type="dxa" w:w="3130"/>
          </w:tcPr>
          <w:p>
            <w:pPr>
              <w:pStyle w:val="Compact"/>
              <w:jc w:val="left"/>
            </w:pPr>
            <w:r>
              <w:rPr>
                <w:b/>
              </w:rPr>
              <w:t>Regla</w:t>
            </w:r>
          </w:p>
        </w:tc>
        <w:tc>
          <w:tcPr>
            <w:tcW w:type="dxa" w:w="5708"/>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Tabla 15. Procedencia de cada fila del benchmark exploratorio: correspondencia con su corrida de origen.</w:t>
      </w:r>
    </w:p>
    <w:tbl>
      <w:tblPr>
        <w:tblStyle w:val="Table"/>
        <w:tblW w:type="pct" w:w="5000"/>
        <w:tblLayout w:type="fixed"/>
        <w:tblLook w:firstRow="1" w:lastRow="0" w:firstColumn="0" w:lastColumn="0" w:noHBand="0" w:noVBand="0" w:val="0020"/>
      </w:tblPr>
      <w:tblGrid>
        <w:gridCol w:w="4215"/>
        <w:gridCol w:w="4623"/>
      </w:tblGrid>
      <w:tr>
        <w:trPr>
          <w:tblHeader w:val="on"/>
        </w:trPr>
        <w:tc>
          <w:tcPr>
            <w:tcW w:type="dxa" w:w="4215"/>
          </w:tcPr>
          <w:p>
            <w:pPr>
              <w:pStyle w:val="Compact"/>
              <w:jc w:val="left"/>
            </w:pPr>
            <w:r>
              <w:rPr>
                <w:b/>
              </w:rPr>
              <w:t>Filas de la Tabla 4</w:t>
            </w:r>
          </w:p>
        </w:tc>
        <w:tc>
          <w:tcPr>
            <w:tcW w:type="dxa" w:w="4623"/>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bl>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[19]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(más de 130 commits entre el 1 de julio y el 8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las que el capítulo 6 discute sobre la codificación del corpus y el alcance de la medición.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BodyText"/>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16. Formas corruptas de los nombres almacenados y su representación real.</w:t>
      </w:r>
    </w:p>
    <w:tbl>
      <w:tblPr>
        <w:tblStyle w:val="Table"/>
        <w:tblW w:type="pct" w:w="5000"/>
        <w:tblLayout w:type="fixed"/>
        <w:tblLook w:firstRow="1" w:lastRow="0" w:firstColumn="0" w:lastColumn="0" w:noHBand="0" w:noVBand="0" w:val="0020"/>
      </w:tblPr>
      <w:tblGrid>
        <w:gridCol w:w="5077"/>
        <w:gridCol w:w="3761"/>
      </w:tblGrid>
      <w:tr>
        <w:trPr>
          <w:tblHeader w:val="on"/>
        </w:trPr>
        <w:tc>
          <w:tcPr>
            <w:tcW w:type="dxa" w:w="5077"/>
          </w:tcPr>
          <w:p>
            <w:pPr>
              <w:pStyle w:val="Compact"/>
              <w:jc w:val="left"/>
            </w:pPr>
            <w:r>
              <w:rPr>
                <w:b/>
              </w:rPr>
              <w:t>Forma almacenada (corrupta)</w:t>
            </w:r>
          </w:p>
        </w:tc>
        <w:tc>
          <w:tcPr>
            <w:tcW w:type="dxa" w:w="3761"/>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17. Alcance medido del defecto de codificación sobre el corpus N=120.</w:t>
      </w:r>
    </w:p>
    <w:tbl>
      <w:tblPr>
        <w:tblStyle w:val="Table"/>
        <w:tblW w:type="pct" w:w="5000"/>
        <w:tblLayout w:type="fixed"/>
        <w:tblLook w:firstRow="1" w:lastRow="0" w:firstColumn="0" w:lastColumn="0" w:noHBand="0" w:noVBand="0" w:val="0020"/>
      </w:tblPr>
      <w:tblGrid>
        <w:gridCol w:w="5564"/>
        <w:gridCol w:w="3274"/>
      </w:tblGrid>
      <w:tr>
        <w:trPr>
          <w:tblHeader w:val="on"/>
        </w:trPr>
        <w:tc>
          <w:tcPr>
            <w:tcW w:type="dxa" w:w="5564"/>
          </w:tcPr>
          <w:p>
            <w:pPr>
              <w:pStyle w:val="Compact"/>
              <w:jc w:val="left"/>
            </w:pPr>
            <w:r>
              <w:rPr>
                <w:b/>
              </w:rPr>
              <w:t>Comprobación sobre data/benchmark_balanced_120.json</w:t>
            </w:r>
          </w:p>
        </w:tc>
        <w:tc>
          <w:tcPr>
            <w:tcW w:type="dxa" w:w="3274"/>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 xml:space="preserve">Entidades con </w:t>
            </w:r>
            <w:r>
              <w:rPr>
                <w:b w:val="0"/>
                <w:i/>
              </w:rPr>
              <w:t>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 xml:space="preserve">Artículos con </w:t>
            </w:r>
            <w:r>
              <w:rPr>
                <w:b w:val="0"/>
                <w:i/>
              </w:rPr>
              <w:t>mojibake</w:t>
            </w:r>
            <w:r>
              <w:rPr>
                <w:b w:val="0"/>
              </w:rPr>
              <w:t xml:space="preserv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BodyText"/>
      </w:pPr>
      <w:r>
        <w:t xml:space="preserve">El efecto se midió sobre las 24 configuraciones del corpus N=120 que aportan los ciento veinte registros completos, con el script </w:t>
      </w:r>
      <w:r>
        <w:t>tools/analisis_mojibake.py</w:t>
      </w:r>
      <w:r>
        <w:t xml:space="preserve">, que se publica para que la tabla sea reproducible. La medición obliga a declarar el criterio de «artículo afectado», porque </w:t>
      </w:r>
      <w:r>
        <w:rPr>
          <w:b/>
        </w:rPr>
        <w:t>el signo del efecto depende de cuál se elija</w:t>
      </w:r>
      <w:r>
        <w:t>, y esa dependencia es en sí misma el resultado:</w:t>
      </w:r>
    </w:p>
    <w:p>
      <w:pPr>
        <w:numPr>
          <w:ilvl w:val="0"/>
          <w:numId w:val="0"/>
        </w:numPr>
        <w:pStyle w:val="BodyText"/>
      </w:pPr>
      <w:r>
        <w:rPr>
          <w:b/>
        </w:rPr>
        <w:t>Por entidad de referencia corrupta</w:t>
      </w:r>
      <w:r>
        <w:t>: 89 artículos afectados y 31 no.</w:t>
      </w:r>
    </w:p>
    <w:p>
      <w:pPr>
        <w:numPr>
          <w:ilvl w:val="0"/>
          <w:numId w:val="0"/>
        </w:numPr>
        <w:pStyle w:val="BodyText"/>
      </w:pPr>
      <w:r>
        <w:rPr>
          <w:b/>
        </w:rPr>
        <w:t>Por texto de entrada corrupto</w:t>
      </w:r>
      <w:r>
        <w:t>: 104 artículos afectados y 16 no.</w:t>
      </w:r>
    </w:p>
    <w:p>
      <w:pPr>
        <w:numPr>
          <w:ilvl w:val="0"/>
          <w:numId w:val="0"/>
        </w:numPr>
        <w:pStyle w:val="TableCaption"/>
      </w:pPr>
      <w:r>
        <w:t xml:space="preserve">Tabla 18. Efecto diferencial del </w:t>
      </w:r>
      <w:r>
        <w:rPr>
          <w:i/>
        </w:rPr>
        <w:t>mojibake</w:t>
      </w:r>
      <w:r>
        <w:t xml:space="preserve"> sobre el F1 según el criterio de artículo afectado.</w:t>
      </w:r>
    </w:p>
    <w:tbl>
      <w:tblPr>
        <w:tblStyle w:val="Table"/>
        <w:tblW w:type="pct" w:w="5000"/>
        <w:tblLayout w:type="fixed"/>
        <w:tblLook w:firstRow="1" w:lastRow="0" w:firstColumn="0" w:lastColumn="0" w:noHBand="0" w:noVBand="0" w:val="0020"/>
      </w:tblPr>
      <w:tblGrid>
        <w:gridCol w:w="2981"/>
        <w:gridCol w:w="3194"/>
        <w:gridCol w:w="2663"/>
      </w:tblGrid>
      <w:tr>
        <w:trPr>
          <w:tblHeader w:val="on"/>
        </w:trPr>
        <w:tc>
          <w:tcPr>
            <w:tcW w:type="dxa" w:w="2981"/>
          </w:tcPr>
          <w:p>
            <w:pPr>
              <w:pStyle w:val="Compact"/>
              <w:jc w:val="left"/>
            </w:pPr>
            <w:r>
              <w:rPr>
                <w:b/>
              </w:rPr>
              <w:t>Configuración</w:t>
            </w:r>
          </w:p>
        </w:tc>
        <w:tc>
          <w:tcPr>
            <w:tcW w:type="dxa" w:w="3194"/>
          </w:tcPr>
          <w:p>
            <w:pPr>
              <w:pStyle w:val="Compact"/>
              <w:jc w:val="left"/>
            </w:pPr>
            <w:r>
              <w:rPr>
                <w:b/>
              </w:rPr>
              <w:t>Δ F1 por entidad de referencia</w:t>
            </w:r>
          </w:p>
        </w:tc>
        <w:tc>
          <w:tcPr>
            <w:tcW w:type="dxa" w:w="2663"/>
          </w:tcPr>
          <w:p>
            <w:pPr>
              <w:pStyle w:val="Compact"/>
              <w:jc w:val="left"/>
            </w:pPr>
            <w:r>
              <w:rPr>
                <w:b/>
              </w:rPr>
              <w:t>Δ F1 por texto de entrada</w:t>
            </w:r>
          </w:p>
        </w:tc>
      </w:tr>
      <w:tr>
        <w:tc>
          <w:tcPr>
            <w:tcW w:type="dxa" w:w="2981"/>
          </w:tcPr>
          <w:p>
            <w:pPr>
              <w:pStyle w:val="Compact"/>
              <w:jc w:val="left"/>
            </w:pPr>
            <w:r>
              <w:rPr>
                <w:b w:val="0"/>
              </w:rPr>
              <w:t>qwen3:8b_kb_rag</w:t>
            </w:r>
          </w:p>
        </w:tc>
        <w:tc>
          <w:tcPr>
            <w:tcW w:type="dxa" w:w="3194"/>
          </w:tcPr>
          <w:p>
            <w:pPr>
              <w:pStyle w:val="Compact"/>
              <w:jc w:val="left"/>
            </w:pPr>
            <w:r>
              <w:rPr>
                <w:b w:val="0"/>
              </w:rPr>
              <w:t>+0.1554</w:t>
            </w:r>
          </w:p>
        </w:tc>
        <w:tc>
          <w:tcPr>
            <w:tcW w:type="dxa" w:w="2663"/>
          </w:tcPr>
          <w:p>
            <w:pPr>
              <w:pStyle w:val="Compact"/>
              <w:jc w:val="left"/>
            </w:pPr>
            <w:r>
              <w:rPr>
                <w:b w:val="0"/>
              </w:rPr>
              <w:t>+0.0152</w:t>
            </w:r>
          </w:p>
        </w:tc>
      </w:tr>
      <w:tr>
        <w:tc>
          <w:tcPr>
            <w:tcW w:type="dxa" w:w="2981"/>
          </w:tcPr>
          <w:p>
            <w:pPr>
              <w:pStyle w:val="Compact"/>
              <w:jc w:val="left"/>
            </w:pPr>
            <w:r>
              <w:rPr>
                <w:b w:val="0"/>
              </w:rPr>
              <w:t>gemma4:31b-cloud_baseline</w:t>
            </w:r>
          </w:p>
        </w:tc>
        <w:tc>
          <w:tcPr>
            <w:tcW w:type="dxa" w:w="3194"/>
          </w:tcPr>
          <w:p>
            <w:pPr>
              <w:pStyle w:val="Compact"/>
              <w:jc w:val="left"/>
            </w:pPr>
            <w:r>
              <w:rPr>
                <w:b w:val="0"/>
              </w:rPr>
              <w:t>+0.1418</w:t>
            </w:r>
          </w:p>
        </w:tc>
        <w:tc>
          <w:tcPr>
            <w:tcW w:type="dxa" w:w="2663"/>
          </w:tcPr>
          <w:p>
            <w:pPr>
              <w:pStyle w:val="Compact"/>
              <w:jc w:val="left"/>
            </w:pPr>
            <w:r>
              <w:rPr>
                <w:b w:val="0"/>
              </w:rPr>
              <w:t>+0.0029</w:t>
            </w:r>
          </w:p>
        </w:tc>
      </w:tr>
      <w:tr>
        <w:tc>
          <w:tcPr>
            <w:tcW w:type="dxa" w:w="2981"/>
          </w:tcPr>
          <w:p>
            <w:pPr>
              <w:pStyle w:val="Compact"/>
              <w:jc w:val="left"/>
            </w:pPr>
            <w:r>
              <w:rPr>
                <w:b w:val="0"/>
              </w:rPr>
              <w:t>gemma4:31b-cloud_kb_rag</w:t>
            </w:r>
          </w:p>
        </w:tc>
        <w:tc>
          <w:tcPr>
            <w:tcW w:type="dxa" w:w="3194"/>
          </w:tcPr>
          <w:p>
            <w:pPr>
              <w:pStyle w:val="Compact"/>
              <w:jc w:val="left"/>
            </w:pPr>
            <w:r>
              <w:rPr>
                <w:b w:val="0"/>
              </w:rPr>
              <w:t>+0.1131</w:t>
            </w:r>
          </w:p>
        </w:tc>
        <w:tc>
          <w:tcPr>
            <w:tcW w:type="dxa" w:w="2663"/>
          </w:tcPr>
          <w:p>
            <w:pPr>
              <w:pStyle w:val="Compact"/>
              <w:jc w:val="left"/>
            </w:pPr>
            <w:r>
              <w:rPr>
                <w:b w:val="0"/>
              </w:rPr>
              <w:t>-0.0433</w:t>
            </w:r>
          </w:p>
        </w:tc>
      </w:tr>
      <w:tr>
        <w:tc>
          <w:tcPr>
            <w:tcW w:type="dxa" w:w="2981"/>
          </w:tcPr>
          <w:p>
            <w:pPr>
              <w:pStyle w:val="Compact"/>
              <w:jc w:val="left"/>
            </w:pPr>
            <w:r>
              <w:rPr>
                <w:b w:val="0"/>
              </w:rPr>
              <w:t>gemma4:31b-mlx_kb_rag</w:t>
            </w:r>
          </w:p>
        </w:tc>
        <w:tc>
          <w:tcPr>
            <w:tcW w:type="dxa" w:w="3194"/>
          </w:tcPr>
          <w:p>
            <w:pPr>
              <w:pStyle w:val="Compact"/>
              <w:jc w:val="left"/>
            </w:pPr>
            <w:r>
              <w:rPr>
                <w:b w:val="0"/>
              </w:rPr>
              <w:t>+0.0999</w:t>
            </w:r>
          </w:p>
        </w:tc>
        <w:tc>
          <w:tcPr>
            <w:tcW w:type="dxa" w:w="2663"/>
          </w:tcPr>
          <w:p>
            <w:pPr>
              <w:pStyle w:val="Compact"/>
              <w:jc w:val="left"/>
            </w:pPr>
            <w:r>
              <w:rPr>
                <w:b w:val="0"/>
              </w:rPr>
              <w:t>-0.0102</w:t>
            </w:r>
          </w:p>
        </w:tc>
      </w:tr>
      <w:tr>
        <w:tc>
          <w:tcPr>
            <w:tcW w:type="dxa" w:w="2981"/>
          </w:tcPr>
          <w:p>
            <w:pPr>
              <w:pStyle w:val="Compact"/>
              <w:jc w:val="left"/>
            </w:pPr>
            <w:r>
              <w:rPr>
                <w:b w:val="0"/>
              </w:rPr>
              <w:t>gemma4:latest_kb_rag</w:t>
            </w:r>
          </w:p>
        </w:tc>
        <w:tc>
          <w:tcPr>
            <w:tcW w:type="dxa" w:w="3194"/>
          </w:tcPr>
          <w:p>
            <w:pPr>
              <w:pStyle w:val="Compact"/>
              <w:jc w:val="left"/>
            </w:pPr>
            <w:r>
              <w:rPr>
                <w:b w:val="0"/>
              </w:rPr>
              <w:t>+0.0976</w:t>
            </w:r>
          </w:p>
        </w:tc>
        <w:tc>
          <w:tcPr>
            <w:tcW w:type="dxa" w:w="2663"/>
          </w:tcPr>
          <w:p>
            <w:pPr>
              <w:pStyle w:val="Compact"/>
              <w:jc w:val="left"/>
            </w:pPr>
            <w:r>
              <w:rPr>
                <w:b w:val="0"/>
              </w:rPr>
              <w:t>-0.0666</w:t>
            </w:r>
          </w:p>
        </w:tc>
      </w:tr>
      <w:tr>
        <w:tc>
          <w:tcPr>
            <w:tcW w:type="dxa" w:w="2981"/>
          </w:tcPr>
          <w:p>
            <w:pPr>
              <w:pStyle w:val="Compact"/>
              <w:jc w:val="left"/>
            </w:pPr>
            <w:r>
              <w:rPr>
                <w:b w:val="0"/>
              </w:rPr>
              <w:t>gemma:latest_kb_rag</w:t>
            </w:r>
          </w:p>
        </w:tc>
        <w:tc>
          <w:tcPr>
            <w:tcW w:type="dxa" w:w="3194"/>
          </w:tcPr>
          <w:p>
            <w:pPr>
              <w:pStyle w:val="Compact"/>
              <w:jc w:val="left"/>
            </w:pPr>
            <w:r>
              <w:rPr>
                <w:b w:val="0"/>
              </w:rPr>
              <w:t>+0.0965</w:t>
            </w:r>
          </w:p>
        </w:tc>
        <w:tc>
          <w:tcPr>
            <w:tcW w:type="dxa" w:w="2663"/>
          </w:tcPr>
          <w:p>
            <w:pPr>
              <w:pStyle w:val="Compact"/>
              <w:jc w:val="left"/>
            </w:pPr>
            <w:r>
              <w:rPr>
                <w:b w:val="0"/>
              </w:rPr>
              <w:t>-0.0845</w:t>
            </w:r>
          </w:p>
        </w:tc>
      </w:tr>
      <w:tr>
        <w:tc>
          <w:tcPr>
            <w:tcW w:type="dxa" w:w="2981"/>
          </w:tcPr>
          <w:p>
            <w:pPr>
              <w:pStyle w:val="Compact"/>
              <w:jc w:val="left"/>
            </w:pPr>
            <w:r>
              <w:rPr>
                <w:b w:val="0"/>
              </w:rPr>
              <w:t>nemotron-mini:4b_kb_rag</w:t>
            </w:r>
          </w:p>
        </w:tc>
        <w:tc>
          <w:tcPr>
            <w:tcW w:type="dxa" w:w="3194"/>
          </w:tcPr>
          <w:p>
            <w:pPr>
              <w:pStyle w:val="Compact"/>
              <w:jc w:val="left"/>
            </w:pPr>
            <w:r>
              <w:rPr>
                <w:b w:val="0"/>
              </w:rPr>
              <w:t>+0.0948</w:t>
            </w:r>
          </w:p>
        </w:tc>
        <w:tc>
          <w:tcPr>
            <w:tcW w:type="dxa" w:w="2663"/>
          </w:tcPr>
          <w:p>
            <w:pPr>
              <w:pStyle w:val="Compact"/>
              <w:jc w:val="left"/>
            </w:pPr>
            <w:r>
              <w:rPr>
                <w:b w:val="0"/>
              </w:rPr>
              <w:t>-0.0609</w:t>
            </w:r>
          </w:p>
        </w:tc>
      </w:tr>
      <w:tr>
        <w:tc>
          <w:tcPr>
            <w:tcW w:type="dxa" w:w="2981"/>
          </w:tcPr>
          <w:p>
            <w:pPr>
              <w:pStyle w:val="Compact"/>
              <w:jc w:val="left"/>
            </w:pPr>
            <w:r>
              <w:rPr>
                <w:b w:val="0"/>
              </w:rPr>
              <w:t>gemma4:31b-mlx_baseline</w:t>
            </w:r>
          </w:p>
        </w:tc>
        <w:tc>
          <w:tcPr>
            <w:tcW w:type="dxa" w:w="3194"/>
          </w:tcPr>
          <w:p>
            <w:pPr>
              <w:pStyle w:val="Compact"/>
              <w:jc w:val="left"/>
            </w:pPr>
            <w:r>
              <w:rPr>
                <w:b w:val="0"/>
              </w:rPr>
              <w:t>+0.0873</w:t>
            </w:r>
          </w:p>
        </w:tc>
        <w:tc>
          <w:tcPr>
            <w:tcW w:type="dxa" w:w="2663"/>
          </w:tcPr>
          <w:p>
            <w:pPr>
              <w:pStyle w:val="Compact"/>
              <w:jc w:val="left"/>
            </w:pPr>
            <w:r>
              <w:rPr>
                <w:b w:val="0"/>
              </w:rPr>
              <w:t>-0.0613</w:t>
            </w:r>
          </w:p>
        </w:tc>
      </w:tr>
      <w:tr>
        <w:tc>
          <w:tcPr>
            <w:tcW w:type="dxa" w:w="2981"/>
          </w:tcPr>
          <w:p>
            <w:pPr>
              <w:pStyle w:val="Compact"/>
              <w:jc w:val="left"/>
            </w:pPr>
            <w:r>
              <w:rPr>
                <w:b w:val="0"/>
              </w:rPr>
              <w:t>gpt-oss:20b_baseline</w:t>
            </w:r>
          </w:p>
        </w:tc>
        <w:tc>
          <w:tcPr>
            <w:tcW w:type="dxa" w:w="3194"/>
          </w:tcPr>
          <w:p>
            <w:pPr>
              <w:pStyle w:val="Compact"/>
              <w:jc w:val="left"/>
            </w:pPr>
            <w:r>
              <w:rPr>
                <w:b w:val="0"/>
              </w:rPr>
              <w:t>+0.0819</w:t>
            </w:r>
          </w:p>
        </w:tc>
        <w:tc>
          <w:tcPr>
            <w:tcW w:type="dxa" w:w="2663"/>
          </w:tcPr>
          <w:p>
            <w:pPr>
              <w:pStyle w:val="Compact"/>
              <w:jc w:val="left"/>
            </w:pPr>
            <w:r>
              <w:rPr>
                <w:b w:val="0"/>
              </w:rPr>
              <w:t>-0.0438</w:t>
            </w:r>
          </w:p>
        </w:tc>
      </w:tr>
      <w:tr>
        <w:tc>
          <w:tcPr>
            <w:tcW w:type="dxa" w:w="2981"/>
          </w:tcPr>
          <w:p>
            <w:pPr>
              <w:pStyle w:val="Compact"/>
              <w:jc w:val="left"/>
            </w:pPr>
            <w:r>
              <w:rPr>
                <w:b w:val="0"/>
              </w:rPr>
              <w:t>gemma4:12b-mlx_baseline</w:t>
            </w:r>
          </w:p>
        </w:tc>
        <w:tc>
          <w:tcPr>
            <w:tcW w:type="dxa" w:w="3194"/>
          </w:tcPr>
          <w:p>
            <w:pPr>
              <w:pStyle w:val="Compact"/>
              <w:jc w:val="left"/>
            </w:pPr>
            <w:r>
              <w:rPr>
                <w:b w:val="0"/>
              </w:rPr>
              <w:t>+0.0789</w:t>
            </w:r>
          </w:p>
        </w:tc>
        <w:tc>
          <w:tcPr>
            <w:tcW w:type="dxa" w:w="2663"/>
          </w:tcPr>
          <w:p>
            <w:pPr>
              <w:pStyle w:val="Compact"/>
              <w:jc w:val="left"/>
            </w:pPr>
            <w:r>
              <w:rPr>
                <w:b w:val="0"/>
              </w:rPr>
              <w:t>-0.0612</w:t>
            </w:r>
          </w:p>
        </w:tc>
      </w:tr>
      <w:tr>
        <w:tc>
          <w:tcPr>
            <w:tcW w:type="dxa" w:w="2981"/>
          </w:tcPr>
          <w:p>
            <w:pPr>
              <w:pStyle w:val="Compact"/>
              <w:jc w:val="left"/>
            </w:pPr>
            <w:r>
              <w:rPr>
                <w:b w:val="0"/>
              </w:rPr>
              <w:t>mistral-nemo:latest_baseline</w:t>
            </w:r>
          </w:p>
        </w:tc>
        <w:tc>
          <w:tcPr>
            <w:tcW w:type="dxa" w:w="3194"/>
          </w:tcPr>
          <w:p>
            <w:pPr>
              <w:pStyle w:val="Compact"/>
              <w:jc w:val="left"/>
            </w:pPr>
            <w:r>
              <w:rPr>
                <w:b w:val="0"/>
              </w:rPr>
              <w:t>+0.0684</w:t>
            </w:r>
          </w:p>
        </w:tc>
        <w:tc>
          <w:tcPr>
            <w:tcW w:type="dxa" w:w="2663"/>
          </w:tcPr>
          <w:p>
            <w:pPr>
              <w:pStyle w:val="Compact"/>
              <w:jc w:val="left"/>
            </w:pPr>
            <w:r>
              <w:rPr>
                <w:b w:val="0"/>
              </w:rPr>
              <w:t>-0.1122</w:t>
            </w:r>
          </w:p>
        </w:tc>
      </w:tr>
      <w:tr>
        <w:tc>
          <w:tcPr>
            <w:tcW w:type="dxa" w:w="2981"/>
          </w:tcPr>
          <w:p>
            <w:pPr>
              <w:pStyle w:val="Compact"/>
              <w:jc w:val="left"/>
            </w:pPr>
            <w:r>
              <w:rPr>
                <w:b w:val="0"/>
              </w:rPr>
              <w:t>qwen2.5:14b_baseline</w:t>
            </w:r>
          </w:p>
        </w:tc>
        <w:tc>
          <w:tcPr>
            <w:tcW w:type="dxa" w:w="3194"/>
          </w:tcPr>
          <w:p>
            <w:pPr>
              <w:pStyle w:val="Compact"/>
              <w:jc w:val="left"/>
            </w:pPr>
            <w:r>
              <w:rPr>
                <w:b w:val="0"/>
              </w:rPr>
              <w:t>+0.0681</w:t>
            </w:r>
          </w:p>
        </w:tc>
        <w:tc>
          <w:tcPr>
            <w:tcW w:type="dxa" w:w="2663"/>
          </w:tcPr>
          <w:p>
            <w:pPr>
              <w:pStyle w:val="Compact"/>
              <w:jc w:val="left"/>
            </w:pPr>
            <w:r>
              <w:rPr>
                <w:b w:val="0"/>
              </w:rPr>
              <w:t>-0.0821</w:t>
            </w:r>
          </w:p>
        </w:tc>
      </w:tr>
      <w:tr>
        <w:tc>
          <w:tcPr>
            <w:tcW w:type="dxa" w:w="2981"/>
          </w:tcPr>
          <w:p>
            <w:pPr>
              <w:pStyle w:val="Compact"/>
              <w:jc w:val="left"/>
            </w:pPr>
            <w:r>
              <w:rPr>
                <w:b w:val="0"/>
              </w:rPr>
              <w:t>gemma4:latest_baseline</w:t>
            </w:r>
          </w:p>
        </w:tc>
        <w:tc>
          <w:tcPr>
            <w:tcW w:type="dxa" w:w="3194"/>
          </w:tcPr>
          <w:p>
            <w:pPr>
              <w:pStyle w:val="Compact"/>
              <w:jc w:val="left"/>
            </w:pPr>
            <w:r>
              <w:rPr>
                <w:b w:val="0"/>
              </w:rPr>
              <w:t>+0.0620</w:t>
            </w:r>
          </w:p>
        </w:tc>
        <w:tc>
          <w:tcPr>
            <w:tcW w:type="dxa" w:w="2663"/>
          </w:tcPr>
          <w:p>
            <w:pPr>
              <w:pStyle w:val="Compact"/>
              <w:jc w:val="left"/>
            </w:pPr>
            <w:r>
              <w:rPr>
                <w:b w:val="0"/>
              </w:rPr>
              <w:t>-0.0958</w:t>
            </w:r>
          </w:p>
        </w:tc>
      </w:tr>
      <w:tr>
        <w:tc>
          <w:tcPr>
            <w:tcW w:type="dxa" w:w="2981"/>
          </w:tcPr>
          <w:p>
            <w:pPr>
              <w:pStyle w:val="Compact"/>
              <w:jc w:val="left"/>
            </w:pPr>
            <w:r>
              <w:rPr>
                <w:b w:val="0"/>
              </w:rPr>
              <w:t>gemma4:12b-mlx_kb_rag</w:t>
            </w:r>
          </w:p>
        </w:tc>
        <w:tc>
          <w:tcPr>
            <w:tcW w:type="dxa" w:w="3194"/>
          </w:tcPr>
          <w:p>
            <w:pPr>
              <w:pStyle w:val="Compact"/>
              <w:jc w:val="left"/>
            </w:pPr>
            <w:r>
              <w:rPr>
                <w:b w:val="0"/>
              </w:rPr>
              <w:t>+0.0604</w:t>
            </w:r>
          </w:p>
        </w:tc>
        <w:tc>
          <w:tcPr>
            <w:tcW w:type="dxa" w:w="2663"/>
          </w:tcPr>
          <w:p>
            <w:pPr>
              <w:pStyle w:val="Compact"/>
              <w:jc w:val="left"/>
            </w:pPr>
            <w:r>
              <w:rPr>
                <w:b w:val="0"/>
              </w:rPr>
              <w:t>-0.0897</w:t>
            </w:r>
          </w:p>
        </w:tc>
      </w:tr>
      <w:tr>
        <w:tc>
          <w:tcPr>
            <w:tcW w:type="dxa" w:w="2981"/>
          </w:tcPr>
          <w:p>
            <w:pPr>
              <w:pStyle w:val="Compact"/>
              <w:jc w:val="left"/>
            </w:pPr>
            <w:r>
              <w:rPr>
                <w:b w:val="0"/>
              </w:rPr>
              <w:t>llama3.1:8b_baseline</w:t>
            </w:r>
          </w:p>
        </w:tc>
        <w:tc>
          <w:tcPr>
            <w:tcW w:type="dxa" w:w="3194"/>
          </w:tcPr>
          <w:p>
            <w:pPr>
              <w:pStyle w:val="Compact"/>
              <w:jc w:val="left"/>
            </w:pPr>
            <w:r>
              <w:rPr>
                <w:b w:val="0"/>
              </w:rPr>
              <w:t>+0.0514</w:t>
            </w:r>
          </w:p>
        </w:tc>
        <w:tc>
          <w:tcPr>
            <w:tcW w:type="dxa" w:w="2663"/>
          </w:tcPr>
          <w:p>
            <w:pPr>
              <w:pStyle w:val="Compact"/>
              <w:jc w:val="left"/>
            </w:pPr>
            <w:r>
              <w:rPr>
                <w:b w:val="0"/>
              </w:rPr>
              <w:t>-0.0709</w:t>
            </w:r>
          </w:p>
        </w:tc>
      </w:tr>
      <w:tr>
        <w:tc>
          <w:tcPr>
            <w:tcW w:type="dxa" w:w="2981"/>
          </w:tcPr>
          <w:p>
            <w:pPr>
              <w:pStyle w:val="Compact"/>
              <w:jc w:val="left"/>
            </w:pPr>
            <w:r>
              <w:rPr>
                <w:b w:val="0"/>
              </w:rPr>
              <w:t>gpt-oss:20b_kb_rag</w:t>
            </w:r>
          </w:p>
        </w:tc>
        <w:tc>
          <w:tcPr>
            <w:tcW w:type="dxa" w:w="3194"/>
          </w:tcPr>
          <w:p>
            <w:pPr>
              <w:pStyle w:val="Compact"/>
              <w:jc w:val="left"/>
            </w:pPr>
            <w:r>
              <w:rPr>
                <w:b w:val="0"/>
              </w:rPr>
              <w:t>+0.0511</w:t>
            </w:r>
          </w:p>
        </w:tc>
        <w:tc>
          <w:tcPr>
            <w:tcW w:type="dxa" w:w="2663"/>
          </w:tcPr>
          <w:p>
            <w:pPr>
              <w:pStyle w:val="Compact"/>
              <w:jc w:val="left"/>
            </w:pPr>
            <w:r>
              <w:rPr>
                <w:b w:val="0"/>
              </w:rPr>
              <w:t>-0.0997</w:t>
            </w:r>
          </w:p>
        </w:tc>
      </w:tr>
      <w:tr>
        <w:tc>
          <w:tcPr>
            <w:tcW w:type="dxa" w:w="2981"/>
          </w:tcPr>
          <w:p>
            <w:pPr>
              <w:pStyle w:val="Compact"/>
              <w:jc w:val="left"/>
            </w:pPr>
            <w:r>
              <w:rPr>
                <w:b w:val="0"/>
              </w:rPr>
              <w:t>gemma:latest_baseline</w:t>
            </w:r>
          </w:p>
        </w:tc>
        <w:tc>
          <w:tcPr>
            <w:tcW w:type="dxa" w:w="3194"/>
          </w:tcPr>
          <w:p>
            <w:pPr>
              <w:pStyle w:val="Compact"/>
              <w:jc w:val="left"/>
            </w:pPr>
            <w:r>
              <w:rPr>
                <w:b w:val="0"/>
              </w:rPr>
              <w:t>+0.0409</w:t>
            </w:r>
          </w:p>
        </w:tc>
        <w:tc>
          <w:tcPr>
            <w:tcW w:type="dxa" w:w="2663"/>
          </w:tcPr>
          <w:p>
            <w:pPr>
              <w:pStyle w:val="Compact"/>
              <w:jc w:val="left"/>
            </w:pPr>
            <w:r>
              <w:rPr>
                <w:b w:val="0"/>
              </w:rPr>
              <w:t>-0.1678</w:t>
            </w:r>
          </w:p>
        </w:tc>
      </w:tr>
      <w:tr>
        <w:tc>
          <w:tcPr>
            <w:tcW w:type="dxa" w:w="2981"/>
          </w:tcPr>
          <w:p>
            <w:pPr>
              <w:pStyle w:val="Compact"/>
              <w:jc w:val="left"/>
            </w:pPr>
            <w:r>
              <w:rPr>
                <w:b w:val="0"/>
              </w:rPr>
              <w:t>qwen2.5:14b_kb_rag</w:t>
            </w:r>
          </w:p>
        </w:tc>
        <w:tc>
          <w:tcPr>
            <w:tcW w:type="dxa" w:w="3194"/>
          </w:tcPr>
          <w:p>
            <w:pPr>
              <w:pStyle w:val="Compact"/>
              <w:jc w:val="left"/>
            </w:pPr>
            <w:r>
              <w:rPr>
                <w:b w:val="0"/>
              </w:rPr>
              <w:t>+0.0380</w:t>
            </w:r>
          </w:p>
        </w:tc>
        <w:tc>
          <w:tcPr>
            <w:tcW w:type="dxa" w:w="2663"/>
          </w:tcPr>
          <w:p>
            <w:pPr>
              <w:pStyle w:val="Compact"/>
              <w:jc w:val="left"/>
            </w:pPr>
            <w:r>
              <w:rPr>
                <w:b w:val="0"/>
              </w:rPr>
              <w:t>-0.0887</w:t>
            </w:r>
          </w:p>
        </w:tc>
      </w:tr>
      <w:tr>
        <w:tc>
          <w:tcPr>
            <w:tcW w:type="dxa" w:w="2981"/>
          </w:tcPr>
          <w:p>
            <w:pPr>
              <w:pStyle w:val="Compact"/>
              <w:jc w:val="left"/>
            </w:pPr>
            <w:r>
              <w:rPr>
                <w:b w:val="0"/>
              </w:rPr>
              <w:t>llama3.2:latest_kb_rag</w:t>
            </w:r>
          </w:p>
        </w:tc>
        <w:tc>
          <w:tcPr>
            <w:tcW w:type="dxa" w:w="3194"/>
          </w:tcPr>
          <w:p>
            <w:pPr>
              <w:pStyle w:val="Compact"/>
              <w:jc w:val="left"/>
            </w:pPr>
            <w:r>
              <w:rPr>
                <w:b w:val="0"/>
              </w:rPr>
              <w:t>+0.0254</w:t>
            </w:r>
          </w:p>
        </w:tc>
        <w:tc>
          <w:tcPr>
            <w:tcW w:type="dxa" w:w="2663"/>
          </w:tcPr>
          <w:p>
            <w:pPr>
              <w:pStyle w:val="Compact"/>
              <w:jc w:val="left"/>
            </w:pPr>
            <w:r>
              <w:rPr>
                <w:b w:val="0"/>
              </w:rPr>
              <w:t>-0.1130</w:t>
            </w:r>
          </w:p>
        </w:tc>
      </w:tr>
      <w:tr>
        <w:tc>
          <w:tcPr>
            <w:tcW w:type="dxa" w:w="2981"/>
          </w:tcPr>
          <w:p>
            <w:pPr>
              <w:pStyle w:val="Compact"/>
              <w:jc w:val="left"/>
            </w:pPr>
            <w:r>
              <w:rPr>
                <w:b w:val="0"/>
              </w:rPr>
              <w:t>llama3.1:8b_kb_rag</w:t>
            </w:r>
          </w:p>
        </w:tc>
        <w:tc>
          <w:tcPr>
            <w:tcW w:type="dxa" w:w="3194"/>
          </w:tcPr>
          <w:p>
            <w:pPr>
              <w:pStyle w:val="Compact"/>
              <w:jc w:val="left"/>
            </w:pPr>
            <w:r>
              <w:rPr>
                <w:b w:val="0"/>
              </w:rPr>
              <w:t>+0.0186</w:t>
            </w:r>
          </w:p>
        </w:tc>
        <w:tc>
          <w:tcPr>
            <w:tcW w:type="dxa" w:w="2663"/>
          </w:tcPr>
          <w:p>
            <w:pPr>
              <w:pStyle w:val="Compact"/>
              <w:jc w:val="left"/>
            </w:pPr>
            <w:r>
              <w:rPr>
                <w:b w:val="0"/>
              </w:rPr>
              <w:t>-0.1428</w:t>
            </w:r>
          </w:p>
        </w:tc>
      </w:tr>
      <w:tr>
        <w:tc>
          <w:tcPr>
            <w:tcW w:type="dxa" w:w="2981"/>
          </w:tcPr>
          <w:p>
            <w:pPr>
              <w:pStyle w:val="Compact"/>
              <w:jc w:val="left"/>
            </w:pPr>
            <w:r>
              <w:rPr>
                <w:b w:val="0"/>
              </w:rPr>
              <w:t>mistral-nemo:latest_kb_rag</w:t>
            </w:r>
          </w:p>
        </w:tc>
        <w:tc>
          <w:tcPr>
            <w:tcW w:type="dxa" w:w="3194"/>
          </w:tcPr>
          <w:p>
            <w:pPr>
              <w:pStyle w:val="Compact"/>
              <w:jc w:val="left"/>
            </w:pPr>
            <w:r>
              <w:rPr>
                <w:b w:val="0"/>
              </w:rPr>
              <w:t>+0.0122</w:t>
            </w:r>
          </w:p>
        </w:tc>
        <w:tc>
          <w:tcPr>
            <w:tcW w:type="dxa" w:w="2663"/>
          </w:tcPr>
          <w:p>
            <w:pPr>
              <w:pStyle w:val="Compact"/>
              <w:jc w:val="left"/>
            </w:pPr>
            <w:r>
              <w:rPr>
                <w:b w:val="0"/>
              </w:rPr>
              <w:t>-0.1256</w:t>
            </w:r>
          </w:p>
        </w:tc>
      </w:tr>
      <w:tr>
        <w:tc>
          <w:tcPr>
            <w:tcW w:type="dxa" w:w="2981"/>
          </w:tcPr>
          <w:p>
            <w:pPr>
              <w:pStyle w:val="Compact"/>
              <w:jc w:val="left"/>
            </w:pPr>
            <w:r>
              <w:rPr>
                <w:b w:val="0"/>
              </w:rPr>
              <w:t>qwen3:8b_baseline</w:t>
            </w:r>
          </w:p>
        </w:tc>
        <w:tc>
          <w:tcPr>
            <w:tcW w:type="dxa" w:w="3194"/>
          </w:tcPr>
          <w:p>
            <w:pPr>
              <w:pStyle w:val="Compact"/>
              <w:jc w:val="left"/>
            </w:pPr>
            <w:r>
              <w:rPr>
                <w:b w:val="0"/>
              </w:rPr>
              <w:t>-0.0076</w:t>
            </w:r>
          </w:p>
        </w:tc>
        <w:tc>
          <w:tcPr>
            <w:tcW w:type="dxa" w:w="2663"/>
          </w:tcPr>
          <w:p>
            <w:pPr>
              <w:pStyle w:val="Compact"/>
              <w:jc w:val="left"/>
            </w:pPr>
            <w:r>
              <w:rPr>
                <w:b w:val="0"/>
              </w:rPr>
              <w:t>-0.1359</w:t>
            </w:r>
          </w:p>
        </w:tc>
      </w:tr>
      <w:tr>
        <w:tc>
          <w:tcPr>
            <w:tcW w:type="dxa" w:w="2981"/>
          </w:tcPr>
          <w:p>
            <w:pPr>
              <w:pStyle w:val="Compact"/>
              <w:jc w:val="left"/>
            </w:pPr>
            <w:r>
              <w:rPr>
                <w:b w:val="0"/>
              </w:rPr>
              <w:t>deepseek-r1:1.5b_baseline</w:t>
            </w:r>
          </w:p>
        </w:tc>
        <w:tc>
          <w:tcPr>
            <w:tcW w:type="dxa" w:w="3194"/>
          </w:tcPr>
          <w:p>
            <w:pPr>
              <w:pStyle w:val="Compact"/>
              <w:jc w:val="left"/>
            </w:pPr>
            <w:r>
              <w:rPr>
                <w:b w:val="0"/>
              </w:rPr>
              <w:t>-0.0124</w:t>
            </w:r>
          </w:p>
        </w:tc>
        <w:tc>
          <w:tcPr>
            <w:tcW w:type="dxa" w:w="2663"/>
          </w:tcPr>
          <w:p>
            <w:pPr>
              <w:pStyle w:val="Compact"/>
              <w:jc w:val="left"/>
            </w:pPr>
            <w:r>
              <w:rPr>
                <w:b w:val="0"/>
              </w:rPr>
              <w:t>+0.0028</w:t>
            </w:r>
          </w:p>
        </w:tc>
      </w:tr>
      <w:tr>
        <w:tc>
          <w:tcPr>
            <w:tcW w:type="dxa" w:w="2981"/>
          </w:tcPr>
          <w:p>
            <w:pPr>
              <w:pStyle w:val="Compact"/>
              <w:jc w:val="left"/>
            </w:pPr>
            <w:r>
              <w:rPr>
                <w:b w:val="0"/>
              </w:rPr>
              <w:t>nemotron-mini:4b_baseline</w:t>
            </w:r>
          </w:p>
        </w:tc>
        <w:tc>
          <w:tcPr>
            <w:tcW w:type="dxa" w:w="3194"/>
          </w:tcPr>
          <w:p>
            <w:pPr>
              <w:pStyle w:val="Compact"/>
              <w:jc w:val="left"/>
            </w:pPr>
            <w:r>
              <w:rPr>
                <w:b w:val="0"/>
              </w:rPr>
              <w:t>-0.0477</w:t>
            </w:r>
          </w:p>
        </w:tc>
        <w:tc>
          <w:tcPr>
            <w:tcW w:type="dxa" w:w="2663"/>
          </w:tcPr>
          <w:p>
            <w:pPr>
              <w:pStyle w:val="Compact"/>
              <w:jc w:val="left"/>
            </w:pPr>
            <w:r>
              <w:rPr>
                <w:b w:val="0"/>
              </w:rPr>
              <w:t>-0.1942</w:t>
            </w:r>
          </w:p>
        </w:tc>
      </w:tr>
      <w:tr>
        <w:tc>
          <w:tcPr>
            <w:tcW w:type="dxa" w:w="2981"/>
          </w:tcPr>
          <w:p>
            <w:pPr>
              <w:pStyle w:val="Compact"/>
              <w:jc w:val="left"/>
            </w:pPr>
            <w:r>
              <w:rPr>
                <w:b w:val="0"/>
              </w:rPr>
              <w:t>deepseek-r1:1.5b_kb_rag</w:t>
            </w:r>
          </w:p>
        </w:tc>
        <w:tc>
          <w:tcPr>
            <w:tcW w:type="dxa" w:w="3194"/>
          </w:tcPr>
          <w:p>
            <w:pPr>
              <w:pStyle w:val="Compact"/>
              <w:jc w:val="left"/>
            </w:pPr>
            <w:r>
              <w:rPr>
                <w:b w:val="0"/>
              </w:rPr>
              <w:t>-0.0717</w:t>
            </w:r>
          </w:p>
        </w:tc>
        <w:tc>
          <w:tcPr>
            <w:tcW w:type="dxa" w:w="2663"/>
          </w:tcPr>
          <w:p>
            <w:pPr>
              <w:pStyle w:val="Compact"/>
              <w:jc w:val="left"/>
            </w:pPr>
            <w:r>
              <w:rPr>
                <w:b w:val="0"/>
              </w:rPr>
              <w:t>-0.1796</w:t>
            </w:r>
          </w:p>
        </w:tc>
      </w:tr>
      <w:tr>
        <w:tc>
          <w:tcPr>
            <w:tcW w:type="dxa" w:w="2981"/>
          </w:tcPr>
          <w:p>
            <w:pPr>
              <w:pStyle w:val="Compact"/>
              <w:jc w:val="left"/>
            </w:pPr>
            <w:r>
              <w:rPr>
                <w:b w:val="0"/>
              </w:rPr>
              <w:t>llama3.2:latest_baseline</w:t>
            </w:r>
          </w:p>
        </w:tc>
        <w:tc>
          <w:tcPr>
            <w:tcW w:type="dxa" w:w="3194"/>
          </w:tcPr>
          <w:p>
            <w:pPr>
              <w:pStyle w:val="Compact"/>
              <w:jc w:val="left"/>
            </w:pPr>
            <w:r>
              <w:rPr>
                <w:b w:val="0"/>
              </w:rPr>
              <w:t>-0.0816</w:t>
            </w:r>
          </w:p>
        </w:tc>
        <w:tc>
          <w:tcPr>
            <w:tcW w:type="dxa" w:w="2663"/>
          </w:tcPr>
          <w:p>
            <w:pPr>
              <w:pStyle w:val="Compact"/>
              <w:jc w:val="left"/>
            </w:pPr>
            <w:r>
              <w:rPr>
                <w:b w:val="0"/>
              </w:rPr>
              <w:t>-0.2665</w:t>
            </w:r>
          </w:p>
        </w:tc>
      </w:tr>
    </w:tbl>
    <w:p>
      <w:pPr>
        <w:numPr>
          <w:ilvl w:val="0"/>
          <w:numId w:val="0"/>
        </w:numPr>
        <w:pStyle w:val="Normal"/>
      </w:pPr>
      <w:r>
        <w:t xml:space="preserve">Los dos criterios apuntan en direcciones opuestas, y de forma sistemática: </w:t>
      </w:r>
      <w:r>
        <w:rPr>
          <w:b/>
        </w:rPr>
        <w:t>19 de las 24 configuraciones puntúan mejor</w:t>
      </w:r>
      <w:r>
        <w:t xml:space="preserve"> en los artículos cuya anotación de referencia está corrompida, y </w:t>
      </w:r>
      <w:r>
        <w:rPr>
          <w:b/>
        </w:rPr>
        <w:t>5 de las 24 puntúan peor</w:t>
      </w:r>
      <w:r>
        <w:t xml:space="preserve"> en aquellos cuyo texto lo está. La lectura es coherente con el mecanismo del cotejo difuso. Cuando la corrupción está en la referencia, el corpus premia la transcripción literal de los bytes y penaliza al modelo que escribe el nombre correctamente, porque </w:t>
      </w:r>
      <w:r>
        <w:t>José Bono</w:t>
      </w:r>
      <w:r>
        <w:t xml:space="preserve"> no casa con </w:t>
      </w:r>
      <w:r>
        <w:t>JosÃ© Bono</w:t>
      </w:r>
      <w:r>
        <w:t>. Cuando está en el texto de entrada, en cambio, dificulta la extracción para todos, y ahí el efecto es de signo negativo.</w:t>
      </w:r>
    </w:p>
    <w:p>
      <w:pPr>
        <w:numPr>
          <w:ilvl w:val="0"/>
          <w:numId w:val="0"/>
        </w:numPr>
        <w:pStyle w:val="BodyText"/>
      </w:pPr>
      <w:r>
        <w:rPr>
          <w:b/>
        </w:rPr>
        <w:t>Cautela metodológica, y una advertencia sobre la versión anterior de esta tabla.</w:t>
      </w:r>
      <w:r>
        <w:t xml:space="preserve"> Los artículos afectados podrían ser además más largos o intrínsecamente más difíciles, lo que confundiría la magnitud absoluta de cada diferencia; el sentido del efecto, sin embargo, es consistente dentro de cada criterio. Una versión anterior de este anexo declaraba una partición de 88 artículos afectados y 31 no —cuya suma es 119 y no 120— y unas diferencias que no se reproducen con ninguno de los dos criterios: para </w:t>
      </w:r>
      <w:r>
        <w:t>gemma4:latest</w:t>
      </w:r>
      <w:r>
        <w:t xml:space="preserve"> reportaba −0,0695 donde la medición da +0,0620 por entidad y −0,0958 por texto. Se sustituye por la tabla presente, obtenida con el script publicado, y se conserva esta nota para que la corrección quede trazable.</w:t>
      </w:r>
    </w:p>
    <w:p>
      <w:pPr>
        <w:numPr>
          <w:ilvl w:val="0"/>
          <w:numId w:val="0"/>
        </w:numPr>
        <w:pStyle w:val="Heading3"/>
      </w:pPr>
      <w:r>
        <w:t>H.4 Cómo debe repararse</w:t>
      </w:r>
    </w:p>
    <w:p>
      <w:pPr>
        <w:numPr>
          <w:ilvl w:val="0"/>
          <w:numId w:val="0"/>
        </w:numPr>
        <w:pStyle w:val="BodyText"/>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BodyText"/>
      </w:pPr>
      <w:r>
        <w:rPr>
          <w:b/>
        </w:rPr>
        <w:t>Verificar la codificación de la entrada, no solo la de la referencia.</w:t>
      </w:r>
      <w:r>
        <w:t xml:space="preserve"> Un defecto presente en ambas no se comporta como el mismo defecto presente en una sola.</w:t>
      </w:r>
    </w:p>
    <w:p>
      <w:pPr>
        <w:numPr>
          <w:ilvl w:val="0"/>
          <w:numId w:val="0"/>
        </w:numPr>
        <w:pStyle w:val="BodyText"/>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BodyText"/>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BodyText"/>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p>
      <w:pPr>
        <w:numPr>
          <w:ilvl w:val="0"/>
          <w:numId w:val="0"/>
        </w:numPr>
        <w:pStyle w:val="Heading2"/>
      </w:pPr>
      <w:r>
        <w:t>Anexo I — Medición restringida a las categorías anotadas por el corpus</w:t>
      </w:r>
    </w:p>
    <w:p>
      <w:pPr>
        <w:numPr>
          <w:ilvl w:val="0"/>
          <w:numId w:val="0"/>
        </w:numPr>
        <w:pStyle w:val="BodyText"/>
      </w:pPr>
      <w:r>
        <w:t xml:space="preserve">Los prompts solicitan tres categorías de entidad y los corpus anotan dos, de modo que toda localización extraída se contabiliza como falso positivo (§3.3). Esta tabla acompaña cada cifra publicada de su equivalente restringido a las categorías que el corpus efectivamente anota. Se obtuvo reagregando los desgloses por tipo ya almacenados en los resultados por corrida, </w:t>
      </w:r>
      <w:r>
        <w:rPr>
          <w:b/>
        </w:rPr>
        <w:t>sin repetir la inferencia</w:t>
      </w:r>
      <w:r>
        <w:t>, tomando por configuración la corrida más reciente que aporta exactamente 120 registros. La exhaustividad es idéntica en ambas columnas porque el corpus no anota localizaciones y, por tanto, tampoco puede omitirlas: la corrección afecta solo a la precisión.</w:t>
      </w:r>
    </w:p>
    <w:p>
      <w:pPr>
        <w:numPr>
          <w:ilvl w:val="0"/>
          <w:numId w:val="0"/>
        </w:numPr>
        <w:pStyle w:val="TableCaption"/>
      </w:pPr>
      <w:r>
        <w:t xml:space="preserve">Tabla 19. Desempeño publicado y desempeño restringido a personas y organizaciones (N=120, 42 configuraciones).</w:t>
      </w:r>
    </w:p>
    <w:tbl>
      <w:tblPr>
        <w:tblStyle w:val="Table"/>
        <w:tblW w:type="pct" w:w="5000"/>
        <w:tblLayout w:type="fixed"/>
        <w:tblLook w:firstRow="1" w:lastRow="0" w:firstColumn="0" w:lastColumn="0" w:noHBand="0" w:noVBand="0" w:val="0020"/>
      </w:tblPr>
      <w:tblGrid>
        <w:gridCol w:w="944"/>
        <w:gridCol w:w="2494"/>
        <w:gridCol w:w="900"/>
        <w:gridCol w:w="900"/>
        <w:gridCol w:w="900"/>
        <w:gridCol w:w="900"/>
        <w:gridCol w:w="900"/>
        <w:gridCol w:w="900"/>
      </w:tblGrid>
      <w:tr>
        <w:trPr>
          <w:tblHeader w:val="on"/>
        </w:trPr>
        <w:tc>
          <w:tcPr>
            <w:tcW w:type="dxa" w:w="944"/>
          </w:tcPr>
          <w:p>
            <w:pPr>
              <w:pStyle w:val="Compact"/>
              <w:jc w:val="left"/>
            </w:pPr>
            <w:r>
              <w:rPr>
                <w:b/>
              </w:rPr>
              <w:t>Configuración</w:t>
            </w:r>
          </w:p>
        </w:tc>
        <w:tc>
          <w:tcPr>
            <w:tcW w:type="dxa" w:w="2494"/>
          </w:tcPr>
          <w:p>
            <w:pPr>
              <w:pStyle w:val="Compact"/>
              <w:jc w:val="left"/>
            </w:pPr>
            <w:r>
              <w:rPr>
                <w:b/>
              </w:rPr>
              <w:t>Corrida</w:t>
            </w:r>
          </w:p>
        </w:tc>
        <w:tc>
          <w:tcPr>
            <w:tcW w:type="dxa" w:w="900"/>
          </w:tcPr>
          <w:p>
            <w:pPr>
              <w:pStyle w:val="Compact"/>
              <w:jc w:val="left"/>
            </w:pPr>
            <w:r>
              <w:rPr>
                <w:b/>
              </w:rPr>
              <w:t>P</w:t>
            </w:r>
          </w:p>
        </w:tc>
        <w:tc>
          <w:tcPr>
            <w:tcW w:type="dxa" w:w="900"/>
          </w:tcPr>
          <w:p>
            <w:pPr>
              <w:pStyle w:val="Compact"/>
              <w:jc w:val="center"/>
            </w:pPr>
            <w:r>
              <w:rPr>
                <w:b/>
              </w:rPr>
              <w:t>R</w:t>
            </w:r>
          </w:p>
        </w:tc>
        <w:tc>
          <w:tcPr>
            <w:tcW w:type="dxa" w:w="900"/>
          </w:tcPr>
          <w:p>
            <w:pPr>
              <w:pStyle w:val="Compact"/>
              <w:jc w:val="center"/>
            </w:pPr>
            <w:r>
              <w:rPr>
                <w:b/>
              </w:rPr>
              <w:t>F1</w:t>
            </w:r>
          </w:p>
        </w:tc>
        <w:tc>
          <w:tcPr>
            <w:tcW w:type="dxa" w:w="900"/>
          </w:tcPr>
          <w:p>
            <w:pPr>
              <w:pStyle w:val="Compact"/>
              <w:jc w:val="left"/>
            </w:pPr>
            <w:r>
              <w:rPr>
                <w:b/>
              </w:rPr>
              <w:t>P restr.</w:t>
            </w:r>
          </w:p>
        </w:tc>
        <w:tc>
          <w:tcPr>
            <w:tcW w:type="dxa" w:w="900"/>
          </w:tcPr>
          <w:p>
            <w:pPr>
              <w:pStyle w:val="Compact"/>
              <w:jc w:val="left"/>
            </w:pPr>
            <w:r>
              <w:rPr>
                <w:b/>
              </w:rPr>
              <w:t>F1 restr.</w:t>
            </w:r>
          </w:p>
        </w:tc>
        <w:tc>
          <w:tcPr>
            <w:tcW w:type="dxa" w:w="900"/>
          </w:tcPr>
          <w:p>
            <w:pPr>
              <w:pStyle w:val="Compact"/>
              <w:jc w:val="left"/>
            </w:pPr>
            <w:r>
              <w:rPr>
                <w:b/>
              </w:rPr>
              <w:t>Δ F1</w:t>
            </w:r>
          </w:p>
        </w:tc>
      </w:tr>
      <w:tr>
        <w:tc>
          <w:tcPr>
            <w:tcW w:type="dxa" w:w="944"/>
          </w:tcPr>
          <w:p>
            <w:pPr>
              <w:pStyle w:val="Compact"/>
              <w:jc w:val="left"/>
            </w:pPr>
            <w:r>
              <w:rPr>
                <w:b w:val="0"/>
              </w:rPr>
              <w:t>gemma4:31b-cloud_baseline</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55.80</w:t>
            </w:r>
          </w:p>
        </w:tc>
        <w:tc>
          <w:tcPr>
            <w:tcW w:type="dxa" w:w="900"/>
          </w:tcPr>
          <w:p>
            <w:pPr>
              <w:pStyle w:val="Compact"/>
              <w:jc w:val="center"/>
            </w:pPr>
            <w:r>
              <w:rPr>
                <w:b w:val="0"/>
              </w:rPr>
              <w:t xml:space="preserve">75.30</w:t>
            </w:r>
          </w:p>
        </w:tc>
        <w:tc>
          <w:tcPr>
            <w:tcW w:type="dxa" w:w="900"/>
          </w:tcPr>
          <w:p>
            <w:pPr>
              <w:pStyle w:val="Compact"/>
              <w:jc w:val="center"/>
            </w:pPr>
            <w:r>
              <w:rPr>
                <w:b w:val="0"/>
              </w:rPr>
              <w:t xml:space="preserve">62.38</w:t>
            </w:r>
          </w:p>
        </w:tc>
        <w:tc>
          <w:tcPr>
            <w:tcW w:type="dxa" w:w="900"/>
          </w:tcPr>
          <w:p>
            <w:pPr>
              <w:pStyle w:val="Compact"/>
              <w:jc w:val="left"/>
            </w:pPr>
            <w:r>
              <w:rPr>
                <w:b w:val="0"/>
              </w:rPr>
              <w:t xml:space="preserve">85.51</w:t>
            </w:r>
          </w:p>
        </w:tc>
        <w:tc>
          <w:tcPr>
            <w:tcW w:type="dxa" w:w="900"/>
          </w:tcPr>
          <w:p>
            <w:pPr>
              <w:pStyle w:val="Compact"/>
              <w:jc w:val="left"/>
            </w:pPr>
            <w:r>
              <w:rPr>
                <w:b w:val="0"/>
              </w:rPr>
              <w:t xml:space="preserve">80.42</w:t>
            </w:r>
          </w:p>
        </w:tc>
        <w:tc>
          <w:tcPr>
            <w:tcW w:type="dxa" w:w="900"/>
          </w:tcPr>
          <w:p>
            <w:pPr>
              <w:pStyle w:val="Compact"/>
              <w:jc w:val="left"/>
            </w:pPr>
            <w:r>
              <w:rPr>
                <w:b w:val="0"/>
              </w:rPr>
              <w:t xml:space="preserve">+18.03</w:t>
            </w:r>
          </w:p>
        </w:tc>
      </w:tr>
      <w:tr>
        <w:tc>
          <w:tcPr>
            <w:tcW w:type="dxa" w:w="944"/>
          </w:tcPr>
          <w:p>
            <w:pPr>
              <w:pStyle w:val="Compact"/>
              <w:jc w:val="left"/>
            </w:pPr>
            <w:r>
              <w:rPr>
                <w:b w:val="0"/>
              </w:rPr>
              <w:t>gemma4:31b-cloud_kb_rag</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54.92</w:t>
            </w:r>
          </w:p>
        </w:tc>
        <w:tc>
          <w:tcPr>
            <w:tcW w:type="dxa" w:w="900"/>
          </w:tcPr>
          <w:p>
            <w:pPr>
              <w:pStyle w:val="Compact"/>
              <w:jc w:val="center"/>
            </w:pPr>
            <w:r>
              <w:rPr>
                <w:b w:val="0"/>
              </w:rPr>
              <w:t xml:space="preserve">75.11</w:t>
            </w:r>
          </w:p>
        </w:tc>
        <w:tc>
          <w:tcPr>
            <w:tcW w:type="dxa" w:w="900"/>
          </w:tcPr>
          <w:p>
            <w:pPr>
              <w:pStyle w:val="Compact"/>
              <w:jc w:val="center"/>
            </w:pPr>
            <w:r>
              <w:rPr>
                <w:b w:val="0"/>
              </w:rPr>
              <w:t xml:space="preserve">61.85</w:t>
            </w:r>
          </w:p>
        </w:tc>
        <w:tc>
          <w:tcPr>
            <w:tcW w:type="dxa" w:w="900"/>
          </w:tcPr>
          <w:p>
            <w:pPr>
              <w:pStyle w:val="Compact"/>
              <w:jc w:val="left"/>
            </w:pPr>
            <w:r>
              <w:rPr>
                <w:b w:val="0"/>
              </w:rPr>
              <w:t xml:space="preserve">82.40</w:t>
            </w:r>
          </w:p>
        </w:tc>
        <w:tc>
          <w:tcPr>
            <w:tcW w:type="dxa" w:w="900"/>
          </w:tcPr>
          <w:p>
            <w:pPr>
              <w:pStyle w:val="Compact"/>
              <w:jc w:val="left"/>
            </w:pPr>
            <w:r>
              <w:rPr>
                <w:b w:val="0"/>
              </w:rPr>
              <w:t xml:space="preserve">78.89</w:t>
            </w:r>
          </w:p>
        </w:tc>
        <w:tc>
          <w:tcPr>
            <w:tcW w:type="dxa" w:w="900"/>
          </w:tcPr>
          <w:p>
            <w:pPr>
              <w:pStyle w:val="Compact"/>
              <w:jc w:val="left"/>
            </w:pPr>
            <w:r>
              <w:rPr>
                <w:b w:val="0"/>
              </w:rPr>
              <w:t xml:space="preserve">+17.05</w:t>
            </w:r>
          </w:p>
        </w:tc>
      </w:tr>
      <w:tr>
        <w:tc>
          <w:tcPr>
            <w:tcW w:type="dxa" w:w="944"/>
          </w:tcPr>
          <w:p>
            <w:pPr>
              <w:pStyle w:val="Compact"/>
              <w:jc w:val="left"/>
            </w:pPr>
            <w:r>
              <w:rPr>
                <w:b w:val="0"/>
              </w:rPr>
              <w:t>gemma4:31b-mlx_baseline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52.89</w:t>
            </w:r>
          </w:p>
        </w:tc>
        <w:tc>
          <w:tcPr>
            <w:tcW w:type="dxa" w:w="900"/>
          </w:tcPr>
          <w:p>
            <w:pPr>
              <w:pStyle w:val="Compact"/>
              <w:jc w:val="center"/>
            </w:pPr>
            <w:r>
              <w:rPr>
                <w:b w:val="0"/>
              </w:rPr>
              <w:t xml:space="preserve">72.35</w:t>
            </w:r>
          </w:p>
        </w:tc>
        <w:tc>
          <w:tcPr>
            <w:tcW w:type="dxa" w:w="900"/>
          </w:tcPr>
          <w:p>
            <w:pPr>
              <w:pStyle w:val="Compact"/>
              <w:jc w:val="center"/>
            </w:pPr>
            <w:r>
              <w:rPr>
                <w:b w:val="0"/>
              </w:rPr>
              <w:t xml:space="preserve">59.25</w:t>
            </w:r>
          </w:p>
        </w:tc>
        <w:tc>
          <w:tcPr>
            <w:tcW w:type="dxa" w:w="900"/>
          </w:tcPr>
          <w:p>
            <w:pPr>
              <w:pStyle w:val="Compact"/>
              <w:jc w:val="left"/>
            </w:pPr>
            <w:r>
              <w:rPr>
                <w:b w:val="0"/>
              </w:rPr>
              <w:t xml:space="preserve">80.85</w:t>
            </w:r>
          </w:p>
        </w:tc>
        <w:tc>
          <w:tcPr>
            <w:tcW w:type="dxa" w:w="900"/>
          </w:tcPr>
          <w:p>
            <w:pPr>
              <w:pStyle w:val="Compact"/>
              <w:jc w:val="left"/>
            </w:pPr>
            <w:r>
              <w:rPr>
                <w:b w:val="0"/>
              </w:rPr>
              <w:t xml:space="preserve">76.55</w:t>
            </w:r>
          </w:p>
        </w:tc>
        <w:tc>
          <w:tcPr>
            <w:tcW w:type="dxa" w:w="900"/>
          </w:tcPr>
          <w:p>
            <w:pPr>
              <w:pStyle w:val="Compact"/>
              <w:jc w:val="left"/>
            </w:pPr>
            <w:r>
              <w:rPr>
                <w:b w:val="0"/>
              </w:rPr>
              <w:t xml:space="preserve">+17.30</w:t>
            </w:r>
          </w:p>
        </w:tc>
      </w:tr>
      <w:tr>
        <w:tc>
          <w:tcPr>
            <w:tcW w:type="dxa" w:w="944"/>
          </w:tcPr>
          <w:p>
            <w:pPr>
              <w:pStyle w:val="Compact"/>
              <w:jc w:val="left"/>
            </w:pPr>
            <w:r>
              <w:rPr>
                <w:b w:val="0"/>
              </w:rPr>
              <w:t>gemma4:31b-mlx_kb_rag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51.67</w:t>
            </w:r>
          </w:p>
        </w:tc>
        <w:tc>
          <w:tcPr>
            <w:tcW w:type="dxa" w:w="900"/>
          </w:tcPr>
          <w:p>
            <w:pPr>
              <w:pStyle w:val="Compact"/>
              <w:jc w:val="center"/>
            </w:pPr>
            <w:r>
              <w:rPr>
                <w:b w:val="0"/>
              </w:rPr>
              <w:t xml:space="preserve">73.59</w:t>
            </w:r>
          </w:p>
        </w:tc>
        <w:tc>
          <w:tcPr>
            <w:tcW w:type="dxa" w:w="900"/>
          </w:tcPr>
          <w:p>
            <w:pPr>
              <w:pStyle w:val="Compact"/>
              <w:jc w:val="center"/>
            </w:pPr>
            <w:r>
              <w:rPr>
                <w:b w:val="0"/>
              </w:rPr>
              <w:t xml:space="preserve">59.07</w:t>
            </w:r>
          </w:p>
        </w:tc>
        <w:tc>
          <w:tcPr>
            <w:tcW w:type="dxa" w:w="900"/>
          </w:tcPr>
          <w:p>
            <w:pPr>
              <w:pStyle w:val="Compact"/>
              <w:jc w:val="left"/>
            </w:pPr>
            <w:r>
              <w:rPr>
                <w:b w:val="0"/>
              </w:rPr>
              <w:t xml:space="preserve">77.11</w:t>
            </w:r>
          </w:p>
        </w:tc>
        <w:tc>
          <w:tcPr>
            <w:tcW w:type="dxa" w:w="900"/>
          </w:tcPr>
          <w:p>
            <w:pPr>
              <w:pStyle w:val="Compact"/>
              <w:jc w:val="left"/>
            </w:pPr>
            <w:r>
              <w:rPr>
                <w:b w:val="0"/>
              </w:rPr>
              <w:t xml:space="preserve">75.63</w:t>
            </w:r>
          </w:p>
        </w:tc>
        <w:tc>
          <w:tcPr>
            <w:tcW w:type="dxa" w:w="900"/>
          </w:tcPr>
          <w:p>
            <w:pPr>
              <w:pStyle w:val="Compact"/>
              <w:jc w:val="left"/>
            </w:pPr>
            <w:r>
              <w:rPr>
                <w:b w:val="0"/>
              </w:rPr>
              <w:t xml:space="preserve">+16.55</w:t>
            </w:r>
          </w:p>
        </w:tc>
      </w:tr>
      <w:tr>
        <w:tc>
          <w:tcPr>
            <w:tcW w:type="dxa" w:w="944"/>
          </w:tcPr>
          <w:p>
            <w:pPr>
              <w:pStyle w:val="Compact"/>
              <w:jc w:val="left"/>
            </w:pPr>
            <w:r>
              <w:rPr>
                <w:b w:val="0"/>
              </w:rPr>
              <w:t>gemma4:31b-mlx_rag_enhanced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52.09</w:t>
            </w:r>
          </w:p>
        </w:tc>
        <w:tc>
          <w:tcPr>
            <w:tcW w:type="dxa" w:w="900"/>
          </w:tcPr>
          <w:p>
            <w:pPr>
              <w:pStyle w:val="Compact"/>
              <w:jc w:val="center"/>
            </w:pPr>
            <w:r>
              <w:rPr>
                <w:b w:val="0"/>
              </w:rPr>
              <w:t xml:space="preserve">69.18</w:t>
            </w:r>
          </w:p>
        </w:tc>
        <w:tc>
          <w:tcPr>
            <w:tcW w:type="dxa" w:w="900"/>
          </w:tcPr>
          <w:p>
            <w:pPr>
              <w:pStyle w:val="Compact"/>
              <w:jc w:val="center"/>
            </w:pPr>
            <w:r>
              <w:rPr>
                <w:b w:val="0"/>
              </w:rPr>
              <w:t xml:space="preserve">57.85</w:t>
            </w:r>
          </w:p>
        </w:tc>
        <w:tc>
          <w:tcPr>
            <w:tcW w:type="dxa" w:w="900"/>
          </w:tcPr>
          <w:p>
            <w:pPr>
              <w:pStyle w:val="Compact"/>
              <w:jc w:val="left"/>
            </w:pPr>
            <w:r>
              <w:rPr>
                <w:b w:val="0"/>
              </w:rPr>
              <w:t xml:space="preserve">80.34</w:t>
            </w:r>
          </w:p>
        </w:tc>
        <w:tc>
          <w:tcPr>
            <w:tcW w:type="dxa" w:w="900"/>
          </w:tcPr>
          <w:p>
            <w:pPr>
              <w:pStyle w:val="Compact"/>
              <w:jc w:val="left"/>
            </w:pPr>
            <w:r>
              <w:rPr>
                <w:b w:val="0"/>
              </w:rPr>
              <w:t xml:space="preserve">74.66</w:t>
            </w:r>
          </w:p>
        </w:tc>
        <w:tc>
          <w:tcPr>
            <w:tcW w:type="dxa" w:w="900"/>
          </w:tcPr>
          <w:p>
            <w:pPr>
              <w:pStyle w:val="Compact"/>
              <w:jc w:val="left"/>
            </w:pPr>
            <w:r>
              <w:rPr>
                <w:b w:val="0"/>
              </w:rPr>
              <w:t xml:space="preserve">+16.81</w:t>
            </w:r>
          </w:p>
        </w:tc>
      </w:tr>
      <w:tr>
        <w:tc>
          <w:tcPr>
            <w:tcW w:type="dxa" w:w="944"/>
          </w:tcPr>
          <w:p>
            <w:pPr>
              <w:pStyle w:val="Compact"/>
              <w:jc w:val="left"/>
            </w:pPr>
            <w:r>
              <w:rPr>
                <w:b w:val="0"/>
              </w:rPr>
              <w:t>zs-es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51.90</w:t>
            </w:r>
          </w:p>
        </w:tc>
        <w:tc>
          <w:tcPr>
            <w:tcW w:type="dxa" w:w="900"/>
          </w:tcPr>
          <w:p>
            <w:pPr>
              <w:pStyle w:val="Compact"/>
              <w:jc w:val="center"/>
            </w:pPr>
            <w:r>
              <w:rPr>
                <w:b w:val="0"/>
              </w:rPr>
              <w:t xml:space="preserve">67.86</w:t>
            </w:r>
          </w:p>
        </w:tc>
        <w:tc>
          <w:tcPr>
            <w:tcW w:type="dxa" w:w="900"/>
          </w:tcPr>
          <w:p>
            <w:pPr>
              <w:pStyle w:val="Compact"/>
              <w:jc w:val="center"/>
            </w:pPr>
            <w:r>
              <w:rPr>
                <w:b w:val="0"/>
              </w:rPr>
              <w:t xml:space="preserve">55.62</w:t>
            </w:r>
          </w:p>
        </w:tc>
        <w:tc>
          <w:tcPr>
            <w:tcW w:type="dxa" w:w="900"/>
          </w:tcPr>
          <w:p>
            <w:pPr>
              <w:pStyle w:val="Compact"/>
              <w:jc w:val="left"/>
            </w:pPr>
            <w:r>
              <w:rPr>
                <w:b w:val="0"/>
              </w:rPr>
              <w:t xml:space="preserve">79.49</w:t>
            </w:r>
          </w:p>
        </w:tc>
        <w:tc>
          <w:tcPr>
            <w:tcW w:type="dxa" w:w="900"/>
          </w:tcPr>
          <w:p>
            <w:pPr>
              <w:pStyle w:val="Compact"/>
              <w:jc w:val="left"/>
            </w:pPr>
            <w:r>
              <w:rPr>
                <w:b w:val="0"/>
              </w:rPr>
              <w:t xml:space="preserve">71.07</w:t>
            </w:r>
          </w:p>
        </w:tc>
        <w:tc>
          <w:tcPr>
            <w:tcW w:type="dxa" w:w="900"/>
          </w:tcPr>
          <w:p>
            <w:pPr>
              <w:pStyle w:val="Compact"/>
              <w:jc w:val="left"/>
            </w:pPr>
            <w:r>
              <w:rPr>
                <w:b w:val="0"/>
              </w:rPr>
              <w:t xml:space="preserve">+15.45</w:t>
            </w:r>
          </w:p>
        </w:tc>
      </w:tr>
      <w:tr>
        <w:tc>
          <w:tcPr>
            <w:tcW w:type="dxa" w:w="944"/>
          </w:tcPr>
          <w:p>
            <w:pPr>
              <w:pStyle w:val="Compact"/>
              <w:jc w:val="left"/>
            </w:pPr>
            <w:r>
              <w:rPr>
                <w:b w:val="0"/>
              </w:rPr>
              <w:t>gpt-oss:20b_kb_rag</w:t>
            </w:r>
          </w:p>
        </w:tc>
        <w:tc>
          <w:tcPr>
            <w:tcW w:type="dxa" w:w="2494"/>
          </w:tcPr>
          <w:p>
            <w:pPr>
              <w:pStyle w:val="Compact"/>
              <w:jc w:val="left"/>
            </w:pPr>
            <w:r>
              <w:rPr>
                <w:b w:val="0"/>
              </w:rPr>
              <w:t>gptoss_rerun_REMOTO</w:t>
            </w:r>
          </w:p>
        </w:tc>
        <w:tc>
          <w:tcPr>
            <w:tcW w:type="dxa" w:w="900"/>
          </w:tcPr>
          <w:p>
            <w:pPr>
              <w:pStyle w:val="Compact"/>
              <w:jc w:val="left"/>
            </w:pPr>
            <w:r>
              <w:rPr>
                <w:b w:val="0"/>
              </w:rPr>
              <w:t xml:space="preserve">49.18</w:t>
            </w:r>
          </w:p>
        </w:tc>
        <w:tc>
          <w:tcPr>
            <w:tcW w:type="dxa" w:w="900"/>
          </w:tcPr>
          <w:p>
            <w:pPr>
              <w:pStyle w:val="Compact"/>
              <w:jc w:val="center"/>
            </w:pPr>
            <w:r>
              <w:rPr>
                <w:b w:val="0"/>
              </w:rPr>
              <w:t xml:space="preserve">69.09</w:t>
            </w:r>
          </w:p>
        </w:tc>
        <w:tc>
          <w:tcPr>
            <w:tcW w:type="dxa" w:w="900"/>
          </w:tcPr>
          <w:p>
            <w:pPr>
              <w:pStyle w:val="Compact"/>
              <w:jc w:val="center"/>
            </w:pPr>
            <w:r>
              <w:rPr>
                <w:b w:val="0"/>
              </w:rPr>
              <w:t xml:space="preserve">55.67</w:t>
            </w:r>
          </w:p>
        </w:tc>
        <w:tc>
          <w:tcPr>
            <w:tcW w:type="dxa" w:w="900"/>
          </w:tcPr>
          <w:p>
            <w:pPr>
              <w:pStyle w:val="Compact"/>
              <w:jc w:val="left"/>
            </w:pPr>
            <w:r>
              <w:rPr>
                <w:b w:val="0"/>
              </w:rPr>
              <w:t xml:space="preserve">75.40</w:t>
            </w:r>
          </w:p>
        </w:tc>
        <w:tc>
          <w:tcPr>
            <w:tcW w:type="dxa" w:w="900"/>
          </w:tcPr>
          <w:p>
            <w:pPr>
              <w:pStyle w:val="Compact"/>
              <w:jc w:val="left"/>
            </w:pPr>
            <w:r>
              <w:rPr>
                <w:b w:val="0"/>
              </w:rPr>
              <w:t xml:space="preserve">71.99</w:t>
            </w:r>
          </w:p>
        </w:tc>
        <w:tc>
          <w:tcPr>
            <w:tcW w:type="dxa" w:w="900"/>
          </w:tcPr>
          <w:p>
            <w:pPr>
              <w:pStyle w:val="Compact"/>
              <w:jc w:val="left"/>
            </w:pPr>
            <w:r>
              <w:rPr>
                <w:b w:val="0"/>
              </w:rPr>
              <w:t xml:space="preserve">+16.32</w:t>
            </w:r>
          </w:p>
        </w:tc>
      </w:tr>
      <w:tr>
        <w:tc>
          <w:tcPr>
            <w:tcW w:type="dxa" w:w="944"/>
          </w:tcPr>
          <w:p>
            <w:pPr>
              <w:pStyle w:val="Compact"/>
              <w:jc w:val="left"/>
            </w:pPr>
            <w:r>
              <w:rPr>
                <w:b w:val="0"/>
              </w:rPr>
              <w:t>gemma4:latest_baseline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52.91</w:t>
            </w:r>
          </w:p>
        </w:tc>
        <w:tc>
          <w:tcPr>
            <w:tcW w:type="dxa" w:w="900"/>
          </w:tcPr>
          <w:p>
            <w:pPr>
              <w:pStyle w:val="Compact"/>
              <w:jc w:val="center"/>
            </w:pPr>
            <w:r>
              <w:rPr>
                <w:b w:val="0"/>
              </w:rPr>
              <w:t xml:space="preserve">63.87</w:t>
            </w:r>
          </w:p>
        </w:tc>
        <w:tc>
          <w:tcPr>
            <w:tcW w:type="dxa" w:w="900"/>
          </w:tcPr>
          <w:p>
            <w:pPr>
              <w:pStyle w:val="Compact"/>
              <w:jc w:val="center"/>
            </w:pPr>
            <w:r>
              <w:rPr>
                <w:b w:val="0"/>
              </w:rPr>
              <w:t xml:space="preserve">55.91</w:t>
            </w:r>
          </w:p>
        </w:tc>
        <w:tc>
          <w:tcPr>
            <w:tcW w:type="dxa" w:w="900"/>
          </w:tcPr>
          <w:p>
            <w:pPr>
              <w:pStyle w:val="Compact"/>
              <w:jc w:val="left"/>
            </w:pPr>
            <w:r>
              <w:rPr>
                <w:b w:val="0"/>
              </w:rPr>
              <w:t xml:space="preserve">78.81</w:t>
            </w:r>
          </w:p>
        </w:tc>
        <w:tc>
          <w:tcPr>
            <w:tcW w:type="dxa" w:w="900"/>
          </w:tcPr>
          <w:p>
            <w:pPr>
              <w:pStyle w:val="Compact"/>
              <w:jc w:val="left"/>
            </w:pPr>
            <w:r>
              <w:rPr>
                <w:b w:val="0"/>
              </w:rPr>
              <w:t xml:space="preserve">70.52</w:t>
            </w:r>
          </w:p>
        </w:tc>
        <w:tc>
          <w:tcPr>
            <w:tcW w:type="dxa" w:w="900"/>
          </w:tcPr>
          <w:p>
            <w:pPr>
              <w:pStyle w:val="Compact"/>
              <w:jc w:val="left"/>
            </w:pPr>
            <w:r>
              <w:rPr>
                <w:b w:val="0"/>
              </w:rPr>
              <w:t xml:space="preserve">+14.61</w:t>
            </w:r>
          </w:p>
        </w:tc>
      </w:tr>
      <w:tr>
        <w:tc>
          <w:tcPr>
            <w:tcW w:type="dxa" w:w="944"/>
          </w:tcPr>
          <w:p>
            <w:pPr>
              <w:pStyle w:val="Compact"/>
              <w:jc w:val="left"/>
            </w:pPr>
            <w:r>
              <w:rPr>
                <w:b w:val="0"/>
              </w:rPr>
              <w:t>gemma4:latest_kb_rag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51.29</w:t>
            </w:r>
          </w:p>
        </w:tc>
        <w:tc>
          <w:tcPr>
            <w:tcW w:type="dxa" w:w="900"/>
          </w:tcPr>
          <w:p>
            <w:pPr>
              <w:pStyle w:val="Compact"/>
              <w:jc w:val="center"/>
            </w:pPr>
            <w:r>
              <w:rPr>
                <w:b w:val="0"/>
              </w:rPr>
              <w:t xml:space="preserve">62.76</w:t>
            </w:r>
          </w:p>
        </w:tc>
        <w:tc>
          <w:tcPr>
            <w:tcW w:type="dxa" w:w="900"/>
          </w:tcPr>
          <w:p>
            <w:pPr>
              <w:pStyle w:val="Compact"/>
              <w:jc w:val="center"/>
            </w:pPr>
            <w:r>
              <w:rPr>
                <w:b w:val="0"/>
              </w:rPr>
              <w:t xml:space="preserve">54.74</w:t>
            </w:r>
          </w:p>
        </w:tc>
        <w:tc>
          <w:tcPr>
            <w:tcW w:type="dxa" w:w="900"/>
          </w:tcPr>
          <w:p>
            <w:pPr>
              <w:pStyle w:val="Compact"/>
              <w:jc w:val="left"/>
            </w:pPr>
            <w:r>
              <w:rPr>
                <w:b w:val="0"/>
              </w:rPr>
              <w:t xml:space="preserve">79.72</w:t>
            </w:r>
          </w:p>
        </w:tc>
        <w:tc>
          <w:tcPr>
            <w:tcW w:type="dxa" w:w="900"/>
          </w:tcPr>
          <w:p>
            <w:pPr>
              <w:pStyle w:val="Compact"/>
              <w:jc w:val="left"/>
            </w:pPr>
            <w:r>
              <w:rPr>
                <w:b w:val="0"/>
              </w:rPr>
              <w:t xml:space="preserve">70.34</w:t>
            </w:r>
          </w:p>
        </w:tc>
        <w:tc>
          <w:tcPr>
            <w:tcW w:type="dxa" w:w="900"/>
          </w:tcPr>
          <w:p>
            <w:pPr>
              <w:pStyle w:val="Compact"/>
              <w:jc w:val="left"/>
            </w:pPr>
            <w:r>
              <w:rPr>
                <w:b w:val="0"/>
              </w:rPr>
              <w:t xml:space="preserve">+15.59</w:t>
            </w:r>
          </w:p>
        </w:tc>
      </w:tr>
      <w:tr>
        <w:tc>
          <w:tcPr>
            <w:tcW w:type="dxa" w:w="944"/>
          </w:tcPr>
          <w:p>
            <w:pPr>
              <w:pStyle w:val="Compact"/>
              <w:jc w:val="left"/>
            </w:pPr>
            <w:r>
              <w:rPr>
                <w:b w:val="0"/>
              </w:rPr>
              <w:t>zs-en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52.47</w:t>
            </w:r>
          </w:p>
        </w:tc>
        <w:tc>
          <w:tcPr>
            <w:tcW w:type="dxa" w:w="900"/>
          </w:tcPr>
          <w:p>
            <w:pPr>
              <w:pStyle w:val="Compact"/>
              <w:jc w:val="center"/>
            </w:pPr>
            <w:r>
              <w:rPr>
                <w:b w:val="0"/>
              </w:rPr>
              <w:t xml:space="preserve">65.39</w:t>
            </w:r>
          </w:p>
        </w:tc>
        <w:tc>
          <w:tcPr>
            <w:tcW w:type="dxa" w:w="900"/>
          </w:tcPr>
          <w:p>
            <w:pPr>
              <w:pStyle w:val="Compact"/>
              <w:jc w:val="center"/>
            </w:pPr>
            <w:r>
              <w:rPr>
                <w:b w:val="0"/>
              </w:rPr>
              <w:t xml:space="preserve">54.46</w:t>
            </w:r>
          </w:p>
        </w:tc>
        <w:tc>
          <w:tcPr>
            <w:tcW w:type="dxa" w:w="900"/>
          </w:tcPr>
          <w:p>
            <w:pPr>
              <w:pStyle w:val="Compact"/>
              <w:jc w:val="left"/>
            </w:pPr>
            <w:r>
              <w:rPr>
                <w:b w:val="0"/>
              </w:rPr>
              <w:t xml:space="preserve">77.93</w:t>
            </w:r>
          </w:p>
        </w:tc>
        <w:tc>
          <w:tcPr>
            <w:tcW w:type="dxa" w:w="900"/>
          </w:tcPr>
          <w:p>
            <w:pPr>
              <w:pStyle w:val="Compact"/>
              <w:jc w:val="left"/>
            </w:pPr>
            <w:r>
              <w:rPr>
                <w:b w:val="0"/>
              </w:rPr>
              <w:t xml:space="preserve">69.06</w:t>
            </w:r>
          </w:p>
        </w:tc>
        <w:tc>
          <w:tcPr>
            <w:tcW w:type="dxa" w:w="900"/>
          </w:tcPr>
          <w:p>
            <w:pPr>
              <w:pStyle w:val="Compact"/>
              <w:jc w:val="left"/>
            </w:pPr>
            <w:r>
              <w:rPr>
                <w:b w:val="0"/>
              </w:rPr>
              <w:t xml:space="preserve">+14.60</w:t>
            </w:r>
          </w:p>
        </w:tc>
      </w:tr>
      <w:tr>
        <w:tc>
          <w:tcPr>
            <w:tcW w:type="dxa" w:w="944"/>
          </w:tcPr>
          <w:p>
            <w:pPr>
              <w:pStyle w:val="Compact"/>
              <w:jc w:val="left"/>
            </w:pPr>
            <w:r>
              <w:rPr>
                <w:b w:val="0"/>
              </w:rPr>
              <w:t>fs-es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51.35</w:t>
            </w:r>
          </w:p>
        </w:tc>
        <w:tc>
          <w:tcPr>
            <w:tcW w:type="dxa" w:w="900"/>
          </w:tcPr>
          <w:p>
            <w:pPr>
              <w:pStyle w:val="Compact"/>
              <w:jc w:val="center"/>
            </w:pPr>
            <w:r>
              <w:rPr>
                <w:b w:val="0"/>
              </w:rPr>
              <w:t xml:space="preserve">64.59</w:t>
            </w:r>
          </w:p>
        </w:tc>
        <w:tc>
          <w:tcPr>
            <w:tcW w:type="dxa" w:w="900"/>
          </w:tcPr>
          <w:p>
            <w:pPr>
              <w:pStyle w:val="Compact"/>
              <w:jc w:val="center"/>
            </w:pPr>
            <w:r>
              <w:rPr>
                <w:b w:val="0"/>
              </w:rPr>
              <w:t xml:space="preserve">54.02</w:t>
            </w:r>
          </w:p>
        </w:tc>
        <w:tc>
          <w:tcPr>
            <w:tcW w:type="dxa" w:w="900"/>
          </w:tcPr>
          <w:p>
            <w:pPr>
              <w:pStyle w:val="Compact"/>
              <w:jc w:val="left"/>
            </w:pPr>
            <w:r>
              <w:rPr>
                <w:b w:val="0"/>
              </w:rPr>
              <w:t xml:space="preserve">80.76</w:t>
            </w:r>
          </w:p>
        </w:tc>
        <w:tc>
          <w:tcPr>
            <w:tcW w:type="dxa" w:w="900"/>
          </w:tcPr>
          <w:p>
            <w:pPr>
              <w:pStyle w:val="Compact"/>
              <w:jc w:val="left"/>
            </w:pPr>
            <w:r>
              <w:rPr>
                <w:b w:val="0"/>
              </w:rPr>
              <w:t xml:space="preserve">69.89</w:t>
            </w:r>
          </w:p>
        </w:tc>
        <w:tc>
          <w:tcPr>
            <w:tcW w:type="dxa" w:w="900"/>
          </w:tcPr>
          <w:p>
            <w:pPr>
              <w:pStyle w:val="Compact"/>
              <w:jc w:val="left"/>
            </w:pPr>
            <w:r>
              <w:rPr>
                <w:b w:val="0"/>
              </w:rPr>
              <w:t xml:space="preserve">+15.86</w:t>
            </w:r>
          </w:p>
        </w:tc>
      </w:tr>
      <w:tr>
        <w:tc>
          <w:tcPr>
            <w:tcW w:type="dxa" w:w="944"/>
          </w:tcPr>
          <w:p>
            <w:pPr>
              <w:pStyle w:val="Compact"/>
              <w:jc w:val="left"/>
            </w:pPr>
            <w:r>
              <w:rPr>
                <w:b w:val="0"/>
              </w:rPr>
              <w:t>fs-en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51.61</w:t>
            </w:r>
          </w:p>
        </w:tc>
        <w:tc>
          <w:tcPr>
            <w:tcW w:type="dxa" w:w="900"/>
          </w:tcPr>
          <w:p>
            <w:pPr>
              <w:pStyle w:val="Compact"/>
              <w:jc w:val="center"/>
            </w:pPr>
            <w:r>
              <w:rPr>
                <w:b w:val="0"/>
              </w:rPr>
              <w:t xml:space="preserve">65.28</w:t>
            </w:r>
          </w:p>
        </w:tc>
        <w:tc>
          <w:tcPr>
            <w:tcW w:type="dxa" w:w="900"/>
          </w:tcPr>
          <w:p>
            <w:pPr>
              <w:pStyle w:val="Compact"/>
              <w:jc w:val="center"/>
            </w:pPr>
            <w:r>
              <w:rPr>
                <w:b w:val="0"/>
              </w:rPr>
              <w:t xml:space="preserve">54.50</w:t>
            </w:r>
          </w:p>
        </w:tc>
        <w:tc>
          <w:tcPr>
            <w:tcW w:type="dxa" w:w="900"/>
          </w:tcPr>
          <w:p>
            <w:pPr>
              <w:pStyle w:val="Compact"/>
              <w:jc w:val="left"/>
            </w:pPr>
            <w:r>
              <w:rPr>
                <w:b w:val="0"/>
              </w:rPr>
              <w:t xml:space="preserve">80.26</w:t>
            </w:r>
          </w:p>
        </w:tc>
        <w:tc>
          <w:tcPr>
            <w:tcW w:type="dxa" w:w="900"/>
          </w:tcPr>
          <w:p>
            <w:pPr>
              <w:pStyle w:val="Compact"/>
              <w:jc w:val="left"/>
            </w:pPr>
            <w:r>
              <w:rPr>
                <w:b w:val="0"/>
              </w:rPr>
              <w:t xml:space="preserve">70.23</w:t>
            </w:r>
          </w:p>
        </w:tc>
        <w:tc>
          <w:tcPr>
            <w:tcW w:type="dxa" w:w="900"/>
          </w:tcPr>
          <w:p>
            <w:pPr>
              <w:pStyle w:val="Compact"/>
              <w:jc w:val="left"/>
            </w:pPr>
            <w:r>
              <w:rPr>
                <w:b w:val="0"/>
              </w:rPr>
              <w:t xml:space="preserve">+15.72</w:t>
            </w:r>
          </w:p>
        </w:tc>
      </w:tr>
      <w:tr>
        <w:tc>
          <w:tcPr>
            <w:tcW w:type="dxa" w:w="944"/>
          </w:tcPr>
          <w:p>
            <w:pPr>
              <w:pStyle w:val="Compact"/>
              <w:jc w:val="left"/>
            </w:pPr>
            <w:r>
              <w:rPr>
                <w:b w:val="0"/>
              </w:rPr>
              <w:t>gemma4:latest_rag_enhanced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50.61</w:t>
            </w:r>
          </w:p>
        </w:tc>
        <w:tc>
          <w:tcPr>
            <w:tcW w:type="dxa" w:w="900"/>
          </w:tcPr>
          <w:p>
            <w:pPr>
              <w:pStyle w:val="Compact"/>
              <w:jc w:val="center"/>
            </w:pPr>
            <w:r>
              <w:rPr>
                <w:b w:val="0"/>
              </w:rPr>
              <w:t xml:space="preserve">58.82</w:t>
            </w:r>
          </w:p>
        </w:tc>
        <w:tc>
          <w:tcPr>
            <w:tcW w:type="dxa" w:w="900"/>
          </w:tcPr>
          <w:p>
            <w:pPr>
              <w:pStyle w:val="Compact"/>
              <w:jc w:val="center"/>
            </w:pPr>
            <w:r>
              <w:rPr>
                <w:b w:val="0"/>
              </w:rPr>
              <w:t xml:space="preserve">52.57</w:t>
            </w:r>
          </w:p>
        </w:tc>
        <w:tc>
          <w:tcPr>
            <w:tcW w:type="dxa" w:w="900"/>
          </w:tcPr>
          <w:p>
            <w:pPr>
              <w:pStyle w:val="Compact"/>
              <w:jc w:val="left"/>
            </w:pPr>
            <w:r>
              <w:rPr>
                <w:b w:val="0"/>
              </w:rPr>
              <w:t xml:space="preserve">78.80</w:t>
            </w:r>
          </w:p>
        </w:tc>
        <w:tc>
          <w:tcPr>
            <w:tcW w:type="dxa" w:w="900"/>
          </w:tcPr>
          <w:p>
            <w:pPr>
              <w:pStyle w:val="Compact"/>
              <w:jc w:val="left"/>
            </w:pPr>
            <w:r>
              <w:rPr>
                <w:b w:val="0"/>
              </w:rPr>
              <w:t xml:space="preserve">67.22</w:t>
            </w:r>
          </w:p>
        </w:tc>
        <w:tc>
          <w:tcPr>
            <w:tcW w:type="dxa" w:w="900"/>
          </w:tcPr>
          <w:p>
            <w:pPr>
              <w:pStyle w:val="Compact"/>
              <w:jc w:val="left"/>
            </w:pPr>
            <w:r>
              <w:rPr>
                <w:b w:val="0"/>
              </w:rPr>
              <w:t xml:space="preserve">+14.65</w:t>
            </w:r>
          </w:p>
        </w:tc>
      </w:tr>
      <w:tr>
        <w:tc>
          <w:tcPr>
            <w:tcW w:type="dxa" w:w="944"/>
          </w:tcPr>
          <w:p>
            <w:pPr>
              <w:pStyle w:val="Compact"/>
              <w:jc w:val="left"/>
            </w:pPr>
            <w:r>
              <w:rPr>
                <w:b w:val="0"/>
              </w:rPr>
              <w:t>gpt-oss:20b_baseline</w:t>
            </w:r>
          </w:p>
        </w:tc>
        <w:tc>
          <w:tcPr>
            <w:tcW w:type="dxa" w:w="2494"/>
          </w:tcPr>
          <w:p>
            <w:pPr>
              <w:pStyle w:val="Compact"/>
              <w:jc w:val="left"/>
            </w:pPr>
            <w:r>
              <w:rPr>
                <w:b w:val="0"/>
              </w:rPr>
              <w:t>gptoss_rerun_REMOTO</w:t>
            </w:r>
          </w:p>
        </w:tc>
        <w:tc>
          <w:tcPr>
            <w:tcW w:type="dxa" w:w="900"/>
          </w:tcPr>
          <w:p>
            <w:pPr>
              <w:pStyle w:val="Compact"/>
              <w:jc w:val="left"/>
            </w:pPr>
            <w:r>
              <w:rPr>
                <w:b w:val="0"/>
              </w:rPr>
              <w:t xml:space="preserve">46.49</w:t>
            </w:r>
          </w:p>
        </w:tc>
        <w:tc>
          <w:tcPr>
            <w:tcW w:type="dxa" w:w="900"/>
          </w:tcPr>
          <w:p>
            <w:pPr>
              <w:pStyle w:val="Compact"/>
              <w:jc w:val="center"/>
            </w:pPr>
            <w:r>
              <w:rPr>
                <w:b w:val="0"/>
              </w:rPr>
              <w:t xml:space="preserve">64.40</w:t>
            </w:r>
          </w:p>
        </w:tc>
        <w:tc>
          <w:tcPr>
            <w:tcW w:type="dxa" w:w="900"/>
          </w:tcPr>
          <w:p>
            <w:pPr>
              <w:pStyle w:val="Compact"/>
              <w:jc w:val="center"/>
            </w:pPr>
            <w:r>
              <w:rPr>
                <w:b w:val="0"/>
              </w:rPr>
              <w:t xml:space="preserve">52.39</w:t>
            </w:r>
          </w:p>
        </w:tc>
        <w:tc>
          <w:tcPr>
            <w:tcW w:type="dxa" w:w="900"/>
          </w:tcPr>
          <w:p>
            <w:pPr>
              <w:pStyle w:val="Compact"/>
              <w:jc w:val="left"/>
            </w:pPr>
            <w:r>
              <w:rPr>
                <w:b w:val="0"/>
              </w:rPr>
              <w:t xml:space="preserve">73.69</w:t>
            </w:r>
          </w:p>
        </w:tc>
        <w:tc>
          <w:tcPr>
            <w:tcW w:type="dxa" w:w="900"/>
          </w:tcPr>
          <w:p>
            <w:pPr>
              <w:pStyle w:val="Compact"/>
              <w:jc w:val="left"/>
            </w:pPr>
            <w:r>
              <w:rPr>
                <w:b w:val="0"/>
              </w:rPr>
              <w:t xml:space="preserve">68.89</w:t>
            </w:r>
          </w:p>
        </w:tc>
        <w:tc>
          <w:tcPr>
            <w:tcW w:type="dxa" w:w="900"/>
          </w:tcPr>
          <w:p>
            <w:pPr>
              <w:pStyle w:val="Compact"/>
              <w:jc w:val="left"/>
            </w:pPr>
            <w:r>
              <w:rPr>
                <w:b w:val="0"/>
              </w:rPr>
              <w:t xml:space="preserve">+16.50</w:t>
            </w:r>
          </w:p>
        </w:tc>
      </w:tr>
      <w:tr>
        <w:tc>
          <w:tcPr>
            <w:tcW w:type="dxa" w:w="944"/>
          </w:tcPr>
          <w:p>
            <w:pPr>
              <w:pStyle w:val="Compact"/>
              <w:jc w:val="left"/>
            </w:pPr>
            <w:r>
              <w:rPr>
                <w:b w:val="0"/>
              </w:rPr>
              <w:t>qwen2.5:14b_kb_rag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55.48</w:t>
            </w:r>
          </w:p>
        </w:tc>
        <w:tc>
          <w:tcPr>
            <w:tcW w:type="dxa" w:w="900"/>
          </w:tcPr>
          <w:p>
            <w:pPr>
              <w:pStyle w:val="Compact"/>
              <w:jc w:val="center"/>
            </w:pPr>
            <w:r>
              <w:rPr>
                <w:b w:val="0"/>
              </w:rPr>
              <w:t xml:space="preserve">58.74</w:t>
            </w:r>
          </w:p>
        </w:tc>
        <w:tc>
          <w:tcPr>
            <w:tcW w:type="dxa" w:w="900"/>
          </w:tcPr>
          <w:p>
            <w:pPr>
              <w:pStyle w:val="Compact"/>
              <w:jc w:val="center"/>
            </w:pPr>
            <w:r>
              <w:rPr>
                <w:b w:val="0"/>
              </w:rPr>
              <w:t xml:space="preserve">54.84</w:t>
            </w:r>
          </w:p>
        </w:tc>
        <w:tc>
          <w:tcPr>
            <w:tcW w:type="dxa" w:w="900"/>
          </w:tcPr>
          <w:p>
            <w:pPr>
              <w:pStyle w:val="Compact"/>
              <w:jc w:val="left"/>
            </w:pPr>
            <w:r>
              <w:rPr>
                <w:b w:val="0"/>
              </w:rPr>
              <w:t xml:space="preserve">82.69</w:t>
            </w:r>
          </w:p>
        </w:tc>
        <w:tc>
          <w:tcPr>
            <w:tcW w:type="dxa" w:w="900"/>
          </w:tcPr>
          <w:p>
            <w:pPr>
              <w:pStyle w:val="Compact"/>
              <w:jc w:val="left"/>
            </w:pPr>
            <w:r>
              <w:rPr>
                <w:b w:val="0"/>
              </w:rPr>
              <w:t xml:space="preserve">68.11</w:t>
            </w:r>
          </w:p>
        </w:tc>
        <w:tc>
          <w:tcPr>
            <w:tcW w:type="dxa" w:w="900"/>
          </w:tcPr>
          <w:p>
            <w:pPr>
              <w:pStyle w:val="Compact"/>
              <w:jc w:val="left"/>
            </w:pPr>
            <w:r>
              <w:rPr>
                <w:b w:val="0"/>
              </w:rPr>
              <w:t xml:space="preserve">+13.27</w:t>
            </w:r>
          </w:p>
        </w:tc>
      </w:tr>
      <w:tr>
        <w:tc>
          <w:tcPr>
            <w:tcW w:type="dxa" w:w="944"/>
          </w:tcPr>
          <w:p>
            <w:pPr>
              <w:pStyle w:val="Compact"/>
              <w:jc w:val="left"/>
            </w:pPr>
            <w:r>
              <w:rPr>
                <w:b w:val="0"/>
              </w:rPr>
              <w:t>qwen2.5:14b_baseline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50.29</w:t>
            </w:r>
          </w:p>
        </w:tc>
        <w:tc>
          <w:tcPr>
            <w:tcW w:type="dxa" w:w="900"/>
          </w:tcPr>
          <w:p>
            <w:pPr>
              <w:pStyle w:val="Compact"/>
              <w:jc w:val="center"/>
            </w:pPr>
            <w:r>
              <w:rPr>
                <w:b w:val="0"/>
              </w:rPr>
              <w:t xml:space="preserve">54.02</w:t>
            </w:r>
          </w:p>
        </w:tc>
        <w:tc>
          <w:tcPr>
            <w:tcW w:type="dxa" w:w="900"/>
          </w:tcPr>
          <w:p>
            <w:pPr>
              <w:pStyle w:val="Compact"/>
              <w:jc w:val="center"/>
            </w:pPr>
            <w:r>
              <w:rPr>
                <w:b w:val="0"/>
              </w:rPr>
              <w:t xml:space="preserve">50.22</w:t>
            </w:r>
          </w:p>
        </w:tc>
        <w:tc>
          <w:tcPr>
            <w:tcW w:type="dxa" w:w="900"/>
          </w:tcPr>
          <w:p>
            <w:pPr>
              <w:pStyle w:val="Compact"/>
              <w:jc w:val="left"/>
            </w:pPr>
            <w:r>
              <w:rPr>
                <w:b w:val="0"/>
              </w:rPr>
              <w:t xml:space="preserve">83.40</w:t>
            </w:r>
          </w:p>
        </w:tc>
        <w:tc>
          <w:tcPr>
            <w:tcW w:type="dxa" w:w="900"/>
          </w:tcPr>
          <w:p>
            <w:pPr>
              <w:pStyle w:val="Compact"/>
              <w:jc w:val="left"/>
            </w:pPr>
            <w:r>
              <w:rPr>
                <w:b w:val="0"/>
              </w:rPr>
              <w:t xml:space="preserve">66.11</w:t>
            </w:r>
          </w:p>
        </w:tc>
        <w:tc>
          <w:tcPr>
            <w:tcW w:type="dxa" w:w="900"/>
          </w:tcPr>
          <w:p>
            <w:pPr>
              <w:pStyle w:val="Compact"/>
              <w:jc w:val="left"/>
            </w:pPr>
            <w:r>
              <w:rPr>
                <w:b w:val="0"/>
              </w:rPr>
              <w:t xml:space="preserve">+15.89</w:t>
            </w:r>
          </w:p>
        </w:tc>
      </w:tr>
      <w:tr>
        <w:tc>
          <w:tcPr>
            <w:tcW w:type="dxa" w:w="944"/>
          </w:tcPr>
          <w:p>
            <w:pPr>
              <w:pStyle w:val="Compact"/>
              <w:jc w:val="left"/>
            </w:pPr>
            <w:r>
              <w:rPr>
                <w:b w:val="0"/>
              </w:rPr>
              <w:t>llama3.1:8b_baseline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47.37</w:t>
            </w:r>
          </w:p>
        </w:tc>
        <w:tc>
          <w:tcPr>
            <w:tcW w:type="dxa" w:w="900"/>
          </w:tcPr>
          <w:p>
            <w:pPr>
              <w:pStyle w:val="Compact"/>
              <w:jc w:val="center"/>
            </w:pPr>
            <w:r>
              <w:rPr>
                <w:b w:val="0"/>
              </w:rPr>
              <w:t xml:space="preserve">54.91</w:t>
            </w:r>
          </w:p>
        </w:tc>
        <w:tc>
          <w:tcPr>
            <w:tcW w:type="dxa" w:w="900"/>
          </w:tcPr>
          <w:p>
            <w:pPr>
              <w:pStyle w:val="Compact"/>
              <w:jc w:val="center"/>
            </w:pPr>
            <w:r>
              <w:rPr>
                <w:b w:val="0"/>
              </w:rPr>
              <w:t xml:space="preserve">48.76</w:t>
            </w:r>
          </w:p>
        </w:tc>
        <w:tc>
          <w:tcPr>
            <w:tcW w:type="dxa" w:w="900"/>
          </w:tcPr>
          <w:p>
            <w:pPr>
              <w:pStyle w:val="Compact"/>
              <w:jc w:val="left"/>
            </w:pPr>
            <w:r>
              <w:rPr>
                <w:b w:val="0"/>
              </w:rPr>
              <w:t xml:space="preserve">80.52</w:t>
            </w:r>
          </w:p>
        </w:tc>
        <w:tc>
          <w:tcPr>
            <w:tcW w:type="dxa" w:w="900"/>
          </w:tcPr>
          <w:p>
            <w:pPr>
              <w:pStyle w:val="Compact"/>
              <w:jc w:val="left"/>
            </w:pPr>
            <w:r>
              <w:rPr>
                <w:b w:val="0"/>
              </w:rPr>
              <w:t xml:space="preserve">64.53</w:t>
            </w:r>
          </w:p>
        </w:tc>
        <w:tc>
          <w:tcPr>
            <w:tcW w:type="dxa" w:w="900"/>
          </w:tcPr>
          <w:p>
            <w:pPr>
              <w:pStyle w:val="Compact"/>
              <w:jc w:val="left"/>
            </w:pPr>
            <w:r>
              <w:rPr>
                <w:b w:val="0"/>
              </w:rPr>
              <w:t xml:space="preserve">+15.77</w:t>
            </w:r>
          </w:p>
        </w:tc>
      </w:tr>
      <w:tr>
        <w:tc>
          <w:tcPr>
            <w:tcW w:type="dxa" w:w="944"/>
          </w:tcPr>
          <w:p>
            <w:pPr>
              <w:pStyle w:val="Compact"/>
              <w:jc w:val="left"/>
            </w:pPr>
            <w:r>
              <w:rPr>
                <w:b w:val="0"/>
              </w:rPr>
              <w:t>llama3.1:8b_kb_rag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50.85</w:t>
            </w:r>
          </w:p>
        </w:tc>
        <w:tc>
          <w:tcPr>
            <w:tcW w:type="dxa" w:w="900"/>
          </w:tcPr>
          <w:p>
            <w:pPr>
              <w:pStyle w:val="Compact"/>
              <w:jc w:val="center"/>
            </w:pPr>
            <w:r>
              <w:rPr>
                <w:b w:val="0"/>
              </w:rPr>
              <w:t xml:space="preserve">55.23</w:t>
            </w:r>
          </w:p>
        </w:tc>
        <w:tc>
          <w:tcPr>
            <w:tcW w:type="dxa" w:w="900"/>
          </w:tcPr>
          <w:p>
            <w:pPr>
              <w:pStyle w:val="Compact"/>
              <w:jc w:val="center"/>
            </w:pPr>
            <w:r>
              <w:rPr>
                <w:b w:val="0"/>
              </w:rPr>
              <w:t xml:space="preserve">50.75</w:t>
            </w:r>
          </w:p>
        </w:tc>
        <w:tc>
          <w:tcPr>
            <w:tcW w:type="dxa" w:w="900"/>
          </w:tcPr>
          <w:p>
            <w:pPr>
              <w:pStyle w:val="Compact"/>
              <w:jc w:val="left"/>
            </w:pPr>
            <w:r>
              <w:rPr>
                <w:b w:val="0"/>
              </w:rPr>
              <w:t xml:space="preserve">76.28</w:t>
            </w:r>
          </w:p>
        </w:tc>
        <w:tc>
          <w:tcPr>
            <w:tcW w:type="dxa" w:w="900"/>
          </w:tcPr>
          <w:p>
            <w:pPr>
              <w:pStyle w:val="Compact"/>
              <w:jc w:val="left"/>
            </w:pPr>
            <w:r>
              <w:rPr>
                <w:b w:val="0"/>
              </w:rPr>
              <w:t xml:space="preserve">63.62</w:t>
            </w:r>
          </w:p>
        </w:tc>
        <w:tc>
          <w:tcPr>
            <w:tcW w:type="dxa" w:w="900"/>
          </w:tcPr>
          <w:p>
            <w:pPr>
              <w:pStyle w:val="Compact"/>
              <w:jc w:val="left"/>
            </w:pPr>
            <w:r>
              <w:rPr>
                <w:b w:val="0"/>
              </w:rPr>
              <w:t xml:space="preserve">+12.87</w:t>
            </w:r>
          </w:p>
        </w:tc>
      </w:tr>
      <w:tr>
        <w:tc>
          <w:tcPr>
            <w:tcW w:type="dxa" w:w="944"/>
          </w:tcPr>
          <w:p>
            <w:pPr>
              <w:pStyle w:val="Compact"/>
              <w:jc w:val="left"/>
            </w:pPr>
            <w:r>
              <w:rPr>
                <w:b w:val="0"/>
              </w:rPr>
              <w:t>qwen3:8b_kb_rag</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48.51</w:t>
            </w:r>
          </w:p>
        </w:tc>
        <w:tc>
          <w:tcPr>
            <w:tcW w:type="dxa" w:w="900"/>
          </w:tcPr>
          <w:p>
            <w:pPr>
              <w:pStyle w:val="Compact"/>
              <w:jc w:val="center"/>
            </w:pPr>
            <w:r>
              <w:rPr>
                <w:b w:val="0"/>
              </w:rPr>
              <w:t xml:space="preserve">59.68</w:t>
            </w:r>
          </w:p>
        </w:tc>
        <w:tc>
          <w:tcPr>
            <w:tcW w:type="dxa" w:w="900"/>
          </w:tcPr>
          <w:p>
            <w:pPr>
              <w:pStyle w:val="Compact"/>
              <w:jc w:val="center"/>
            </w:pPr>
            <w:r>
              <w:rPr>
                <w:b w:val="0"/>
              </w:rPr>
              <w:t xml:space="preserve">51.46</w:t>
            </w:r>
          </w:p>
        </w:tc>
        <w:tc>
          <w:tcPr>
            <w:tcW w:type="dxa" w:w="900"/>
          </w:tcPr>
          <w:p>
            <w:pPr>
              <w:pStyle w:val="Compact"/>
              <w:jc w:val="left"/>
            </w:pPr>
            <w:r>
              <w:rPr>
                <w:b w:val="0"/>
              </w:rPr>
              <w:t xml:space="preserve">72.59</w:t>
            </w:r>
          </w:p>
        </w:tc>
        <w:tc>
          <w:tcPr>
            <w:tcW w:type="dxa" w:w="900"/>
          </w:tcPr>
          <w:p>
            <w:pPr>
              <w:pStyle w:val="Compact"/>
              <w:jc w:val="left"/>
            </w:pPr>
            <w:r>
              <w:rPr>
                <w:b w:val="0"/>
              </w:rPr>
              <w:t xml:space="preserve">64.87</w:t>
            </w:r>
          </w:p>
        </w:tc>
        <w:tc>
          <w:tcPr>
            <w:tcW w:type="dxa" w:w="900"/>
          </w:tcPr>
          <w:p>
            <w:pPr>
              <w:pStyle w:val="Compact"/>
              <w:jc w:val="left"/>
            </w:pPr>
            <w:r>
              <w:rPr>
                <w:b w:val="0"/>
              </w:rPr>
              <w:t xml:space="preserve">+13.41</w:t>
            </w:r>
          </w:p>
        </w:tc>
      </w:tr>
      <w:tr>
        <w:tc>
          <w:tcPr>
            <w:tcW w:type="dxa" w:w="944"/>
          </w:tcPr>
          <w:p>
            <w:pPr>
              <w:pStyle w:val="Compact"/>
              <w:jc w:val="left"/>
            </w:pPr>
            <w:r>
              <w:rPr>
                <w:b w:val="0"/>
              </w:rPr>
              <w:t>qwen3:8b_baseline</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46.25</w:t>
            </w:r>
          </w:p>
        </w:tc>
        <w:tc>
          <w:tcPr>
            <w:tcW w:type="dxa" w:w="900"/>
          </w:tcPr>
          <w:p>
            <w:pPr>
              <w:pStyle w:val="Compact"/>
              <w:jc w:val="center"/>
            </w:pPr>
            <w:r>
              <w:rPr>
                <w:b w:val="0"/>
              </w:rPr>
              <w:t xml:space="preserve">55.02</w:t>
            </w:r>
          </w:p>
        </w:tc>
        <w:tc>
          <w:tcPr>
            <w:tcW w:type="dxa" w:w="900"/>
          </w:tcPr>
          <w:p>
            <w:pPr>
              <w:pStyle w:val="Compact"/>
              <w:jc w:val="center"/>
            </w:pPr>
            <w:r>
              <w:rPr>
                <w:b w:val="0"/>
              </w:rPr>
              <w:t xml:space="preserve">48.21</w:t>
            </w:r>
          </w:p>
        </w:tc>
        <w:tc>
          <w:tcPr>
            <w:tcW w:type="dxa" w:w="900"/>
          </w:tcPr>
          <w:p>
            <w:pPr>
              <w:pStyle w:val="Compact"/>
              <w:jc w:val="left"/>
            </w:pPr>
            <w:r>
              <w:rPr>
                <w:b w:val="0"/>
              </w:rPr>
              <w:t xml:space="preserve">75.27</w:t>
            </w:r>
          </w:p>
        </w:tc>
        <w:tc>
          <w:tcPr>
            <w:tcW w:type="dxa" w:w="900"/>
          </w:tcPr>
          <w:p>
            <w:pPr>
              <w:pStyle w:val="Compact"/>
              <w:jc w:val="left"/>
            </w:pPr>
            <w:r>
              <w:rPr>
                <w:b w:val="0"/>
              </w:rPr>
              <w:t xml:space="preserve">63.05</w:t>
            </w:r>
          </w:p>
        </w:tc>
        <w:tc>
          <w:tcPr>
            <w:tcW w:type="dxa" w:w="900"/>
          </w:tcPr>
          <w:p>
            <w:pPr>
              <w:pStyle w:val="Compact"/>
              <w:jc w:val="left"/>
            </w:pPr>
            <w:r>
              <w:rPr>
                <w:b w:val="0"/>
              </w:rPr>
              <w:t xml:space="preserve">+14.84</w:t>
            </w:r>
          </w:p>
        </w:tc>
      </w:tr>
      <w:tr>
        <w:tc>
          <w:tcPr>
            <w:tcW w:type="dxa" w:w="944"/>
          </w:tcPr>
          <w:p>
            <w:pPr>
              <w:pStyle w:val="Compact"/>
              <w:jc w:val="left"/>
            </w:pPr>
            <w:r>
              <w:rPr>
                <w:b w:val="0"/>
              </w:rPr>
              <w:t>qwen2.5:14b_rag_enhanced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50.99</w:t>
            </w:r>
          </w:p>
        </w:tc>
        <w:tc>
          <w:tcPr>
            <w:tcW w:type="dxa" w:w="900"/>
          </w:tcPr>
          <w:p>
            <w:pPr>
              <w:pStyle w:val="Compact"/>
              <w:jc w:val="center"/>
            </w:pPr>
            <w:r>
              <w:rPr>
                <w:b w:val="0"/>
              </w:rPr>
              <w:t xml:space="preserve">51.31</w:t>
            </w:r>
          </w:p>
        </w:tc>
        <w:tc>
          <w:tcPr>
            <w:tcW w:type="dxa" w:w="900"/>
          </w:tcPr>
          <w:p>
            <w:pPr>
              <w:pStyle w:val="Compact"/>
              <w:jc w:val="center"/>
            </w:pPr>
            <w:r>
              <w:rPr>
                <w:b w:val="0"/>
              </w:rPr>
              <w:t xml:space="preserve">49.05</w:t>
            </w:r>
          </w:p>
        </w:tc>
        <w:tc>
          <w:tcPr>
            <w:tcW w:type="dxa" w:w="900"/>
          </w:tcPr>
          <w:p>
            <w:pPr>
              <w:pStyle w:val="Compact"/>
              <w:jc w:val="left"/>
            </w:pPr>
            <w:r>
              <w:rPr>
                <w:b w:val="0"/>
              </w:rPr>
              <w:t xml:space="preserve">85.30</w:t>
            </w:r>
          </w:p>
        </w:tc>
        <w:tc>
          <w:tcPr>
            <w:tcW w:type="dxa" w:w="900"/>
          </w:tcPr>
          <w:p>
            <w:pPr>
              <w:pStyle w:val="Compact"/>
              <w:jc w:val="left"/>
            </w:pPr>
            <w:r>
              <w:rPr>
                <w:b w:val="0"/>
              </w:rPr>
              <w:t xml:space="preserve">63.64</w:t>
            </w:r>
          </w:p>
        </w:tc>
        <w:tc>
          <w:tcPr>
            <w:tcW w:type="dxa" w:w="900"/>
          </w:tcPr>
          <w:p>
            <w:pPr>
              <w:pStyle w:val="Compact"/>
              <w:jc w:val="left"/>
            </w:pPr>
            <w:r>
              <w:rPr>
                <w:b w:val="0"/>
              </w:rPr>
              <w:t xml:space="preserve">+14.59</w:t>
            </w:r>
          </w:p>
        </w:tc>
      </w:tr>
      <w:tr>
        <w:tc>
          <w:tcPr>
            <w:tcW w:type="dxa" w:w="944"/>
          </w:tcPr>
          <w:p>
            <w:pPr>
              <w:pStyle w:val="Compact"/>
              <w:jc w:val="left"/>
            </w:pPr>
            <w:r>
              <w:rPr>
                <w:b w:val="0"/>
              </w:rPr>
              <w:t>llama3.2:latest_kb_rag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48.92</w:t>
            </w:r>
          </w:p>
        </w:tc>
        <w:tc>
          <w:tcPr>
            <w:tcW w:type="dxa" w:w="900"/>
          </w:tcPr>
          <w:p>
            <w:pPr>
              <w:pStyle w:val="Compact"/>
              <w:jc w:val="center"/>
            </w:pPr>
            <w:r>
              <w:rPr>
                <w:b w:val="0"/>
              </w:rPr>
              <w:t xml:space="preserve">51.81</w:t>
            </w:r>
          </w:p>
        </w:tc>
        <w:tc>
          <w:tcPr>
            <w:tcW w:type="dxa" w:w="900"/>
          </w:tcPr>
          <w:p>
            <w:pPr>
              <w:pStyle w:val="Compact"/>
              <w:jc w:val="center"/>
            </w:pPr>
            <w:r>
              <w:rPr>
                <w:b w:val="0"/>
              </w:rPr>
              <w:t xml:space="preserve">46.93</w:t>
            </w:r>
          </w:p>
        </w:tc>
        <w:tc>
          <w:tcPr>
            <w:tcW w:type="dxa" w:w="900"/>
          </w:tcPr>
          <w:p>
            <w:pPr>
              <w:pStyle w:val="Compact"/>
              <w:jc w:val="left"/>
            </w:pPr>
            <w:r>
              <w:rPr>
                <w:b w:val="0"/>
              </w:rPr>
              <w:t xml:space="preserve">75.45</w:t>
            </w:r>
          </w:p>
        </w:tc>
        <w:tc>
          <w:tcPr>
            <w:tcW w:type="dxa" w:w="900"/>
          </w:tcPr>
          <w:p>
            <w:pPr>
              <w:pStyle w:val="Compact"/>
              <w:jc w:val="left"/>
            </w:pPr>
            <w:r>
              <w:rPr>
                <w:b w:val="0"/>
              </w:rPr>
              <w:t xml:space="preserve">59.86</w:t>
            </w:r>
          </w:p>
        </w:tc>
        <w:tc>
          <w:tcPr>
            <w:tcW w:type="dxa" w:w="900"/>
          </w:tcPr>
          <w:p>
            <w:pPr>
              <w:pStyle w:val="Compact"/>
              <w:jc w:val="left"/>
            </w:pPr>
            <w:r>
              <w:rPr>
                <w:b w:val="0"/>
              </w:rPr>
              <w:t xml:space="preserve">+12.92</w:t>
            </w:r>
          </w:p>
        </w:tc>
      </w:tr>
      <w:tr>
        <w:tc>
          <w:tcPr>
            <w:tcW w:type="dxa" w:w="944"/>
          </w:tcPr>
          <w:p>
            <w:pPr>
              <w:pStyle w:val="Compact"/>
              <w:jc w:val="left"/>
            </w:pPr>
            <w:r>
              <w:rPr>
                <w:b w:val="0"/>
              </w:rPr>
              <w:t>llama3.1:8b_rag_enhanced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47.02</w:t>
            </w:r>
          </w:p>
        </w:tc>
        <w:tc>
          <w:tcPr>
            <w:tcW w:type="dxa" w:w="900"/>
          </w:tcPr>
          <w:p>
            <w:pPr>
              <w:pStyle w:val="Compact"/>
              <w:jc w:val="center"/>
            </w:pPr>
            <w:r>
              <w:rPr>
                <w:b w:val="0"/>
              </w:rPr>
              <w:t xml:space="preserve">46.98</w:t>
            </w:r>
          </w:p>
        </w:tc>
        <w:tc>
          <w:tcPr>
            <w:tcW w:type="dxa" w:w="900"/>
          </w:tcPr>
          <w:p>
            <w:pPr>
              <w:pStyle w:val="Compact"/>
              <w:jc w:val="center"/>
            </w:pPr>
            <w:r>
              <w:rPr>
                <w:b w:val="0"/>
              </w:rPr>
              <w:t xml:space="preserve">44.56</w:t>
            </w:r>
          </w:p>
        </w:tc>
        <w:tc>
          <w:tcPr>
            <w:tcW w:type="dxa" w:w="900"/>
          </w:tcPr>
          <w:p>
            <w:pPr>
              <w:pStyle w:val="Compact"/>
              <w:jc w:val="left"/>
            </w:pPr>
            <w:r>
              <w:rPr>
                <w:b w:val="0"/>
              </w:rPr>
              <w:t xml:space="preserve">87.02</w:t>
            </w:r>
          </w:p>
        </w:tc>
        <w:tc>
          <w:tcPr>
            <w:tcW w:type="dxa" w:w="900"/>
          </w:tcPr>
          <w:p>
            <w:pPr>
              <w:pStyle w:val="Compact"/>
              <w:jc w:val="left"/>
            </w:pPr>
            <w:r>
              <w:rPr>
                <w:b w:val="0"/>
              </w:rPr>
              <w:t xml:space="preserve">59.25</w:t>
            </w:r>
          </w:p>
        </w:tc>
        <w:tc>
          <w:tcPr>
            <w:tcW w:type="dxa" w:w="900"/>
          </w:tcPr>
          <w:p>
            <w:pPr>
              <w:pStyle w:val="Compact"/>
              <w:jc w:val="left"/>
            </w:pPr>
            <w:r>
              <w:rPr>
                <w:b w:val="0"/>
              </w:rPr>
              <w:t xml:space="preserve">+14.69</w:t>
            </w:r>
          </w:p>
        </w:tc>
      </w:tr>
      <w:tr>
        <w:tc>
          <w:tcPr>
            <w:tcW w:type="dxa" w:w="944"/>
          </w:tcPr>
          <w:p>
            <w:pPr>
              <w:pStyle w:val="Compact"/>
              <w:jc w:val="left"/>
            </w:pPr>
            <w:r>
              <w:rPr>
                <w:b w:val="0"/>
              </w:rPr>
              <w:t>gemma:latest_kb_rag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52.31</w:t>
            </w:r>
          </w:p>
        </w:tc>
        <w:tc>
          <w:tcPr>
            <w:tcW w:type="dxa" w:w="900"/>
          </w:tcPr>
          <w:p>
            <w:pPr>
              <w:pStyle w:val="Compact"/>
              <w:jc w:val="center"/>
            </w:pPr>
            <w:r>
              <w:rPr>
                <w:b w:val="0"/>
              </w:rPr>
              <w:t xml:space="preserve">56.62</w:t>
            </w:r>
          </w:p>
        </w:tc>
        <w:tc>
          <w:tcPr>
            <w:tcW w:type="dxa" w:w="900"/>
          </w:tcPr>
          <w:p>
            <w:pPr>
              <w:pStyle w:val="Compact"/>
              <w:jc w:val="center"/>
            </w:pPr>
            <w:r>
              <w:rPr>
                <w:b w:val="0"/>
              </w:rPr>
              <w:t xml:space="preserve">51.36</w:t>
            </w:r>
          </w:p>
        </w:tc>
        <w:tc>
          <w:tcPr>
            <w:tcW w:type="dxa" w:w="900"/>
          </w:tcPr>
          <w:p>
            <w:pPr>
              <w:pStyle w:val="Compact"/>
              <w:jc w:val="left"/>
            </w:pPr>
            <w:r>
              <w:rPr>
                <w:b w:val="0"/>
              </w:rPr>
              <w:t xml:space="preserve">61.48</w:t>
            </w:r>
          </w:p>
        </w:tc>
        <w:tc>
          <w:tcPr>
            <w:tcW w:type="dxa" w:w="900"/>
          </w:tcPr>
          <w:p>
            <w:pPr>
              <w:pStyle w:val="Compact"/>
              <w:jc w:val="left"/>
            </w:pPr>
            <w:r>
              <w:rPr>
                <w:b w:val="0"/>
              </w:rPr>
              <w:t xml:space="preserve">56.37</w:t>
            </w:r>
          </w:p>
        </w:tc>
        <w:tc>
          <w:tcPr>
            <w:tcW w:type="dxa" w:w="900"/>
          </w:tcPr>
          <w:p>
            <w:pPr>
              <w:pStyle w:val="Compact"/>
              <w:jc w:val="left"/>
            </w:pPr>
            <w:r>
              <w:rPr>
                <w:b w:val="0"/>
              </w:rPr>
              <w:t xml:space="preserve">+5.01</w:t>
            </w:r>
          </w:p>
        </w:tc>
      </w:tr>
      <w:tr>
        <w:tc>
          <w:tcPr>
            <w:tcW w:type="dxa" w:w="944"/>
          </w:tcPr>
          <w:p>
            <w:pPr>
              <w:pStyle w:val="Compact"/>
              <w:jc w:val="left"/>
            </w:pPr>
            <w:r>
              <w:rPr>
                <w:b w:val="0"/>
              </w:rPr>
              <w:t>mistral-nemo:latest_baseline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52.39</w:t>
            </w:r>
          </w:p>
        </w:tc>
        <w:tc>
          <w:tcPr>
            <w:tcW w:type="dxa" w:w="900"/>
          </w:tcPr>
          <w:p>
            <w:pPr>
              <w:pStyle w:val="Compact"/>
              <w:jc w:val="center"/>
            </w:pPr>
            <w:r>
              <w:rPr>
                <w:b w:val="0"/>
              </w:rPr>
              <w:t xml:space="preserve">41.09</w:t>
            </w:r>
          </w:p>
        </w:tc>
        <w:tc>
          <w:tcPr>
            <w:tcW w:type="dxa" w:w="900"/>
          </w:tcPr>
          <w:p>
            <w:pPr>
              <w:pStyle w:val="Compact"/>
              <w:jc w:val="center"/>
            </w:pPr>
            <w:r>
              <w:rPr>
                <w:b w:val="0"/>
              </w:rPr>
              <w:t xml:space="preserve">43.38</w:t>
            </w:r>
          </w:p>
        </w:tc>
        <w:tc>
          <w:tcPr>
            <w:tcW w:type="dxa" w:w="900"/>
          </w:tcPr>
          <w:p>
            <w:pPr>
              <w:pStyle w:val="Compact"/>
              <w:jc w:val="left"/>
            </w:pPr>
            <w:r>
              <w:rPr>
                <w:b w:val="0"/>
              </w:rPr>
              <w:t xml:space="preserve">82.24</w:t>
            </w:r>
          </w:p>
        </w:tc>
        <w:tc>
          <w:tcPr>
            <w:tcW w:type="dxa" w:w="900"/>
          </w:tcPr>
          <w:p>
            <w:pPr>
              <w:pStyle w:val="Compact"/>
              <w:jc w:val="left"/>
            </w:pPr>
            <w:r>
              <w:rPr>
                <w:b w:val="0"/>
              </w:rPr>
              <w:t xml:space="preserve">54.09</w:t>
            </w:r>
          </w:p>
        </w:tc>
        <w:tc>
          <w:tcPr>
            <w:tcW w:type="dxa" w:w="900"/>
          </w:tcPr>
          <w:p>
            <w:pPr>
              <w:pStyle w:val="Compact"/>
              <w:jc w:val="left"/>
            </w:pPr>
            <w:r>
              <w:rPr>
                <w:b w:val="0"/>
              </w:rPr>
              <w:t xml:space="preserve">+10.70</w:t>
            </w:r>
          </w:p>
        </w:tc>
      </w:tr>
      <w:tr>
        <w:tc>
          <w:tcPr>
            <w:tcW w:type="dxa" w:w="944"/>
          </w:tcPr>
          <w:p>
            <w:pPr>
              <w:pStyle w:val="Compact"/>
              <w:jc w:val="left"/>
            </w:pPr>
            <w:r>
              <w:rPr>
                <w:b w:val="0"/>
              </w:rPr>
              <w:t>qwen3:8b_rag_enhanced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43.47</w:t>
            </w:r>
          </w:p>
        </w:tc>
        <w:tc>
          <w:tcPr>
            <w:tcW w:type="dxa" w:w="900"/>
          </w:tcPr>
          <w:p>
            <w:pPr>
              <w:pStyle w:val="Compact"/>
              <w:jc w:val="center"/>
            </w:pPr>
            <w:r>
              <w:rPr>
                <w:b w:val="0"/>
              </w:rPr>
              <w:t xml:space="preserve">45.28</w:t>
            </w:r>
          </w:p>
        </w:tc>
        <w:tc>
          <w:tcPr>
            <w:tcW w:type="dxa" w:w="900"/>
          </w:tcPr>
          <w:p>
            <w:pPr>
              <w:pStyle w:val="Compact"/>
              <w:jc w:val="center"/>
            </w:pPr>
            <w:r>
              <w:rPr>
                <w:b w:val="0"/>
              </w:rPr>
              <w:t xml:space="preserve">43.17</w:t>
            </w:r>
          </w:p>
        </w:tc>
        <w:tc>
          <w:tcPr>
            <w:tcW w:type="dxa" w:w="900"/>
          </w:tcPr>
          <w:p>
            <w:pPr>
              <w:pStyle w:val="Compact"/>
              <w:jc w:val="left"/>
            </w:pPr>
            <w:r>
              <w:rPr>
                <w:b w:val="0"/>
              </w:rPr>
              <w:t xml:space="preserve">71.66</w:t>
            </w:r>
          </w:p>
        </w:tc>
        <w:tc>
          <w:tcPr>
            <w:tcW w:type="dxa" w:w="900"/>
          </w:tcPr>
          <w:p>
            <w:pPr>
              <w:pStyle w:val="Compact"/>
              <w:jc w:val="left"/>
            </w:pPr>
            <w:r>
              <w:rPr>
                <w:b w:val="0"/>
              </w:rPr>
              <w:t xml:space="preserve">56.00</w:t>
            </w:r>
          </w:p>
        </w:tc>
        <w:tc>
          <w:tcPr>
            <w:tcW w:type="dxa" w:w="900"/>
          </w:tcPr>
          <w:p>
            <w:pPr>
              <w:pStyle w:val="Compact"/>
              <w:jc w:val="left"/>
            </w:pPr>
            <w:r>
              <w:rPr>
                <w:b w:val="0"/>
              </w:rPr>
              <w:t xml:space="preserve">+12.83</w:t>
            </w:r>
          </w:p>
        </w:tc>
      </w:tr>
      <w:tr>
        <w:tc>
          <w:tcPr>
            <w:tcW w:type="dxa" w:w="944"/>
          </w:tcPr>
          <w:p>
            <w:pPr>
              <w:pStyle w:val="Compact"/>
              <w:jc w:val="left"/>
            </w:pPr>
            <w:r>
              <w:rPr>
                <w:b w:val="0"/>
              </w:rPr>
              <w:t>mistral-nemo:latest_kb_rag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57.59</w:t>
            </w:r>
          </w:p>
        </w:tc>
        <w:tc>
          <w:tcPr>
            <w:tcW w:type="dxa" w:w="900"/>
          </w:tcPr>
          <w:p>
            <w:pPr>
              <w:pStyle w:val="Compact"/>
              <w:jc w:val="center"/>
            </w:pPr>
            <w:r>
              <w:rPr>
                <w:b w:val="0"/>
              </w:rPr>
              <w:t xml:space="preserve">41.91</w:t>
            </w:r>
          </w:p>
        </w:tc>
        <w:tc>
          <w:tcPr>
            <w:tcW w:type="dxa" w:w="900"/>
          </w:tcPr>
          <w:p>
            <w:pPr>
              <w:pStyle w:val="Compact"/>
              <w:jc w:val="center"/>
            </w:pPr>
            <w:r>
              <w:rPr>
                <w:b w:val="0"/>
              </w:rPr>
              <w:t xml:space="preserve">45.76</w:t>
            </w:r>
          </w:p>
        </w:tc>
        <w:tc>
          <w:tcPr>
            <w:tcW w:type="dxa" w:w="900"/>
          </w:tcPr>
          <w:p>
            <w:pPr>
              <w:pStyle w:val="Compact"/>
              <w:jc w:val="left"/>
            </w:pPr>
            <w:r>
              <w:rPr>
                <w:b w:val="0"/>
              </w:rPr>
              <w:t xml:space="preserve">80.15</w:t>
            </w:r>
          </w:p>
        </w:tc>
        <w:tc>
          <w:tcPr>
            <w:tcW w:type="dxa" w:w="900"/>
          </w:tcPr>
          <w:p>
            <w:pPr>
              <w:pStyle w:val="Compact"/>
              <w:jc w:val="left"/>
            </w:pPr>
            <w:r>
              <w:rPr>
                <w:b w:val="0"/>
              </w:rPr>
              <w:t xml:space="preserve">53.07</w:t>
            </w:r>
          </w:p>
        </w:tc>
        <w:tc>
          <w:tcPr>
            <w:tcW w:type="dxa" w:w="900"/>
          </w:tcPr>
          <w:p>
            <w:pPr>
              <w:pStyle w:val="Compact"/>
              <w:jc w:val="left"/>
            </w:pPr>
            <w:r>
              <w:rPr>
                <w:b w:val="0"/>
              </w:rPr>
              <w:t xml:space="preserve">+7.31</w:t>
            </w:r>
          </w:p>
        </w:tc>
      </w:tr>
      <w:tr>
        <w:tc>
          <w:tcPr>
            <w:tcW w:type="dxa" w:w="944"/>
          </w:tcPr>
          <w:p>
            <w:pPr>
              <w:pStyle w:val="Compact"/>
              <w:jc w:val="left"/>
            </w:pPr>
            <w:r>
              <w:rPr>
                <w:b w:val="0"/>
              </w:rPr>
              <w:t>gemma:latest_baseline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49.00</w:t>
            </w:r>
          </w:p>
        </w:tc>
        <w:tc>
          <w:tcPr>
            <w:tcW w:type="dxa" w:w="900"/>
          </w:tcPr>
          <w:p>
            <w:pPr>
              <w:pStyle w:val="Compact"/>
              <w:jc w:val="center"/>
            </w:pPr>
            <w:r>
              <w:rPr>
                <w:b w:val="0"/>
              </w:rPr>
              <w:t xml:space="preserve">44.97</w:t>
            </w:r>
          </w:p>
        </w:tc>
        <w:tc>
          <w:tcPr>
            <w:tcW w:type="dxa" w:w="900"/>
          </w:tcPr>
          <w:p>
            <w:pPr>
              <w:pStyle w:val="Compact"/>
              <w:jc w:val="center"/>
            </w:pPr>
            <w:r>
              <w:rPr>
                <w:b w:val="0"/>
              </w:rPr>
              <w:t xml:space="preserve">44.00</w:t>
            </w:r>
          </w:p>
        </w:tc>
        <w:tc>
          <w:tcPr>
            <w:tcW w:type="dxa" w:w="900"/>
          </w:tcPr>
          <w:p>
            <w:pPr>
              <w:pStyle w:val="Compact"/>
              <w:jc w:val="left"/>
            </w:pPr>
            <w:r>
              <w:rPr>
                <w:b w:val="0"/>
              </w:rPr>
              <w:t xml:space="preserve">65.23</w:t>
            </w:r>
          </w:p>
        </w:tc>
        <w:tc>
          <w:tcPr>
            <w:tcW w:type="dxa" w:w="900"/>
          </w:tcPr>
          <w:p>
            <w:pPr>
              <w:pStyle w:val="Compact"/>
              <w:jc w:val="left"/>
            </w:pPr>
            <w:r>
              <w:rPr>
                <w:b w:val="0"/>
              </w:rPr>
              <w:t xml:space="preserve">51.85</w:t>
            </w:r>
          </w:p>
        </w:tc>
        <w:tc>
          <w:tcPr>
            <w:tcW w:type="dxa" w:w="900"/>
          </w:tcPr>
          <w:p>
            <w:pPr>
              <w:pStyle w:val="Compact"/>
              <w:jc w:val="left"/>
            </w:pPr>
            <w:r>
              <w:rPr>
                <w:b w:val="0"/>
              </w:rPr>
              <w:t xml:space="preserve">+7.85</w:t>
            </w:r>
          </w:p>
        </w:tc>
      </w:tr>
      <w:tr>
        <w:tc>
          <w:tcPr>
            <w:tcW w:type="dxa" w:w="944"/>
          </w:tcPr>
          <w:p>
            <w:pPr>
              <w:pStyle w:val="Compact"/>
              <w:jc w:val="left"/>
            </w:pPr>
            <w:r>
              <w:rPr>
                <w:b w:val="0"/>
              </w:rPr>
              <w:t>llama3.2:latest_baseline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llama3.2:latest</w:t>
            </w:r>
          </w:p>
        </w:tc>
        <w:tc>
          <w:tcPr>
            <w:tcW w:type="dxa" w:w="2494"/>
          </w:tcPr>
          <w:p>
            <w:pPr>
              <w:pStyle w:val="Compact"/>
              <w:jc w:val="left"/>
            </w:pPr>
            <w:r>
              <w:rPr>
                <w:b w:val="0"/>
              </w:rPr>
              <w:t>benchmark_balanced_120_20260824_173017</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gemma:latest_rag_enhanced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46.09</w:t>
            </w:r>
          </w:p>
        </w:tc>
        <w:tc>
          <w:tcPr>
            <w:tcW w:type="dxa" w:w="900"/>
          </w:tcPr>
          <w:p>
            <w:pPr>
              <w:pStyle w:val="Compact"/>
              <w:jc w:val="center"/>
            </w:pPr>
            <w:r>
              <w:rPr>
                <w:b w:val="0"/>
              </w:rPr>
              <w:t xml:space="preserve">39.74</w:t>
            </w:r>
          </w:p>
        </w:tc>
        <w:tc>
          <w:tcPr>
            <w:tcW w:type="dxa" w:w="900"/>
          </w:tcPr>
          <w:p>
            <w:pPr>
              <w:pStyle w:val="Compact"/>
              <w:jc w:val="center"/>
            </w:pPr>
            <w:r>
              <w:rPr>
                <w:b w:val="0"/>
              </w:rPr>
              <w:t xml:space="preserve">40.09</w:t>
            </w:r>
          </w:p>
        </w:tc>
        <w:tc>
          <w:tcPr>
            <w:tcW w:type="dxa" w:w="900"/>
          </w:tcPr>
          <w:p>
            <w:pPr>
              <w:pStyle w:val="Compact"/>
              <w:jc w:val="left"/>
            </w:pPr>
            <w:r>
              <w:rPr>
                <w:b w:val="0"/>
              </w:rPr>
              <w:t xml:space="preserve">63.27</w:t>
            </w:r>
          </w:p>
        </w:tc>
        <w:tc>
          <w:tcPr>
            <w:tcW w:type="dxa" w:w="900"/>
          </w:tcPr>
          <w:p>
            <w:pPr>
              <w:pStyle w:val="Compact"/>
              <w:jc w:val="left"/>
            </w:pPr>
            <w:r>
              <w:rPr>
                <w:b w:val="0"/>
              </w:rPr>
              <w:t xml:space="preserve">47.57</w:t>
            </w:r>
          </w:p>
        </w:tc>
        <w:tc>
          <w:tcPr>
            <w:tcW w:type="dxa" w:w="900"/>
          </w:tcPr>
          <w:p>
            <w:pPr>
              <w:pStyle w:val="Compact"/>
              <w:jc w:val="left"/>
            </w:pPr>
            <w:r>
              <w:rPr>
                <w:b w:val="0"/>
              </w:rPr>
              <w:t xml:space="preserve">+7.48</w:t>
            </w:r>
          </w:p>
        </w:tc>
      </w:tr>
      <w:tr>
        <w:tc>
          <w:tcPr>
            <w:tcW w:type="dxa" w:w="944"/>
          </w:tcPr>
          <w:p>
            <w:pPr>
              <w:pStyle w:val="Compact"/>
              <w:jc w:val="left"/>
            </w:pPr>
            <w:r>
              <w:rPr>
                <w:b w:val="0"/>
              </w:rPr>
              <w:t>nemotron-mini:4b_kb_rag</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44.80</w:t>
            </w:r>
          </w:p>
        </w:tc>
        <w:tc>
          <w:tcPr>
            <w:tcW w:type="dxa" w:w="900"/>
          </w:tcPr>
          <w:p>
            <w:pPr>
              <w:pStyle w:val="Compact"/>
              <w:jc w:val="center"/>
            </w:pPr>
            <w:r>
              <w:rPr>
                <w:b w:val="0"/>
              </w:rPr>
              <w:t xml:space="preserve">36.62</w:t>
            </w:r>
          </w:p>
        </w:tc>
        <w:tc>
          <w:tcPr>
            <w:tcW w:type="dxa" w:w="900"/>
          </w:tcPr>
          <w:p>
            <w:pPr>
              <w:pStyle w:val="Compact"/>
              <w:jc w:val="center"/>
            </w:pPr>
            <w:r>
              <w:rPr>
                <w:b w:val="0"/>
              </w:rPr>
              <w:t xml:space="preserve">37.12</w:t>
            </w:r>
          </w:p>
        </w:tc>
        <w:tc>
          <w:tcPr>
            <w:tcW w:type="dxa" w:w="900"/>
          </w:tcPr>
          <w:p>
            <w:pPr>
              <w:pStyle w:val="Compact"/>
              <w:jc w:val="left"/>
            </w:pPr>
            <w:r>
              <w:rPr>
                <w:b w:val="0"/>
              </w:rPr>
              <w:t xml:space="preserve">55.19</w:t>
            </w:r>
          </w:p>
        </w:tc>
        <w:tc>
          <w:tcPr>
            <w:tcW w:type="dxa" w:w="900"/>
          </w:tcPr>
          <w:p>
            <w:pPr>
              <w:pStyle w:val="Compact"/>
              <w:jc w:val="left"/>
            </w:pPr>
            <w:r>
              <w:rPr>
                <w:b w:val="0"/>
              </w:rPr>
              <w:t xml:space="preserve">40.77</w:t>
            </w:r>
          </w:p>
        </w:tc>
        <w:tc>
          <w:tcPr>
            <w:tcW w:type="dxa" w:w="900"/>
          </w:tcPr>
          <w:p>
            <w:pPr>
              <w:pStyle w:val="Compact"/>
              <w:jc w:val="left"/>
            </w:pPr>
            <w:r>
              <w:rPr>
                <w:b w:val="0"/>
              </w:rPr>
              <w:t xml:space="preserve">+3.65</w:t>
            </w:r>
          </w:p>
        </w:tc>
      </w:tr>
      <w:tr>
        <w:tc>
          <w:tcPr>
            <w:tcW w:type="dxa" w:w="944"/>
          </w:tcPr>
          <w:p>
            <w:pPr>
              <w:pStyle w:val="Compact"/>
              <w:jc w:val="left"/>
            </w:pPr>
            <w:r>
              <w:rPr>
                <w:b w:val="0"/>
              </w:rPr>
              <w:t>llama3.2:latest_rag_enhanced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38.78</w:t>
            </w:r>
          </w:p>
        </w:tc>
        <w:tc>
          <w:tcPr>
            <w:tcW w:type="dxa" w:w="900"/>
          </w:tcPr>
          <w:p>
            <w:pPr>
              <w:pStyle w:val="Compact"/>
              <w:jc w:val="center"/>
            </w:pPr>
            <w:r>
              <w:rPr>
                <w:b w:val="0"/>
              </w:rPr>
              <w:t xml:space="preserve">30.41</w:t>
            </w:r>
          </w:p>
        </w:tc>
        <w:tc>
          <w:tcPr>
            <w:tcW w:type="dxa" w:w="900"/>
          </w:tcPr>
          <w:p>
            <w:pPr>
              <w:pStyle w:val="Compact"/>
              <w:jc w:val="center"/>
            </w:pPr>
            <w:r>
              <w:rPr>
                <w:b w:val="0"/>
              </w:rPr>
              <w:t xml:space="preserve">31.13</w:t>
            </w:r>
          </w:p>
        </w:tc>
        <w:tc>
          <w:tcPr>
            <w:tcW w:type="dxa" w:w="900"/>
          </w:tcPr>
          <w:p>
            <w:pPr>
              <w:pStyle w:val="Compact"/>
              <w:jc w:val="left"/>
            </w:pPr>
            <w:r>
              <w:rPr>
                <w:b w:val="0"/>
              </w:rPr>
              <w:t xml:space="preserve">70.58</w:t>
            </w:r>
          </w:p>
        </w:tc>
        <w:tc>
          <w:tcPr>
            <w:tcW w:type="dxa" w:w="900"/>
          </w:tcPr>
          <w:p>
            <w:pPr>
              <w:pStyle w:val="Compact"/>
              <w:jc w:val="left"/>
            </w:pPr>
            <w:r>
              <w:rPr>
                <w:b w:val="0"/>
              </w:rPr>
              <w:t xml:space="preserve">38.90</w:t>
            </w:r>
          </w:p>
        </w:tc>
        <w:tc>
          <w:tcPr>
            <w:tcW w:type="dxa" w:w="900"/>
          </w:tcPr>
          <w:p>
            <w:pPr>
              <w:pStyle w:val="Compact"/>
              <w:jc w:val="left"/>
            </w:pPr>
            <w:r>
              <w:rPr>
                <w:b w:val="0"/>
              </w:rPr>
              <w:t xml:space="preserve">+7.77</w:t>
            </w:r>
          </w:p>
        </w:tc>
      </w:tr>
      <w:tr>
        <w:tc>
          <w:tcPr>
            <w:tcW w:type="dxa" w:w="944"/>
          </w:tcPr>
          <w:p>
            <w:pPr>
              <w:pStyle w:val="Compact"/>
              <w:jc w:val="left"/>
            </w:pPr>
            <w:r>
              <w:rPr>
                <w:b w:val="0"/>
              </w:rPr>
              <w:t>gemma4:12b-mlx_baseline</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51.91</w:t>
            </w:r>
          </w:p>
        </w:tc>
        <w:tc>
          <w:tcPr>
            <w:tcW w:type="dxa" w:w="900"/>
          </w:tcPr>
          <w:p>
            <w:pPr>
              <w:pStyle w:val="Compact"/>
              <w:jc w:val="center"/>
            </w:pPr>
            <w:r>
              <w:rPr>
                <w:b w:val="0"/>
              </w:rPr>
              <w:t xml:space="preserve">66.05</w:t>
            </w:r>
          </w:p>
        </w:tc>
        <w:tc>
          <w:tcPr>
            <w:tcW w:type="dxa" w:w="900"/>
          </w:tcPr>
          <w:p>
            <w:pPr>
              <w:pStyle w:val="Compact"/>
              <w:jc w:val="center"/>
            </w:pPr>
            <w:r>
              <w:rPr>
                <w:b w:val="0"/>
              </w:rPr>
              <w:t xml:space="preserve">56.18</w:t>
            </w:r>
          </w:p>
        </w:tc>
        <w:tc>
          <w:tcPr>
            <w:tcW w:type="dxa" w:w="900"/>
          </w:tcPr>
          <w:p>
            <w:pPr>
              <w:pStyle w:val="Compact"/>
              <w:jc w:val="left"/>
            </w:pPr>
            <w:r>
              <w:rPr>
                <w:b w:val="0"/>
              </w:rPr>
              <w:t xml:space="preserve">83.26</w:t>
            </w:r>
          </w:p>
        </w:tc>
        <w:tc>
          <w:tcPr>
            <w:tcW w:type="dxa" w:w="900"/>
          </w:tcPr>
          <w:p>
            <w:pPr>
              <w:pStyle w:val="Compact"/>
              <w:jc w:val="left"/>
            </w:pPr>
            <w:r>
              <w:rPr>
                <w:b w:val="0"/>
              </w:rPr>
              <w:t xml:space="preserve">73.81</w:t>
            </w:r>
          </w:p>
        </w:tc>
        <w:tc>
          <w:tcPr>
            <w:tcW w:type="dxa" w:w="900"/>
          </w:tcPr>
          <w:p>
            <w:pPr>
              <w:pStyle w:val="Compact"/>
              <w:jc w:val="left"/>
            </w:pPr>
            <w:r>
              <w:rPr>
                <w:b w:val="0"/>
              </w:rPr>
              <w:t xml:space="preserve">+17.63</w:t>
            </w:r>
          </w:p>
        </w:tc>
      </w:tr>
      <w:tr>
        <w:tc>
          <w:tcPr>
            <w:tcW w:type="dxa" w:w="944"/>
          </w:tcPr>
          <w:p>
            <w:pPr>
              <w:pStyle w:val="Compact"/>
              <w:jc w:val="left"/>
            </w:pPr>
            <w:r>
              <w:rPr>
                <w:b w:val="0"/>
              </w:rPr>
              <w:t>mistral-nemo:latest_rag_enhanced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42.99</w:t>
            </w:r>
          </w:p>
        </w:tc>
        <w:tc>
          <w:tcPr>
            <w:tcW w:type="dxa" w:w="900"/>
          </w:tcPr>
          <w:p>
            <w:pPr>
              <w:pStyle w:val="Compact"/>
              <w:jc w:val="center"/>
            </w:pPr>
            <w:r>
              <w:rPr>
                <w:b w:val="0"/>
              </w:rPr>
              <w:t xml:space="preserve">24.38</w:t>
            </w:r>
          </w:p>
        </w:tc>
        <w:tc>
          <w:tcPr>
            <w:tcW w:type="dxa" w:w="900"/>
          </w:tcPr>
          <w:p>
            <w:pPr>
              <w:pStyle w:val="Compact"/>
              <w:jc w:val="center"/>
            </w:pPr>
            <w:r>
              <w:rPr>
                <w:b w:val="0"/>
              </w:rPr>
              <w:t xml:space="preserve">28.52</w:t>
            </w:r>
          </w:p>
        </w:tc>
        <w:tc>
          <w:tcPr>
            <w:tcW w:type="dxa" w:w="900"/>
          </w:tcPr>
          <w:p>
            <w:pPr>
              <w:pStyle w:val="Compact"/>
              <w:jc w:val="left"/>
            </w:pPr>
            <w:r>
              <w:rPr>
                <w:b w:val="0"/>
              </w:rPr>
              <w:t xml:space="preserve">79.85</w:t>
            </w:r>
          </w:p>
        </w:tc>
        <w:tc>
          <w:tcPr>
            <w:tcW w:type="dxa" w:w="900"/>
          </w:tcPr>
          <w:p>
            <w:pPr>
              <w:pStyle w:val="Compact"/>
              <w:jc w:val="left"/>
            </w:pPr>
            <w:r>
              <w:rPr>
                <w:b w:val="0"/>
              </w:rPr>
              <w:t xml:space="preserve">36.18</w:t>
            </w:r>
          </w:p>
        </w:tc>
        <w:tc>
          <w:tcPr>
            <w:tcW w:type="dxa" w:w="900"/>
          </w:tcPr>
          <w:p>
            <w:pPr>
              <w:pStyle w:val="Compact"/>
              <w:jc w:val="left"/>
            </w:pPr>
            <w:r>
              <w:rPr>
                <w:b w:val="0"/>
              </w:rPr>
              <w:t xml:space="preserve">+7.66</w:t>
            </w:r>
          </w:p>
        </w:tc>
      </w:tr>
      <w:tr>
        <w:tc>
          <w:tcPr>
            <w:tcW w:type="dxa" w:w="944"/>
          </w:tcPr>
          <w:p>
            <w:pPr>
              <w:pStyle w:val="Compact"/>
              <w:jc w:val="left"/>
            </w:pPr>
            <w:r>
              <w:rPr>
                <w:b w:val="0"/>
              </w:rPr>
              <w:t>gemma4:31b-cloud_rag_enhanced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16.96</w:t>
            </w:r>
          </w:p>
        </w:tc>
        <w:tc>
          <w:tcPr>
            <w:tcW w:type="dxa" w:w="900"/>
          </w:tcPr>
          <w:p>
            <w:pPr>
              <w:pStyle w:val="Compact"/>
              <w:jc w:val="center"/>
            </w:pPr>
            <w:r>
              <w:rPr>
                <w:b w:val="0"/>
              </w:rPr>
              <w:t xml:space="preserve">21.11</w:t>
            </w:r>
          </w:p>
        </w:tc>
        <w:tc>
          <w:tcPr>
            <w:tcW w:type="dxa" w:w="900"/>
          </w:tcPr>
          <w:p>
            <w:pPr>
              <w:pStyle w:val="Compact"/>
              <w:jc w:val="center"/>
            </w:pPr>
            <w:r>
              <w:rPr>
                <w:b w:val="0"/>
              </w:rPr>
              <w:t xml:space="preserve">18.52</w:t>
            </w:r>
          </w:p>
        </w:tc>
        <w:tc>
          <w:tcPr>
            <w:tcW w:type="dxa" w:w="900"/>
          </w:tcPr>
          <w:p>
            <w:pPr>
              <w:pStyle w:val="Compact"/>
              <w:jc w:val="left"/>
            </w:pPr>
            <w:r>
              <w:rPr>
                <w:b w:val="0"/>
              </w:rPr>
              <w:t xml:space="preserve">24.56</w:t>
            </w:r>
          </w:p>
        </w:tc>
        <w:tc>
          <w:tcPr>
            <w:tcW w:type="dxa" w:w="900"/>
          </w:tcPr>
          <w:p>
            <w:pPr>
              <w:pStyle w:val="Compact"/>
              <w:jc w:val="left"/>
            </w:pPr>
            <w:r>
              <w:rPr>
                <w:b w:val="0"/>
              </w:rPr>
              <w:t xml:space="preserve">23.04</w:t>
            </w:r>
          </w:p>
        </w:tc>
        <w:tc>
          <w:tcPr>
            <w:tcW w:type="dxa" w:w="900"/>
          </w:tcPr>
          <w:p>
            <w:pPr>
              <w:pStyle w:val="Compact"/>
              <w:jc w:val="left"/>
            </w:pPr>
            <w:r>
              <w:rPr>
                <w:b w:val="0"/>
              </w:rPr>
              <w:t xml:space="preserve">+4.51</w:t>
            </w:r>
          </w:p>
        </w:tc>
      </w:tr>
      <w:tr>
        <w:tc>
          <w:tcPr>
            <w:tcW w:type="dxa" w:w="944"/>
          </w:tcPr>
          <w:p>
            <w:pPr>
              <w:pStyle w:val="Compact"/>
              <w:jc w:val="left"/>
            </w:pPr>
            <w:r>
              <w:rPr>
                <w:b w:val="0"/>
              </w:rPr>
              <w:t>deepseek-r1:1.5b_baseline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29.96</w:t>
            </w:r>
          </w:p>
        </w:tc>
        <w:tc>
          <w:tcPr>
            <w:tcW w:type="dxa" w:w="900"/>
          </w:tcPr>
          <w:p>
            <w:pPr>
              <w:pStyle w:val="Compact"/>
              <w:jc w:val="center"/>
            </w:pPr>
            <w:r>
              <w:rPr>
                <w:b w:val="0"/>
              </w:rPr>
              <w:t xml:space="preserve">24.72</w:t>
            </w:r>
          </w:p>
        </w:tc>
        <w:tc>
          <w:tcPr>
            <w:tcW w:type="dxa" w:w="900"/>
          </w:tcPr>
          <w:p>
            <w:pPr>
              <w:pStyle w:val="Compact"/>
              <w:jc w:val="center"/>
            </w:pPr>
            <w:r>
              <w:rPr>
                <w:b w:val="0"/>
              </w:rPr>
              <w:t xml:space="preserve">24.83</w:t>
            </w:r>
          </w:p>
        </w:tc>
        <w:tc>
          <w:tcPr>
            <w:tcW w:type="dxa" w:w="900"/>
          </w:tcPr>
          <w:p>
            <w:pPr>
              <w:pStyle w:val="Compact"/>
              <w:jc w:val="left"/>
            </w:pPr>
            <w:r>
              <w:rPr>
                <w:b w:val="0"/>
              </w:rPr>
              <w:t xml:space="preserve">43.27</w:t>
            </w:r>
          </w:p>
        </w:tc>
        <w:tc>
          <w:tcPr>
            <w:tcW w:type="dxa" w:w="900"/>
          </w:tcPr>
          <w:p>
            <w:pPr>
              <w:pStyle w:val="Compact"/>
              <w:jc w:val="left"/>
            </w:pPr>
            <w:r>
              <w:rPr>
                <w:b w:val="0"/>
              </w:rPr>
              <w:t xml:space="preserve">29.34</w:t>
            </w:r>
          </w:p>
        </w:tc>
        <w:tc>
          <w:tcPr>
            <w:tcW w:type="dxa" w:w="900"/>
          </w:tcPr>
          <w:p>
            <w:pPr>
              <w:pStyle w:val="Compact"/>
              <w:jc w:val="left"/>
            </w:pPr>
            <w:r>
              <w:rPr>
                <w:b w:val="0"/>
              </w:rPr>
              <w:t xml:space="preserve">+4.50</w:t>
            </w:r>
          </w:p>
        </w:tc>
      </w:tr>
      <w:tr>
        <w:tc>
          <w:tcPr>
            <w:tcW w:type="dxa" w:w="944"/>
          </w:tcPr>
          <w:p>
            <w:pPr>
              <w:pStyle w:val="Compact"/>
              <w:jc w:val="left"/>
            </w:pPr>
            <w:r>
              <w:rPr>
                <w:b w:val="0"/>
              </w:rPr>
              <w:t>deepseek-r1:1.5b_kb_rag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28.35</w:t>
            </w:r>
          </w:p>
        </w:tc>
        <w:tc>
          <w:tcPr>
            <w:tcW w:type="dxa" w:w="900"/>
          </w:tcPr>
          <w:p>
            <w:pPr>
              <w:pStyle w:val="Compact"/>
              <w:jc w:val="center"/>
            </w:pPr>
            <w:r>
              <w:rPr>
                <w:b w:val="0"/>
              </w:rPr>
              <w:t xml:space="preserve">24.71</w:t>
            </w:r>
          </w:p>
        </w:tc>
        <w:tc>
          <w:tcPr>
            <w:tcW w:type="dxa" w:w="900"/>
          </w:tcPr>
          <w:p>
            <w:pPr>
              <w:pStyle w:val="Compact"/>
              <w:jc w:val="center"/>
            </w:pPr>
            <w:r>
              <w:rPr>
                <w:b w:val="0"/>
              </w:rPr>
              <w:t xml:space="preserve">23.94</w:t>
            </w:r>
          </w:p>
        </w:tc>
        <w:tc>
          <w:tcPr>
            <w:tcW w:type="dxa" w:w="900"/>
          </w:tcPr>
          <w:p>
            <w:pPr>
              <w:pStyle w:val="Compact"/>
              <w:jc w:val="left"/>
            </w:pPr>
            <w:r>
              <w:rPr>
                <w:b w:val="0"/>
              </w:rPr>
              <w:t xml:space="preserve">36.13</w:t>
            </w:r>
          </w:p>
        </w:tc>
        <w:tc>
          <w:tcPr>
            <w:tcW w:type="dxa" w:w="900"/>
          </w:tcPr>
          <w:p>
            <w:pPr>
              <w:pStyle w:val="Compact"/>
              <w:jc w:val="left"/>
            </w:pPr>
            <w:r>
              <w:rPr>
                <w:b w:val="0"/>
              </w:rPr>
              <w:t xml:space="preserve">26.91</w:t>
            </w:r>
          </w:p>
        </w:tc>
        <w:tc>
          <w:tcPr>
            <w:tcW w:type="dxa" w:w="900"/>
          </w:tcPr>
          <w:p>
            <w:pPr>
              <w:pStyle w:val="Compact"/>
              <w:jc w:val="left"/>
            </w:pPr>
            <w:r>
              <w:rPr>
                <w:b w:val="0"/>
              </w:rPr>
              <w:t xml:space="preserve">+2.97</w:t>
            </w:r>
          </w:p>
        </w:tc>
      </w:tr>
      <w:tr>
        <w:tc>
          <w:tcPr>
            <w:tcW w:type="dxa" w:w="944"/>
          </w:tcPr>
          <w:p>
            <w:pPr>
              <w:pStyle w:val="Compact"/>
              <w:jc w:val="left"/>
            </w:pPr>
            <w:r>
              <w:rPr>
                <w:b w:val="0"/>
              </w:rPr>
              <w:t>nemotron-mini:4b_baseline</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34.50</w:t>
            </w:r>
          </w:p>
        </w:tc>
        <w:tc>
          <w:tcPr>
            <w:tcW w:type="dxa" w:w="900"/>
          </w:tcPr>
          <w:p>
            <w:pPr>
              <w:pStyle w:val="Compact"/>
              <w:jc w:val="center"/>
            </w:pPr>
            <w:r>
              <w:rPr>
                <w:b w:val="0"/>
              </w:rPr>
              <w:t xml:space="preserve">21.20</w:t>
            </w:r>
          </w:p>
        </w:tc>
        <w:tc>
          <w:tcPr>
            <w:tcW w:type="dxa" w:w="900"/>
          </w:tcPr>
          <w:p>
            <w:pPr>
              <w:pStyle w:val="Compact"/>
              <w:jc w:val="center"/>
            </w:pPr>
            <w:r>
              <w:rPr>
                <w:b w:val="0"/>
              </w:rPr>
              <w:t xml:space="preserve">22.59</w:t>
            </w:r>
          </w:p>
        </w:tc>
        <w:tc>
          <w:tcPr>
            <w:tcW w:type="dxa" w:w="900"/>
          </w:tcPr>
          <w:p>
            <w:pPr>
              <w:pStyle w:val="Compact"/>
              <w:jc w:val="left"/>
            </w:pPr>
            <w:r>
              <w:rPr>
                <w:b w:val="0"/>
              </w:rPr>
              <w:t xml:space="preserve">46.59</w:t>
            </w:r>
          </w:p>
        </w:tc>
        <w:tc>
          <w:tcPr>
            <w:tcW w:type="dxa" w:w="900"/>
          </w:tcPr>
          <w:p>
            <w:pPr>
              <w:pStyle w:val="Compact"/>
              <w:jc w:val="left"/>
            </w:pPr>
            <w:r>
              <w:rPr>
                <w:b w:val="0"/>
              </w:rPr>
              <w:t xml:space="preserve">25.28</w:t>
            </w:r>
          </w:p>
        </w:tc>
        <w:tc>
          <w:tcPr>
            <w:tcW w:type="dxa" w:w="900"/>
          </w:tcPr>
          <w:p>
            <w:pPr>
              <w:pStyle w:val="Compact"/>
              <w:jc w:val="left"/>
            </w:pPr>
            <w:r>
              <w:rPr>
                <w:b w:val="0"/>
              </w:rPr>
              <w:t xml:space="preserve">+2.68</w:t>
            </w:r>
          </w:p>
        </w:tc>
      </w:tr>
      <w:tr>
        <w:tc>
          <w:tcPr>
            <w:tcW w:type="dxa" w:w="944"/>
          </w:tcPr>
          <w:p>
            <w:pPr>
              <w:pStyle w:val="Compact"/>
              <w:jc w:val="left"/>
            </w:pPr>
            <w:r>
              <w:rPr>
                <w:b w:val="0"/>
              </w:rPr>
              <w:t>nemotron-mini:4b_rag_enhanced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35.16</w:t>
            </w:r>
          </w:p>
        </w:tc>
        <w:tc>
          <w:tcPr>
            <w:tcW w:type="dxa" w:w="900"/>
          </w:tcPr>
          <w:p>
            <w:pPr>
              <w:pStyle w:val="Compact"/>
              <w:jc w:val="center"/>
            </w:pPr>
            <w:r>
              <w:rPr>
                <w:b w:val="0"/>
              </w:rPr>
              <w:t xml:space="preserve">16.39</w:t>
            </w:r>
          </w:p>
        </w:tc>
        <w:tc>
          <w:tcPr>
            <w:tcW w:type="dxa" w:w="900"/>
          </w:tcPr>
          <w:p>
            <w:pPr>
              <w:pStyle w:val="Compact"/>
              <w:jc w:val="center"/>
            </w:pPr>
            <w:r>
              <w:rPr>
                <w:b w:val="0"/>
              </w:rPr>
              <w:t xml:space="preserve">19.54</w:t>
            </w:r>
          </w:p>
        </w:tc>
        <w:tc>
          <w:tcPr>
            <w:tcW w:type="dxa" w:w="900"/>
          </w:tcPr>
          <w:p>
            <w:pPr>
              <w:pStyle w:val="Compact"/>
              <w:jc w:val="left"/>
            </w:pPr>
            <w:r>
              <w:rPr>
                <w:b w:val="0"/>
              </w:rPr>
              <w:t xml:space="preserve">40.45</w:t>
            </w:r>
          </w:p>
        </w:tc>
        <w:tc>
          <w:tcPr>
            <w:tcW w:type="dxa" w:w="900"/>
          </w:tcPr>
          <w:p>
            <w:pPr>
              <w:pStyle w:val="Compact"/>
              <w:jc w:val="left"/>
            </w:pPr>
            <w:r>
              <w:rPr>
                <w:b w:val="0"/>
              </w:rPr>
              <w:t xml:space="preserve">21.26</w:t>
            </w:r>
          </w:p>
        </w:tc>
        <w:tc>
          <w:tcPr>
            <w:tcW w:type="dxa" w:w="900"/>
          </w:tcPr>
          <w:p>
            <w:pPr>
              <w:pStyle w:val="Compact"/>
              <w:jc w:val="left"/>
            </w:pPr>
            <w:r>
              <w:rPr>
                <w:b w:val="0"/>
              </w:rPr>
              <w:t xml:space="preserve">+1.72</w:t>
            </w:r>
          </w:p>
        </w:tc>
      </w:tr>
      <w:tr>
        <w:tc>
          <w:tcPr>
            <w:tcW w:type="dxa" w:w="944"/>
          </w:tcPr>
          <w:p>
            <w:pPr>
              <w:pStyle w:val="Compact"/>
              <w:jc w:val="left"/>
            </w:pPr>
            <w:r>
              <w:rPr>
                <w:b w:val="0"/>
              </w:rPr>
              <w:t>deepseek-r1:1.5b_rag_enhanced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22.28</w:t>
            </w:r>
          </w:p>
        </w:tc>
        <w:tc>
          <w:tcPr>
            <w:tcW w:type="dxa" w:w="900"/>
          </w:tcPr>
          <w:p>
            <w:pPr>
              <w:pStyle w:val="Compact"/>
              <w:jc w:val="center"/>
            </w:pPr>
            <w:r>
              <w:rPr>
                <w:b w:val="0"/>
              </w:rPr>
              <w:t xml:space="preserve">17.41</w:t>
            </w:r>
          </w:p>
        </w:tc>
        <w:tc>
          <w:tcPr>
            <w:tcW w:type="dxa" w:w="900"/>
          </w:tcPr>
          <w:p>
            <w:pPr>
              <w:pStyle w:val="Compact"/>
              <w:jc w:val="center"/>
            </w:pPr>
            <w:r>
              <w:rPr>
                <w:b w:val="0"/>
              </w:rPr>
              <w:t xml:space="preserve">16.82</w:t>
            </w:r>
          </w:p>
        </w:tc>
        <w:tc>
          <w:tcPr>
            <w:tcW w:type="dxa" w:w="900"/>
          </w:tcPr>
          <w:p>
            <w:pPr>
              <w:pStyle w:val="Compact"/>
              <w:jc w:val="left"/>
            </w:pPr>
            <w:r>
              <w:rPr>
                <w:b w:val="0"/>
              </w:rPr>
              <w:t xml:space="preserve">30.80</w:t>
            </w:r>
          </w:p>
        </w:tc>
        <w:tc>
          <w:tcPr>
            <w:tcW w:type="dxa" w:w="900"/>
          </w:tcPr>
          <w:p>
            <w:pPr>
              <w:pStyle w:val="Compact"/>
              <w:jc w:val="left"/>
            </w:pPr>
            <w:r>
              <w:rPr>
                <w:b w:val="0"/>
              </w:rPr>
              <w:t xml:space="preserve">20.11</w:t>
            </w:r>
          </w:p>
        </w:tc>
        <w:tc>
          <w:tcPr>
            <w:tcW w:type="dxa" w:w="900"/>
          </w:tcPr>
          <w:p>
            <w:pPr>
              <w:pStyle w:val="Compact"/>
              <w:jc w:val="left"/>
            </w:pPr>
            <w:r>
              <w:rPr>
                <w:b w:val="0"/>
              </w:rPr>
              <w:t xml:space="preserve">+3.29</w:t>
            </w:r>
          </w:p>
        </w:tc>
      </w:tr>
      <w:tr>
        <w:tc>
          <w:tcPr>
            <w:tcW w:type="dxa" w:w="944"/>
          </w:tcPr>
          <w:p>
            <w:pPr>
              <w:pStyle w:val="Compact"/>
              <w:jc w:val="left"/>
            </w:pPr>
            <w:r>
              <w:rPr>
                <w:b w:val="0"/>
              </w:rPr>
              <w:t>gemma4:12b-mlx_kb_rag</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53.29</w:t>
            </w:r>
          </w:p>
        </w:tc>
        <w:tc>
          <w:tcPr>
            <w:tcW w:type="dxa" w:w="900"/>
          </w:tcPr>
          <w:p>
            <w:pPr>
              <w:pStyle w:val="Compact"/>
              <w:jc w:val="center"/>
            </w:pPr>
            <w:r>
              <w:rPr>
                <w:b w:val="0"/>
              </w:rPr>
              <w:t xml:space="preserve">68.33</w:t>
            </w:r>
          </w:p>
        </w:tc>
        <w:tc>
          <w:tcPr>
            <w:tcW w:type="dxa" w:w="900"/>
          </w:tcPr>
          <w:p>
            <w:pPr>
              <w:pStyle w:val="Compact"/>
              <w:jc w:val="center"/>
            </w:pPr>
            <w:r>
              <w:rPr>
                <w:b w:val="0"/>
              </w:rPr>
              <w:t xml:space="preserve">58.46</w:t>
            </w:r>
          </w:p>
        </w:tc>
        <w:tc>
          <w:tcPr>
            <w:tcW w:type="dxa" w:w="900"/>
          </w:tcPr>
          <w:p>
            <w:pPr>
              <w:pStyle w:val="Compact"/>
              <w:jc w:val="left"/>
            </w:pPr>
            <w:r>
              <w:rPr>
                <w:b w:val="0"/>
              </w:rPr>
              <w:t xml:space="preserve">80.50</w:t>
            </w:r>
          </w:p>
        </w:tc>
        <w:tc>
          <w:tcPr>
            <w:tcW w:type="dxa" w:w="900"/>
          </w:tcPr>
          <w:p>
            <w:pPr>
              <w:pStyle w:val="Compact"/>
              <w:jc w:val="left"/>
            </w:pPr>
            <w:r>
              <w:rPr>
                <w:b w:val="0"/>
              </w:rPr>
              <w:t xml:space="preserve">74.30</w:t>
            </w:r>
          </w:p>
        </w:tc>
        <w:tc>
          <w:tcPr>
            <w:tcW w:type="dxa" w:w="900"/>
          </w:tcPr>
          <w:p>
            <w:pPr>
              <w:pStyle w:val="Compact"/>
              <w:jc w:val="left"/>
            </w:pPr>
            <w:r>
              <w:rPr>
                <w:b w:val="0"/>
              </w:rPr>
              <w:t xml:space="preserve">+15.84</w:t>
            </w:r>
          </w:p>
        </w:tc>
      </w:tr>
    </w:tbl>
    <w:p>
      <w:pPr>
        <w:numPr>
          <w:ilvl w:val="0"/>
          <w:numId w:val="0"/>
        </w:numPr>
        <w:pStyle w:val="Normal"/>
      </w:pPr>
      <w:r>
        <w:t xml:space="preserve">En conjunto, 20 946 de los 32 201 falsos positivos de estas cuarenta y dos configuraciones (65,0 %) proceden de la categoría no anotada. La cifra no coincide con el 66,0 % que da §3.3 porque cubre una población distinta: esta tabla incluye configuraciones que el estudio no publica, entre ellas corridas después sustituidas por inválidas. Ambas son ciertas sobre lo que dicen medir. El mejor modelo local sobre este corpus, </w:t>
      </w:r>
      <w:r>
        <w:t xml:space="preserve">gemma4:31b-mlx</w:t>
      </w:r>
      <w:r>
        <w:t xml:space="preserve">, pasa de 62,67 % a 76,55 % de F1 y supera el umbral</w:t>
      </w:r>
      <w:r>
        <w:rPr>
          <w:b/>
        </w:rPr>
        <w:t xml:space="preserve"/>
      </w:r>
      <w:r>
        <w:t xml:space="preserve"> de 70 % que fija la hipótesis sobre material periodístico mayoritariamente en español. La variante en la nube del mismo modelo conserva su ventaja (80,42 % frente a 76,55 %), de modo que la corrección </w:t>
      </w:r>
      <w:r>
        <w:rPr>
          <w:b/>
        </w:rPr>
        <w:t xml:space="preserve">no</w:t>
      </w:r>
      <w:r>
        <w:t xml:space="preserve"> altera la conclusión sobre la comparación entre ejecución local y alojada.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line="228" w:lineRule="exact"/>
    </w:pPr>
    <w:name w:val="Normal"/>
    <w:qFormat/>
  </w:style>
  <w:style w:styleId="BodyText" w:type="paragraph">
    <w:name w:val="Body Text"/>
    <w:basedOn w:val="Normal"/>
    <w:link w:val="BodyTextChar"/>
    <w:qFormat/>
    <w:pPr>
      <w:spacing w:after="180" w:before="180" w:line="228" w:lineRule="exact"/>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6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0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2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spacing w:before="100" w:after="6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170" w:lineRule="exact"/>
    </w:pPr>
    <w:rPr>
      <w:sz w:val="14"/>
      <w:szCs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2026-09-02T00:06:14Z</dcterms:created>
  <dcterms:modified xsi:type="dcterms:W3CDTF">2026-09-02T00:06:14Z</dcterms:modified>
</cp:coreProperties>
</file>

<file path=docProps/custom.xml><?xml version="1.0" encoding="utf-8"?>
<Properties xmlns="http://schemas.openxmlformats.org/officeDocument/2006/custom-properties" xmlns:vt="http://schemas.openxmlformats.org/officeDocument/2006/docPropsVTypes"/>
</file>