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financieras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76,55 % de F1 en español y 90,16 % en el dominio, preservando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76.55 % F1 in Spanish and 90.16 % on the domain corpus, preserving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pct" w:w="5000"/>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pct" w:w="5000"/>
        <w:tblLayout w:type="fixed"/>
        <w:tblLook w:firstRow="1" w:lastRow="0" w:firstColumn="0" w:lastColumn="0" w:noHBand="0" w:noVBand="0" w:val="0020"/>
      </w:tblPr>
      <w:tblGrid>
        <w:gridCol w:w="1295"/>
        <w:gridCol w:w="2376"/>
        <w:gridCol w:w="1523"/>
        <w:gridCol w:w="1447"/>
        <w:gridCol w:w="900"/>
        <w:gridCol w:w="1297"/>
      </w:tblGrid>
      <w:tr>
        <w:trPr>
          <w:tblHeader w:val="on"/>
        </w:trPr>
        <w:tc>
          <w:tcPr>
            <w:tcW w:type="dxa" w:w="1295"/>
          </w:tcPr>
          <w:p>
            <w:pPr>
              <w:pStyle w:val="Compact"/>
              <w:jc w:val="left"/>
            </w:pPr>
            <w:r>
              <w:rPr>
                <w:b/>
              </w:rPr>
              <w:t>Trabajo</w:t>
            </w:r>
          </w:p>
        </w:tc>
        <w:tc>
          <w:tcPr>
            <w:tcW w:type="dxa" w:w="2376"/>
          </w:tcPr>
          <w:p>
            <w:pPr>
              <w:pStyle w:val="Compact"/>
              <w:jc w:val="left"/>
            </w:pPr>
            <w:r>
              <w:rPr>
                <w:b/>
              </w:rPr>
              <w:t>Dataset</w:t>
            </w:r>
          </w:p>
        </w:tc>
        <w:tc>
          <w:tcPr>
            <w:tcW w:type="dxa" w:w="1523"/>
          </w:tcPr>
          <w:p>
            <w:pPr>
              <w:pStyle w:val="Compact"/>
              <w:jc w:val="left"/>
            </w:pPr>
            <w:r>
              <w:rPr>
                <w:b/>
              </w:rPr>
              <w:t>Modelo</w:t>
            </w:r>
          </w:p>
        </w:tc>
        <w:tc>
          <w:tcPr>
            <w:tcW w:type="dxa" w:w="1447"/>
          </w:tcPr>
          <w:p>
            <w:pPr>
              <w:pStyle w:val="Compact"/>
              <w:jc w:val="center"/>
            </w:pPr>
            <w:r>
              <w:rPr>
                <w:b/>
              </w:rPr>
              <w:t>Desempeño publicado</w:t>
            </w:r>
          </w:p>
        </w:tc>
        <w:tc>
          <w:tcPr>
            <w:tcW w:type="dxa" w:w="900"/>
          </w:tcPr>
          <w:p>
            <w:pPr>
              <w:pStyle w:val="Compact"/>
              <w:jc w:val="center"/>
            </w:pPr>
            <w:r>
              <w:rPr>
                <w:b/>
              </w:rPr>
              <w:t>Privacidad</w:t>
            </w:r>
          </w:p>
        </w:tc>
        <w:tc>
          <w:tcPr>
            <w:tcW w:type="dxa" w:w="1297"/>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 xml:space="preserve">76,55 %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pct" w:w="5000"/>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t xml:space="preserve">el </w:t>
      </w:r>
      <w:r>
        <w:rPr>
          <w:b/>
        </w:rPr>
        <w:t xml:space="preserve">66,0 %</w:t>
      </w:r>
      <w:r>
        <w:t xml:space="preserve">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pct" w:w="5000"/>
        <w:tblLayout w:type="fixed"/>
        <w:tblLook w:firstRow="1" w:lastRow="0" w:firstColumn="0" w:lastColumn="0" w:noHBand="0" w:noVBand="0" w:val="0020"/>
      </w:tblPr>
      <w:tblGrid>
        <w:gridCol w:w="1021"/>
        <w:gridCol w:w="900"/>
        <w:gridCol w:w="948"/>
        <w:gridCol w:w="900"/>
        <w:gridCol w:w="900"/>
        <w:gridCol w:w="900"/>
        <w:gridCol w:w="1232"/>
        <w:gridCol w:w="1137"/>
        <w:gridCol w:w="900"/>
      </w:tblGrid>
      <w:tr>
        <w:trPr>
          <w:tblHeader w:val="on"/>
        </w:trPr>
        <w:tc>
          <w:tcPr>
            <w:tcW w:type="dxa" w:w="1021"/>
          </w:tcPr>
          <w:p>
            <w:pPr>
              <w:pStyle w:val="Compact"/>
              <w:jc w:val="left"/>
            </w:pPr>
            <w:r>
              <w:rPr>
                <w:b/>
              </w:rPr>
              <w:t>Modelo</w:t>
            </w:r>
          </w:p>
        </w:tc>
        <w:tc>
          <w:tcPr>
            <w:tcW w:type="dxa" w:w="900"/>
          </w:tcPr>
          <w:p>
            <w:pPr>
              <w:pStyle w:val="Compact"/>
              <w:jc w:val="left"/>
            </w:pPr>
            <w:r>
              <w:rPr>
                <w:b/>
              </w:rPr>
              <w:t>Tipo</w:t>
            </w:r>
          </w:p>
        </w:tc>
        <w:tc>
          <w:tcPr>
            <w:tcW w:type="dxa" w:w="948"/>
          </w:tcPr>
          <w:p>
            <w:pPr>
              <w:pStyle w:val="Compact"/>
              <w:jc w:val="left"/>
            </w:pPr>
            <w:r>
              <w:rPr>
                <w:b/>
              </w:rPr>
              <w:t>Parámetros</w:t>
            </w:r>
          </w:p>
        </w:tc>
        <w:tc>
          <w:tcPr>
            <w:tcW w:type="dxa" w:w="900"/>
          </w:tcPr>
          <w:p>
            <w:pPr>
              <w:pStyle w:val="Compact"/>
              <w:jc w:val="center"/>
            </w:pPr>
            <w:r>
              <w:rPr>
                <w:b/>
              </w:rPr>
              <w:t>F1</w:t>
            </w:r>
          </w:p>
        </w:tc>
        <w:tc>
          <w:tcPr>
            <w:tcW w:type="dxa" w:w="900"/>
          </w:tcPr>
          <w:p>
            <w:pPr>
              <w:pStyle w:val="Compact"/>
              <w:jc w:val="center"/>
            </w:pPr>
            <w:r>
              <w:rPr>
                <w:b/>
              </w:rPr>
              <w:t>Precisión</w:t>
            </w:r>
          </w:p>
        </w:tc>
        <w:tc>
          <w:tcPr>
            <w:tcW w:type="dxa" w:w="900"/>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900"/>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BodyText"/>
      </w:pPr>
      <w:r>
        <w:t xml:space="preserve">Cifras medidas sobre </w:t>
      </w:r>
      <w:r>
        <w:t xml:space="preserve">results/benchmark_results.csv</w:t>
      </w:r>
      <w:r>
        <w:t xml:space="preserve"> (N=15, modo </w:t>
      </w:r>
      <w:r>
        <w:t xml:space="preserve">entities</w:t>
      </w:r>
      <w:r>
        <w:t xml:space="preserve">), salvo </w:t>
      </w:r>
      <w:r>
        <w:t xml:space="preserve">gemma4:31b</w:t>
      </w:r>
      <w:r>
        <w:t xml:space="preserve"> (</w:t>
      </w:r>
      <w:r>
        <w:t xml:space="preserve">gemma4_31b_n15_REMOTO</w:t>
      </w:r>
      <w:r>
        <w:t xml:space="preserve">), las dos variantes de </w:t>
      </w:r>
      <w:r>
        <w:t xml:space="preserve">gemma4:latest</w:t>
      </w:r>
      <w:r>
        <w:t xml:space="preserve"> (</w:t>
      </w:r>
      <w:r>
        <w:t xml:space="preserve">ablacion_n15_REMOTO</w:t>
      </w:r>
      <w:r>
        <w:t xml:space="preserve">) y </w:t>
      </w:r>
      <w:r>
        <w:t xml:space="preserve">gemma4:31b-cloud</w:t>
      </w:r>
      <w:r>
        <w:t xml:space="preserve"> (</w:t>
      </w:r>
      <w:r>
        <w:t xml:space="preserve">cloud_n15_limpio_20260905</w:t>
      </w:r>
      <w:r>
        <w:t xml:space="preserve">). Las latencias proceden de corridas con distinta concurrencia y hardware, por lo que </w:t>
      </w:r>
      <w:r>
        <w:rPr>
          <w:b/>
        </w:rPr>
        <w:t xml:space="preserve">no son comparables entre filas</w:t>
      </w:r>
      <w:r>
        <w:t xml:space="preserve">; el índice Tok/s/B sí lo es. </w:t>
      </w:r>
      <w:r>
        <w:t xml:space="preserve"/>
      </w:r>
      <w:r>
        <w:t xml:space="preserve"/>
      </w:r>
      <w:r>
        <w:t xml:space="preserve"/>
      </w:r>
      <w:r>
        <w:t xml:space="preserve"/>
      </w:r>
      <w:r>
        <w:t xml:space="preserve"/>
      </w:r>
      <w:r>
        <w:t xml:space="preserve">La columna «Parámetros» recoge la denominación nominal de la etiqueta del modelo, que no siempre coincide con el recuento del manifiesto —1,8B en </w:t>
      </w:r>
      <w:r>
        <w:t xml:space="preserve">deepseek-r1:1.5b</w:t>
      </w:r>
      <w:r>
        <w:t xml:space="preserve">, 4,2B en </w:t>
      </w:r>
      <w:r>
        <w:t xml:space="preserve">nemotron-mini:4b</w:t>
      </w:r>
      <w:r>
        <w:t xml:space="preserve">, 8,2B en </w:t>
      </w:r>
      <w:r>
        <w:t xml:space="preserve">qwen3:8b</w:t>
      </w:r>
      <w:r>
        <w:t xml:space="preserve">, 12,2B en </w:t>
      </w:r>
      <w:r>
        <w:t xml:space="preserve">mistral-nemo</w:t>
      </w:r>
      <w:r>
        <w:t xml:space="preserve">, 31,3B en </w:t>
      </w:r>
      <w:r>
        <w:t xml:space="preserve">gemma4:31b</w:t>
      </w:r>
      <w:r>
        <w:t xml:space="preserve">—, y el índice Tok/s/B se calcula sobre la nominal. </w:t>
      </w:r>
      <w:r>
        <w:t xml:space="preserve">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sólo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pct" w:w="5000"/>
        <w:tblLayout w:type="fixed"/>
        <w:tblLook w:firstRow="1" w:lastRow="0" w:firstColumn="0" w:lastColumn="0" w:noHBand="0" w:noVBand="0" w:val="0020"/>
      </w:tblPr>
      <w:tblGrid>
        <w:gridCol w:w="2254"/>
        <w:gridCol w:w="900"/>
        <w:gridCol w:w="900"/>
        <w:gridCol w:w="900"/>
        <w:gridCol w:w="1293"/>
        <w:gridCol w:w="1194"/>
        <w:gridCol w:w="1397"/>
      </w:tblGrid>
      <w:tr>
        <w:trPr>
          <w:tblHeader w:val="on"/>
        </w:trPr>
        <w:tc>
          <w:tcPr>
            <w:tcW w:type="dxa" w:w="2254"/>
          </w:tcPr>
          <w:p>
            <w:pPr>
              <w:pStyle w:val="Compact"/>
              <w:jc w:val="left"/>
            </w:pPr>
            <w:r>
              <w:rPr>
                <w:b/>
              </w:rPr>
              <w:t>Configuración</w:t>
            </w:r>
          </w:p>
        </w:tc>
        <w:tc>
          <w:tcPr>
            <w:tcW w:type="dxa" w:w="900"/>
          </w:tcPr>
          <w:p>
            <w:pPr>
              <w:pStyle w:val="Compact"/>
              <w:jc w:val="left"/>
            </w:pPr>
            <w:r>
              <w:rPr>
                <w:b/>
              </w:rPr>
              <w:t>F1</w:t>
            </w:r>
          </w:p>
        </w:tc>
        <w:tc>
          <w:tcPr>
            <w:tcW w:type="dxa" w:w="900"/>
          </w:tcPr>
          <w:p>
            <w:pPr>
              <w:pStyle w:val="Compact"/>
              <w:jc w:val="left"/>
            </w:pPr>
            <w:r>
              <w:rPr>
                <w:b/>
              </w:rPr>
              <w:t>Precisión</w:t>
            </w:r>
          </w:p>
        </w:tc>
        <w:tc>
          <w:tcPr>
            <w:tcW w:type="dxa" w:w="900"/>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pct" w:w="5000"/>
        <w:tblLayout w:type="fixed"/>
        <w:tblLook w:firstRow="1" w:lastRow="0" w:firstColumn="0" w:lastColumn="0" w:noHBand="0" w:noVBand="0" w:val="0020"/>
      </w:tblPr>
      <w:tblGrid>
        <w:gridCol w:w="2028"/>
        <w:gridCol w:w="1014"/>
        <w:gridCol w:w="1303"/>
        <w:gridCol w:w="1014"/>
        <w:gridCol w:w="2579"/>
        <w:gridCol w:w="900"/>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579"/>
          </w:tcPr>
          <w:p>
            <w:pPr>
              <w:pStyle w:val="Compact"/>
              <w:jc w:val="center"/>
            </w:pPr>
            <w:r>
              <w:rPr>
                <w:b/>
              </w:rPr>
              <w:t>IC 95 % del F1</w:t>
            </w:r>
          </w:p>
        </w:tc>
        <w:tc>
          <w:tcPr>
            <w:tcW w:type="dxa" w:w="900"/>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pct" w:w="5000"/>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pct" w:w="5000"/>
        <w:tblLayout w:type="fixed"/>
        <w:tblLook w:firstRow="1" w:lastRow="0" w:firstColumn="0" w:lastColumn="0" w:noHBand="0" w:noVBand="0" w:val="0020"/>
      </w:tblPr>
      <w:tblGrid>
        <w:gridCol w:w="1753"/>
        <w:gridCol w:w="1127"/>
        <w:gridCol w:w="900"/>
        <w:gridCol w:w="1753"/>
        <w:gridCol w:w="1753"/>
        <w:gridCol w:w="1552"/>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900"/>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552"/>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 xml:space="preserve">76,55 % de F1 sobre el corpus periodístico de ciento veinte artículos</w:t>
      </w:r>
      <w:r>
        <w:t xml:space="preserve"> —de los que 105 están en español— y </w:t>
      </w:r>
      <w:r>
        <w:rPr>
          <w:b/>
        </w:rPr>
        <w:t xml:space="preserve">90,16 %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BodyText"/>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BodyText"/>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80,42 % frente al 76,55 % del mejor local. La conclusión sostenible no es la equivalencia sino que </w:t>
      </w:r>
      <w:r>
        <w:rPr>
          <w:b/>
        </w:rPr>
        <w:t xml:space="preserve">la soberanía cuesta del orden de cuatro puntos de F1</w:t>
      </w:r>
      <w:r>
        <w:t>, un precio que en un entorno regulado puede resultar razonable, y que se paga a cambio de no transferir texto de clientes a un tercero.</w:t>
      </w:r>
    </w:p>
    <w:p>
      <w:pPr>
        <w:numPr>
          <w:ilvl w:val="0"/>
          <w:numId w:val="0"/>
        </w:numPr>
        <w:pStyle w:val="BodyText"/>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BodyText"/>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BodyText"/>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 [19].</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BodyText"/>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BodyText"/>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BodyText"/>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BodyText"/>
      </w:pPr>
      <w:r>
        <w:t>[3] S. Wu et al., "BloombergGPT: A Large Language Model for Finance," 2023, arXiv:2303.17564. [Online]. Available: https://arxiv.org/abs/2303.17564</w:t>
      </w:r>
    </w:p>
    <w:p>
      <w:pPr>
        <w:numPr>
          <w:ilvl w:val="0"/>
          <w:numId w:val="0"/>
        </w:numPr>
        <w:pStyle w:val="BodyText"/>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BodyText"/>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BodyText"/>
      </w:pPr>
      <w:r>
        <w:t>[6] Y. Gao et al., "Retrieval-Augmented Generation for Large Language Models: A Survey," 2024, arXiv:2312.10997. [Online]. Available: https://arxiv.org/abs/2312.10997</w:t>
      </w:r>
    </w:p>
    <w:p>
      <w:pPr>
        <w:numPr>
          <w:ilvl w:val="0"/>
          <w:numId w:val="0"/>
        </w:numPr>
        <w:pStyle w:val="BodyText"/>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BodyText"/>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BodyText"/>
      </w:pPr>
      <w:r>
        <w:t>[9] P. Islam, A. Kannappan, D. Kiela, R. Qian, N. Scherrer, and B. Vidgen, "FinanceBench: A New Benchmark for Financial Question Answering," 2023, arXiv:2311.11944. [En línea]. Disponible: https://arxiv.org/abs/2311.11944</w:t>
      </w:r>
    </w:p>
    <w:p>
      <w:pPr>
        <w:numPr>
          <w:ilvl w:val="0"/>
          <w:numId w:val="0"/>
        </w:numPr>
        <w:pStyle w:val="BodyText"/>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BodyText"/>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BodyText"/>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BodyText"/>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BodyText"/>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BodyText"/>
      </w:pPr>
      <w:r>
        <w:t xml:space="preserve">[16] R. Schwartz et al., "Green AI," </w:t>
      </w:r>
      <w:r>
        <w:rPr>
          <w:i/>
        </w:rPr>
        <w:t>Communications of the ACM</w:t>
      </w:r>
      <w:r>
        <w:t>, vol. 63, no. 12, pp. 54-63, 2020. [En línea]. Disponible: https://doi.org/10.1145/3381831</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BodyText"/>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BodyText"/>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BodyText"/>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BodyText"/>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BodyText"/>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BodyText"/>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BodyText"/>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BodyText"/>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BodyText"/>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BodyText"/>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BodyText"/>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BodyText"/>
      </w:pPr>
      <w:r>
        <w:t xml:space="preserve">[29] Ollama. </w:t>
      </w:r>
      <w:r>
        <w:rPr>
          <w:i/>
        </w:rPr>
        <w:t>Ollama</w:t>
      </w:r>
      <w:r>
        <w:t xml:space="preserve"> [Online]. Available: https://github.com/ollama/ollama (accedido: 8 sep. 2026).</w:t>
      </w:r>
    </w:p>
    <w:p>
      <w:pPr>
        <w:numPr>
          <w:ilvl w:val="0"/>
          <w:numId w:val="0"/>
        </w:numPr>
        <w:pStyle w:val="BodyText"/>
      </w:pPr>
      <w:r>
        <w:t xml:space="preserve">[30] llama.cpp contributors. </w:t>
      </w:r>
      <w:r>
        <w:rPr>
          <w:i/>
        </w:rPr>
        <w:t>llama.cpp: LLM inference in C/C++</w:t>
      </w:r>
      <w:r>
        <w:t xml:space="preserve"> [Online]. Available: https://github.com/ggml-org/llama.cpp (accedido: 8 sep. 2026).</w:t>
      </w:r>
    </w:p>
    <w:p>
      <w:pPr>
        <w:numPr>
          <w:ilvl w:val="0"/>
          <w:numId w:val="0"/>
        </w:numPr>
        <w:pStyle w:val="BodyText"/>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BodyText"/>
      </w:pPr>
      <w:r>
        <w:t xml:space="preserve">[32] Chroma. </w:t>
      </w:r>
      <w:r>
        <w:rPr>
          <w:i/>
        </w:rPr>
        <w:t>chroma: search infrastructure for AI</w:t>
      </w:r>
      <w:r>
        <w:t xml:space="preserve"> [Online]. Available: https://github.com/chroma-core/chroma (accedido: 8 sep. 2026).</w:t>
      </w:r>
    </w:p>
    <w:p>
      <w:pPr>
        <w:numPr>
          <w:ilvl w:val="0"/>
          <w:numId w:val="0"/>
        </w:numPr>
        <w:pStyle w:val="BodyText"/>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BodyText"/>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BodyText"/>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BodyText"/>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BodyText"/>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pct" w:w="5000"/>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pct" w:w="5000"/>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
        <w:tblLayout w:type="fixed"/>
        <w:tblLook w:firstRow="1" w:lastRow="0" w:firstColumn="0" w:lastColumn="0" w:noHBand="0" w:noVBand="0" w:val="0020"/>
      </w:tblPr>
      <w:tblGrid>
        <w:gridCol w:w="2513"/>
        <w:gridCol w:w="2211"/>
        <w:gridCol w:w="900"/>
        <w:gridCol w:w="3214"/>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900"/>
          </w:tcPr>
          <w:p>
            <w:pPr>
              <w:pStyle w:val="Compact"/>
              <w:jc w:val="left"/>
            </w:pPr>
            <w:r>
              <w:rPr>
                <w:b/>
              </w:rPr>
              <w:t>Idioma</w:t>
            </w:r>
          </w:p>
        </w:tc>
        <w:tc>
          <w:tcPr>
            <w:tcW w:type="dxa" w:w="3214"/>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pct" w:w="5000"/>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4</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pct" w:w="5000"/>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pct" w:w="5000"/>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 xml:space="preserve">El efecto se midió sobre las 24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odyText"/>
      </w:pPr>
      <w:r>
        <w:rPr>
          <w:b/>
        </w:rPr>
        <w:t>Por entidad de referencia corrupta</w:t>
      </w:r>
      <w:r>
        <w:t>: 89 artículos afectados y 31 no.</w:t>
      </w:r>
    </w:p>
    <w:p>
      <w:pPr>
        <w:numPr>
          <w:ilvl w:val="0"/>
          <w:numId w:val="0"/>
        </w:numPr>
        <w:pStyle w:val="BodyText"/>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pct" w:w="5000"/>
        <w:tblLayout w:type="fixed"/>
        <w:tblLook w:firstRow="1" w:lastRow="0" w:firstColumn="0" w:lastColumn="0" w:noHBand="0" w:noVBand="0" w:val="0020"/>
      </w:tblPr>
      <w:tblGrid>
        <w:gridCol w:w="2981"/>
        <w:gridCol w:w="3194"/>
        <w:gridCol w:w="2663"/>
      </w:tblGrid>
      <w:tr>
        <w:trPr>
          <w:tblHeader w:val="on"/>
        </w:trPr>
        <w:tc>
          <w:tcPr>
            <w:tcW w:type="dxa" w:w="2981"/>
          </w:tcPr>
          <w:p>
            <w:pPr>
              <w:pStyle w:val="Compact"/>
              <w:jc w:val="left"/>
            </w:pPr>
            <w:r>
              <w:rPr>
                <w:b/>
              </w:rPr>
              <w:t>Configuración</w:t>
            </w:r>
          </w:p>
        </w:tc>
        <w:tc>
          <w:tcPr>
            <w:tcW w:type="dxa" w:w="3194"/>
          </w:tcPr>
          <w:p>
            <w:pPr>
              <w:pStyle w:val="Compact"/>
              <w:jc w:val="left"/>
            </w:pPr>
            <w:r>
              <w:rPr>
                <w:b/>
              </w:rPr>
              <w:t>Δ F1 por entidad de referencia</w:t>
            </w:r>
          </w:p>
        </w:tc>
        <w:tc>
          <w:tcPr>
            <w:tcW w:type="dxa" w:w="2663"/>
          </w:tcPr>
          <w:p>
            <w:pPr>
              <w:pStyle w:val="Compact"/>
              <w:jc w:val="left"/>
            </w:pPr>
            <w:r>
              <w:rPr>
                <w:b/>
              </w:rPr>
              <w:t>Δ F1 por texto de entrada</w:t>
            </w:r>
          </w:p>
        </w:tc>
      </w:tr>
      <w:tr>
        <w:tc>
          <w:tcPr>
            <w:tcW w:type="dxa" w:w="2981"/>
          </w:tcPr>
          <w:p>
            <w:pPr>
              <w:pStyle w:val="Compact"/>
              <w:jc w:val="left"/>
            </w:pPr>
            <w:r>
              <w:rPr>
                <w:b w:val="0"/>
              </w:rPr>
              <w:t>qwen3:8b_kb_rag</w:t>
            </w:r>
          </w:p>
        </w:tc>
        <w:tc>
          <w:tcPr>
            <w:tcW w:type="dxa" w:w="3194"/>
          </w:tcPr>
          <w:p>
            <w:pPr>
              <w:pStyle w:val="Compact"/>
              <w:jc w:val="left"/>
            </w:pPr>
            <w:r>
              <w:rPr>
                <w:b w:val="0"/>
              </w:rPr>
              <w:t>+0.1554</w:t>
            </w:r>
          </w:p>
        </w:tc>
        <w:tc>
          <w:tcPr>
            <w:tcW w:type="dxa" w:w="2663"/>
          </w:tcPr>
          <w:p>
            <w:pPr>
              <w:pStyle w:val="Compact"/>
              <w:jc w:val="left"/>
            </w:pPr>
            <w:r>
              <w:rPr>
                <w:b w:val="0"/>
              </w:rPr>
              <w:t>+0.0152</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nemotron-mini:4b_kb_rag</w:t>
            </w:r>
          </w:p>
        </w:tc>
        <w:tc>
          <w:tcPr>
            <w:tcW w:type="dxa" w:w="3194"/>
          </w:tcPr>
          <w:p>
            <w:pPr>
              <w:pStyle w:val="Compact"/>
              <w:jc w:val="left"/>
            </w:pPr>
            <w:r>
              <w:rPr>
                <w:b w:val="0"/>
              </w:rPr>
              <w:t>+0.0948</w:t>
            </w:r>
          </w:p>
        </w:tc>
        <w:tc>
          <w:tcPr>
            <w:tcW w:type="dxa" w:w="2663"/>
          </w:tcPr>
          <w:p>
            <w:pPr>
              <w:pStyle w:val="Compact"/>
              <w:jc w:val="left"/>
            </w:pPr>
            <w:r>
              <w:rPr>
                <w:b w:val="0"/>
              </w:rPr>
              <w:t>-0.0609</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gemma4:12b-mlx_baseline</w:t>
            </w:r>
          </w:p>
        </w:tc>
        <w:tc>
          <w:tcPr>
            <w:tcW w:type="dxa" w:w="3194"/>
          </w:tcPr>
          <w:p>
            <w:pPr>
              <w:pStyle w:val="Compact"/>
              <w:jc w:val="left"/>
            </w:pPr>
            <w:r>
              <w:rPr>
                <w:b w:val="0"/>
              </w:rPr>
              <w:t>+0.0789</w:t>
            </w:r>
          </w:p>
        </w:tc>
        <w:tc>
          <w:tcPr>
            <w:tcW w:type="dxa" w:w="2663"/>
          </w:tcPr>
          <w:p>
            <w:pPr>
              <w:pStyle w:val="Compact"/>
              <w:jc w:val="left"/>
            </w:pPr>
            <w:r>
              <w:rPr>
                <w:b w:val="0"/>
              </w:rPr>
              <w:t>-0.0612</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gemma4:12b-mlx_kb_rag</w:t>
            </w:r>
          </w:p>
        </w:tc>
        <w:tc>
          <w:tcPr>
            <w:tcW w:type="dxa" w:w="3194"/>
          </w:tcPr>
          <w:p>
            <w:pPr>
              <w:pStyle w:val="Compact"/>
              <w:jc w:val="left"/>
            </w:pPr>
            <w:r>
              <w:rPr>
                <w:b w:val="0"/>
              </w:rPr>
              <w:t>+0.0604</w:t>
            </w:r>
          </w:p>
        </w:tc>
        <w:tc>
          <w:tcPr>
            <w:tcW w:type="dxa" w:w="2663"/>
          </w:tcPr>
          <w:p>
            <w:pPr>
              <w:pStyle w:val="Compact"/>
              <w:jc w:val="left"/>
            </w:pPr>
            <w:r>
              <w:rPr>
                <w:b w:val="0"/>
              </w:rPr>
              <w:t>-0.0897</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qwen3:8b_baseline</w:t>
            </w:r>
          </w:p>
        </w:tc>
        <w:tc>
          <w:tcPr>
            <w:tcW w:type="dxa" w:w="3194"/>
          </w:tcPr>
          <w:p>
            <w:pPr>
              <w:pStyle w:val="Compact"/>
              <w:jc w:val="left"/>
            </w:pPr>
            <w:r>
              <w:rPr>
                <w:b w:val="0"/>
              </w:rPr>
              <w:t>-0.0076</w:t>
            </w:r>
          </w:p>
        </w:tc>
        <w:tc>
          <w:tcPr>
            <w:tcW w:type="dxa" w:w="2663"/>
          </w:tcPr>
          <w:p>
            <w:pPr>
              <w:pStyle w:val="Compact"/>
              <w:jc w:val="left"/>
            </w:pPr>
            <w:r>
              <w:rPr>
                <w:b w:val="0"/>
              </w:rPr>
              <w:t>-0.1359</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nemotron-mini:4b_baseline</w:t>
            </w:r>
          </w:p>
        </w:tc>
        <w:tc>
          <w:tcPr>
            <w:tcW w:type="dxa" w:w="3194"/>
          </w:tcPr>
          <w:p>
            <w:pPr>
              <w:pStyle w:val="Compact"/>
              <w:jc w:val="left"/>
            </w:pPr>
            <w:r>
              <w:rPr>
                <w:b w:val="0"/>
              </w:rPr>
              <w:t>-0.0477</w:t>
            </w:r>
          </w:p>
        </w:tc>
        <w:tc>
          <w:tcPr>
            <w:tcW w:type="dxa" w:w="2663"/>
          </w:tcPr>
          <w:p>
            <w:pPr>
              <w:pStyle w:val="Compact"/>
              <w:jc w:val="left"/>
            </w:pPr>
            <w:r>
              <w:rPr>
                <w:b w:val="0"/>
              </w:rPr>
              <w:t>-0.1942</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19 de las 24 configuraciones puntúan mejor</w:t>
      </w:r>
      <w:r>
        <w:t xml:space="preserve"> en los artículos cuya anotación de referencia está corrompida, y </w:t>
      </w:r>
      <w:r>
        <w:rPr>
          <w:b/>
        </w:rPr>
        <w:t>5 de las 24 puntúan peor</w:t>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José Bono</w:t>
      </w:r>
      <w:r>
        <w:t xml:space="preserve"> no casa con </w:t>
      </w:r>
      <w:r>
        <w:t>JosÃ© Bono</w:t>
      </w:r>
      <w:r>
        <w:t>. Cuando está en el texto de entrada, en cambio, dificulta la extracción para todos, y ahí el efecto es de signo negativo.</w:t>
      </w:r>
    </w:p>
    <w:p>
      <w:pPr>
        <w:numPr>
          <w:ilvl w:val="0"/>
          <w:numId w:val="0"/>
        </w:numPr>
        <w:pStyle w:val="BodyText"/>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BodyText"/>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 xml:space="preserve">Tabla 19. Desempeño publicado y desempeño restringido a personas y organizaciones (N=120, 42 configuraciones).</w:t>
      </w:r>
    </w:p>
    <w:tbl>
      <w:tblPr>
        <w:tblStyle w:val="Table"/>
        <w:tblW w:type="pct" w:w="5000"/>
        <w:tblLayout w:type="fixed"/>
        <w:tblLook w:firstRow="1" w:lastRow="0" w:firstColumn="0" w:lastColumn="0" w:noHBand="0" w:noVBand="0" w:val="0020"/>
      </w:tblPr>
      <w:tblGrid>
        <w:gridCol w:w="944"/>
        <w:gridCol w:w="2494"/>
        <w:gridCol w:w="900"/>
        <w:gridCol w:w="900"/>
        <w:gridCol w:w="900"/>
        <w:gridCol w:w="900"/>
        <w:gridCol w:w="900"/>
        <w:gridCol w:w="900"/>
      </w:tblGrid>
      <w:tr>
        <w:trPr>
          <w:tblHeader w:val="on"/>
        </w:trPr>
        <w:tc>
          <w:tcPr>
            <w:tcW w:type="dxa" w:w="944"/>
          </w:tcPr>
          <w:p>
            <w:pPr>
              <w:pStyle w:val="Compact"/>
              <w:jc w:val="left"/>
            </w:pPr>
            <w:r>
              <w:rPr>
                <w:b/>
              </w:rPr>
              <w:t>Configuración</w:t>
            </w:r>
          </w:p>
        </w:tc>
        <w:tc>
          <w:tcPr>
            <w:tcW w:type="dxa" w:w="2494"/>
          </w:tcPr>
          <w:p>
            <w:pPr>
              <w:pStyle w:val="Compact"/>
              <w:jc w:val="left"/>
            </w:pPr>
            <w:r>
              <w:rPr>
                <w:b/>
              </w:rPr>
              <w:t>Corrida</w:t>
            </w:r>
          </w:p>
        </w:tc>
        <w:tc>
          <w:tcPr>
            <w:tcW w:type="dxa" w:w="900"/>
          </w:tcPr>
          <w:p>
            <w:pPr>
              <w:pStyle w:val="Compact"/>
              <w:jc w:val="left"/>
            </w:pPr>
            <w:r>
              <w:rPr>
                <w:b/>
              </w:rPr>
              <w:t>P</w:t>
            </w:r>
          </w:p>
        </w:tc>
        <w:tc>
          <w:tcPr>
            <w:tcW w:type="dxa" w:w="900"/>
          </w:tcPr>
          <w:p>
            <w:pPr>
              <w:pStyle w:val="Compact"/>
              <w:jc w:val="center"/>
            </w:pPr>
            <w:r>
              <w:rPr>
                <w:b/>
              </w:rPr>
              <w:t>R</w:t>
            </w:r>
          </w:p>
        </w:tc>
        <w:tc>
          <w:tcPr>
            <w:tcW w:type="dxa" w:w="900"/>
          </w:tcPr>
          <w:p>
            <w:pPr>
              <w:pStyle w:val="Compact"/>
              <w:jc w:val="center"/>
            </w:pPr>
            <w:r>
              <w:rPr>
                <w:b/>
              </w:rPr>
              <w:t>F1</w:t>
            </w:r>
          </w:p>
        </w:tc>
        <w:tc>
          <w:tcPr>
            <w:tcW w:type="dxa" w:w="900"/>
          </w:tcPr>
          <w:p>
            <w:pPr>
              <w:pStyle w:val="Compact"/>
              <w:jc w:val="left"/>
            </w:pPr>
            <w:r>
              <w:rPr>
                <w:b/>
              </w:rPr>
              <w:t>P restr.</w:t>
            </w:r>
          </w:p>
        </w:tc>
        <w:tc>
          <w:tcPr>
            <w:tcW w:type="dxa" w:w="900"/>
          </w:tcPr>
          <w:p>
            <w:pPr>
              <w:pStyle w:val="Compact"/>
              <w:jc w:val="left"/>
            </w:pPr>
            <w:r>
              <w:rPr>
                <w:b/>
              </w:rPr>
              <w:t>F1 restr.</w:t>
            </w:r>
          </w:p>
        </w:tc>
        <w:tc>
          <w:tcPr>
            <w:tcW w:type="dxa" w:w="900"/>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55.80</w:t>
            </w:r>
          </w:p>
        </w:tc>
        <w:tc>
          <w:tcPr>
            <w:tcW w:type="dxa" w:w="900"/>
          </w:tcPr>
          <w:p>
            <w:pPr>
              <w:pStyle w:val="Compact"/>
              <w:jc w:val="center"/>
            </w:pPr>
            <w:r>
              <w:rPr>
                <w:b w:val="0"/>
              </w:rPr>
              <w:t xml:space="preserve">75.30</w:t>
            </w:r>
          </w:p>
        </w:tc>
        <w:tc>
          <w:tcPr>
            <w:tcW w:type="dxa" w:w="900"/>
          </w:tcPr>
          <w:p>
            <w:pPr>
              <w:pStyle w:val="Compact"/>
              <w:jc w:val="center"/>
            </w:pPr>
            <w:r>
              <w:rPr>
                <w:b w:val="0"/>
              </w:rPr>
              <w:t xml:space="preserve">62.38</w:t>
            </w:r>
          </w:p>
        </w:tc>
        <w:tc>
          <w:tcPr>
            <w:tcW w:type="dxa" w:w="900"/>
          </w:tcPr>
          <w:p>
            <w:pPr>
              <w:pStyle w:val="Compact"/>
              <w:jc w:val="left"/>
            </w:pPr>
            <w:r>
              <w:rPr>
                <w:b w:val="0"/>
              </w:rPr>
              <w:t xml:space="preserve">85.51</w:t>
            </w:r>
          </w:p>
        </w:tc>
        <w:tc>
          <w:tcPr>
            <w:tcW w:type="dxa" w:w="900"/>
          </w:tcPr>
          <w:p>
            <w:pPr>
              <w:pStyle w:val="Compact"/>
              <w:jc w:val="left"/>
            </w:pPr>
            <w:r>
              <w:rPr>
                <w:b w:val="0"/>
              </w:rPr>
              <w:t xml:space="preserve">80.42</w:t>
            </w:r>
          </w:p>
        </w:tc>
        <w:tc>
          <w:tcPr>
            <w:tcW w:type="dxa" w:w="900"/>
          </w:tcPr>
          <w:p>
            <w:pPr>
              <w:pStyle w:val="Compact"/>
              <w:jc w:val="left"/>
            </w:pPr>
            <w:r>
              <w:rPr>
                <w:b w:val="0"/>
              </w:rPr>
              <w:t xml:space="preserve">+18.03</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54.92</w:t>
            </w:r>
          </w:p>
        </w:tc>
        <w:tc>
          <w:tcPr>
            <w:tcW w:type="dxa" w:w="900"/>
          </w:tcPr>
          <w:p>
            <w:pPr>
              <w:pStyle w:val="Compact"/>
              <w:jc w:val="center"/>
            </w:pPr>
            <w:r>
              <w:rPr>
                <w:b w:val="0"/>
              </w:rPr>
              <w:t xml:space="preserve">75.11</w:t>
            </w:r>
          </w:p>
        </w:tc>
        <w:tc>
          <w:tcPr>
            <w:tcW w:type="dxa" w:w="900"/>
          </w:tcPr>
          <w:p>
            <w:pPr>
              <w:pStyle w:val="Compact"/>
              <w:jc w:val="center"/>
            </w:pPr>
            <w:r>
              <w:rPr>
                <w:b w:val="0"/>
              </w:rPr>
              <w:t xml:space="preserve">61.85</w:t>
            </w:r>
          </w:p>
        </w:tc>
        <w:tc>
          <w:tcPr>
            <w:tcW w:type="dxa" w:w="900"/>
          </w:tcPr>
          <w:p>
            <w:pPr>
              <w:pStyle w:val="Compact"/>
              <w:jc w:val="left"/>
            </w:pPr>
            <w:r>
              <w:rPr>
                <w:b w:val="0"/>
              </w:rPr>
              <w:t xml:space="preserve">82.40</w:t>
            </w:r>
          </w:p>
        </w:tc>
        <w:tc>
          <w:tcPr>
            <w:tcW w:type="dxa" w:w="900"/>
          </w:tcPr>
          <w:p>
            <w:pPr>
              <w:pStyle w:val="Compact"/>
              <w:jc w:val="left"/>
            </w:pPr>
            <w:r>
              <w:rPr>
                <w:b w:val="0"/>
              </w:rPr>
              <w:t xml:space="preserve">78.89</w:t>
            </w:r>
          </w:p>
        </w:tc>
        <w:tc>
          <w:tcPr>
            <w:tcW w:type="dxa" w:w="900"/>
          </w:tcPr>
          <w:p>
            <w:pPr>
              <w:pStyle w:val="Compact"/>
              <w:jc w:val="left"/>
            </w:pPr>
            <w:r>
              <w:rPr>
                <w:b w:val="0"/>
              </w:rPr>
              <w:t xml:space="preserve">+17.05</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52.89</w:t>
            </w:r>
          </w:p>
        </w:tc>
        <w:tc>
          <w:tcPr>
            <w:tcW w:type="dxa" w:w="900"/>
          </w:tcPr>
          <w:p>
            <w:pPr>
              <w:pStyle w:val="Compact"/>
              <w:jc w:val="center"/>
            </w:pPr>
            <w:r>
              <w:rPr>
                <w:b w:val="0"/>
              </w:rPr>
              <w:t xml:space="preserve">72.35</w:t>
            </w:r>
          </w:p>
        </w:tc>
        <w:tc>
          <w:tcPr>
            <w:tcW w:type="dxa" w:w="900"/>
          </w:tcPr>
          <w:p>
            <w:pPr>
              <w:pStyle w:val="Compact"/>
              <w:jc w:val="center"/>
            </w:pPr>
            <w:r>
              <w:rPr>
                <w:b w:val="0"/>
              </w:rPr>
              <w:t xml:space="preserve">59.25</w:t>
            </w:r>
          </w:p>
        </w:tc>
        <w:tc>
          <w:tcPr>
            <w:tcW w:type="dxa" w:w="900"/>
          </w:tcPr>
          <w:p>
            <w:pPr>
              <w:pStyle w:val="Compact"/>
              <w:jc w:val="left"/>
            </w:pPr>
            <w:r>
              <w:rPr>
                <w:b w:val="0"/>
              </w:rPr>
              <w:t xml:space="preserve">80.85</w:t>
            </w:r>
          </w:p>
        </w:tc>
        <w:tc>
          <w:tcPr>
            <w:tcW w:type="dxa" w:w="900"/>
          </w:tcPr>
          <w:p>
            <w:pPr>
              <w:pStyle w:val="Compact"/>
              <w:jc w:val="left"/>
            </w:pPr>
            <w:r>
              <w:rPr>
                <w:b w:val="0"/>
              </w:rPr>
              <w:t xml:space="preserve">76.55</w:t>
            </w:r>
          </w:p>
        </w:tc>
        <w:tc>
          <w:tcPr>
            <w:tcW w:type="dxa" w:w="900"/>
          </w:tcPr>
          <w:p>
            <w:pPr>
              <w:pStyle w:val="Compact"/>
              <w:jc w:val="left"/>
            </w:pPr>
            <w:r>
              <w:rPr>
                <w:b w:val="0"/>
              </w:rPr>
              <w:t xml:space="preserve">+17.30</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51.67</w:t>
            </w:r>
          </w:p>
        </w:tc>
        <w:tc>
          <w:tcPr>
            <w:tcW w:type="dxa" w:w="900"/>
          </w:tcPr>
          <w:p>
            <w:pPr>
              <w:pStyle w:val="Compact"/>
              <w:jc w:val="center"/>
            </w:pPr>
            <w:r>
              <w:rPr>
                <w:b w:val="0"/>
              </w:rPr>
              <w:t xml:space="preserve">73.59</w:t>
            </w:r>
          </w:p>
        </w:tc>
        <w:tc>
          <w:tcPr>
            <w:tcW w:type="dxa" w:w="900"/>
          </w:tcPr>
          <w:p>
            <w:pPr>
              <w:pStyle w:val="Compact"/>
              <w:jc w:val="center"/>
            </w:pPr>
            <w:r>
              <w:rPr>
                <w:b w:val="0"/>
              </w:rPr>
              <w:t xml:space="preserve">59.07</w:t>
            </w:r>
          </w:p>
        </w:tc>
        <w:tc>
          <w:tcPr>
            <w:tcW w:type="dxa" w:w="900"/>
          </w:tcPr>
          <w:p>
            <w:pPr>
              <w:pStyle w:val="Compact"/>
              <w:jc w:val="left"/>
            </w:pPr>
            <w:r>
              <w:rPr>
                <w:b w:val="0"/>
              </w:rPr>
              <w:t xml:space="preserve">77.11</w:t>
            </w:r>
          </w:p>
        </w:tc>
        <w:tc>
          <w:tcPr>
            <w:tcW w:type="dxa" w:w="900"/>
          </w:tcPr>
          <w:p>
            <w:pPr>
              <w:pStyle w:val="Compact"/>
              <w:jc w:val="left"/>
            </w:pPr>
            <w:r>
              <w:rPr>
                <w:b w:val="0"/>
              </w:rPr>
              <w:t xml:space="preserve">75.63</w:t>
            </w:r>
          </w:p>
        </w:tc>
        <w:tc>
          <w:tcPr>
            <w:tcW w:type="dxa" w:w="900"/>
          </w:tcPr>
          <w:p>
            <w:pPr>
              <w:pStyle w:val="Compact"/>
              <w:jc w:val="left"/>
            </w:pPr>
            <w:r>
              <w:rPr>
                <w:b w:val="0"/>
              </w:rPr>
              <w:t xml:space="preserve">+16.55</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52.09</w:t>
            </w:r>
          </w:p>
        </w:tc>
        <w:tc>
          <w:tcPr>
            <w:tcW w:type="dxa" w:w="900"/>
          </w:tcPr>
          <w:p>
            <w:pPr>
              <w:pStyle w:val="Compact"/>
              <w:jc w:val="center"/>
            </w:pPr>
            <w:r>
              <w:rPr>
                <w:b w:val="0"/>
              </w:rPr>
              <w:t xml:space="preserve">69.18</w:t>
            </w:r>
          </w:p>
        </w:tc>
        <w:tc>
          <w:tcPr>
            <w:tcW w:type="dxa" w:w="900"/>
          </w:tcPr>
          <w:p>
            <w:pPr>
              <w:pStyle w:val="Compact"/>
              <w:jc w:val="center"/>
            </w:pPr>
            <w:r>
              <w:rPr>
                <w:b w:val="0"/>
              </w:rPr>
              <w:t xml:space="preserve">57.85</w:t>
            </w:r>
          </w:p>
        </w:tc>
        <w:tc>
          <w:tcPr>
            <w:tcW w:type="dxa" w:w="900"/>
          </w:tcPr>
          <w:p>
            <w:pPr>
              <w:pStyle w:val="Compact"/>
              <w:jc w:val="left"/>
            </w:pPr>
            <w:r>
              <w:rPr>
                <w:b w:val="0"/>
              </w:rPr>
              <w:t xml:space="preserve">80.34</w:t>
            </w:r>
          </w:p>
        </w:tc>
        <w:tc>
          <w:tcPr>
            <w:tcW w:type="dxa" w:w="900"/>
          </w:tcPr>
          <w:p>
            <w:pPr>
              <w:pStyle w:val="Compact"/>
              <w:jc w:val="left"/>
            </w:pPr>
            <w:r>
              <w:rPr>
                <w:b w:val="0"/>
              </w:rPr>
              <w:t xml:space="preserve">74.66</w:t>
            </w:r>
          </w:p>
        </w:tc>
        <w:tc>
          <w:tcPr>
            <w:tcW w:type="dxa" w:w="900"/>
          </w:tcPr>
          <w:p>
            <w:pPr>
              <w:pStyle w:val="Compact"/>
              <w:jc w:val="left"/>
            </w:pPr>
            <w:r>
              <w:rPr>
                <w:b w:val="0"/>
              </w:rPr>
              <w:t xml:space="preserve">+16.81</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51.90</w:t>
            </w:r>
          </w:p>
        </w:tc>
        <w:tc>
          <w:tcPr>
            <w:tcW w:type="dxa" w:w="900"/>
          </w:tcPr>
          <w:p>
            <w:pPr>
              <w:pStyle w:val="Compact"/>
              <w:jc w:val="center"/>
            </w:pPr>
            <w:r>
              <w:rPr>
                <w:b w:val="0"/>
              </w:rPr>
              <w:t xml:space="preserve">67.86</w:t>
            </w:r>
          </w:p>
        </w:tc>
        <w:tc>
          <w:tcPr>
            <w:tcW w:type="dxa" w:w="900"/>
          </w:tcPr>
          <w:p>
            <w:pPr>
              <w:pStyle w:val="Compact"/>
              <w:jc w:val="center"/>
            </w:pPr>
            <w:r>
              <w:rPr>
                <w:b w:val="0"/>
              </w:rPr>
              <w:t xml:space="preserve">55.62</w:t>
            </w:r>
          </w:p>
        </w:tc>
        <w:tc>
          <w:tcPr>
            <w:tcW w:type="dxa" w:w="900"/>
          </w:tcPr>
          <w:p>
            <w:pPr>
              <w:pStyle w:val="Compact"/>
              <w:jc w:val="left"/>
            </w:pPr>
            <w:r>
              <w:rPr>
                <w:b w:val="0"/>
              </w:rPr>
              <w:t xml:space="preserve">79.49</w:t>
            </w:r>
          </w:p>
        </w:tc>
        <w:tc>
          <w:tcPr>
            <w:tcW w:type="dxa" w:w="900"/>
          </w:tcPr>
          <w:p>
            <w:pPr>
              <w:pStyle w:val="Compact"/>
              <w:jc w:val="left"/>
            </w:pPr>
            <w:r>
              <w:rPr>
                <w:b w:val="0"/>
              </w:rPr>
              <w:t xml:space="preserve">71.07</w:t>
            </w:r>
          </w:p>
        </w:tc>
        <w:tc>
          <w:tcPr>
            <w:tcW w:type="dxa" w:w="900"/>
          </w:tcPr>
          <w:p>
            <w:pPr>
              <w:pStyle w:val="Compact"/>
              <w:jc w:val="left"/>
            </w:pPr>
            <w:r>
              <w:rPr>
                <w:b w:val="0"/>
              </w:rPr>
              <w:t xml:space="preserve">+15.45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 xml:space="preserve">49.18</w:t>
            </w:r>
          </w:p>
        </w:tc>
        <w:tc>
          <w:tcPr>
            <w:tcW w:type="dxa" w:w="900"/>
          </w:tcPr>
          <w:p>
            <w:pPr>
              <w:pStyle w:val="Compact"/>
              <w:jc w:val="center"/>
            </w:pPr>
            <w:r>
              <w:rPr>
                <w:b w:val="0"/>
              </w:rPr>
              <w:t xml:space="preserve">69.09</w:t>
            </w:r>
          </w:p>
        </w:tc>
        <w:tc>
          <w:tcPr>
            <w:tcW w:type="dxa" w:w="900"/>
          </w:tcPr>
          <w:p>
            <w:pPr>
              <w:pStyle w:val="Compact"/>
              <w:jc w:val="center"/>
            </w:pPr>
            <w:r>
              <w:rPr>
                <w:b w:val="0"/>
              </w:rPr>
              <w:t xml:space="preserve">55.67</w:t>
            </w:r>
          </w:p>
        </w:tc>
        <w:tc>
          <w:tcPr>
            <w:tcW w:type="dxa" w:w="900"/>
          </w:tcPr>
          <w:p>
            <w:pPr>
              <w:pStyle w:val="Compact"/>
              <w:jc w:val="left"/>
            </w:pPr>
            <w:r>
              <w:rPr>
                <w:b w:val="0"/>
              </w:rPr>
              <w:t xml:space="preserve">75.40</w:t>
            </w:r>
          </w:p>
        </w:tc>
        <w:tc>
          <w:tcPr>
            <w:tcW w:type="dxa" w:w="900"/>
          </w:tcPr>
          <w:p>
            <w:pPr>
              <w:pStyle w:val="Compact"/>
              <w:jc w:val="left"/>
            </w:pPr>
            <w:r>
              <w:rPr>
                <w:b w:val="0"/>
              </w:rPr>
              <w:t xml:space="preserve">71.99</w:t>
            </w:r>
          </w:p>
        </w:tc>
        <w:tc>
          <w:tcPr>
            <w:tcW w:type="dxa" w:w="900"/>
          </w:tcPr>
          <w:p>
            <w:pPr>
              <w:pStyle w:val="Compact"/>
              <w:jc w:val="left"/>
            </w:pPr>
            <w:r>
              <w:rPr>
                <w:b w:val="0"/>
              </w:rPr>
              <w:t xml:space="preserve">+16.32</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52.91</w:t>
            </w:r>
          </w:p>
        </w:tc>
        <w:tc>
          <w:tcPr>
            <w:tcW w:type="dxa" w:w="900"/>
          </w:tcPr>
          <w:p>
            <w:pPr>
              <w:pStyle w:val="Compact"/>
              <w:jc w:val="center"/>
            </w:pPr>
            <w:r>
              <w:rPr>
                <w:b w:val="0"/>
              </w:rPr>
              <w:t xml:space="preserve">63.87</w:t>
            </w:r>
          </w:p>
        </w:tc>
        <w:tc>
          <w:tcPr>
            <w:tcW w:type="dxa" w:w="900"/>
          </w:tcPr>
          <w:p>
            <w:pPr>
              <w:pStyle w:val="Compact"/>
              <w:jc w:val="center"/>
            </w:pPr>
            <w:r>
              <w:rPr>
                <w:b w:val="0"/>
              </w:rPr>
              <w:t xml:space="preserve">55.91</w:t>
            </w:r>
          </w:p>
        </w:tc>
        <w:tc>
          <w:tcPr>
            <w:tcW w:type="dxa" w:w="900"/>
          </w:tcPr>
          <w:p>
            <w:pPr>
              <w:pStyle w:val="Compact"/>
              <w:jc w:val="left"/>
            </w:pPr>
            <w:r>
              <w:rPr>
                <w:b w:val="0"/>
              </w:rPr>
              <w:t xml:space="preserve">78.81</w:t>
            </w:r>
          </w:p>
        </w:tc>
        <w:tc>
          <w:tcPr>
            <w:tcW w:type="dxa" w:w="900"/>
          </w:tcPr>
          <w:p>
            <w:pPr>
              <w:pStyle w:val="Compact"/>
              <w:jc w:val="left"/>
            </w:pPr>
            <w:r>
              <w:rPr>
                <w:b w:val="0"/>
              </w:rPr>
              <w:t xml:space="preserve">70.52</w:t>
            </w:r>
          </w:p>
        </w:tc>
        <w:tc>
          <w:tcPr>
            <w:tcW w:type="dxa" w:w="900"/>
          </w:tcPr>
          <w:p>
            <w:pPr>
              <w:pStyle w:val="Compact"/>
              <w:jc w:val="left"/>
            </w:pPr>
            <w:r>
              <w:rPr>
                <w:b w:val="0"/>
              </w:rPr>
              <w:t xml:space="preserve">+14.61</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51.29</w:t>
            </w:r>
          </w:p>
        </w:tc>
        <w:tc>
          <w:tcPr>
            <w:tcW w:type="dxa" w:w="900"/>
          </w:tcPr>
          <w:p>
            <w:pPr>
              <w:pStyle w:val="Compact"/>
              <w:jc w:val="center"/>
            </w:pPr>
            <w:r>
              <w:rPr>
                <w:b w:val="0"/>
              </w:rPr>
              <w:t xml:space="preserve">62.76</w:t>
            </w:r>
          </w:p>
        </w:tc>
        <w:tc>
          <w:tcPr>
            <w:tcW w:type="dxa" w:w="900"/>
          </w:tcPr>
          <w:p>
            <w:pPr>
              <w:pStyle w:val="Compact"/>
              <w:jc w:val="center"/>
            </w:pPr>
            <w:r>
              <w:rPr>
                <w:b w:val="0"/>
              </w:rPr>
              <w:t xml:space="preserve">54.74</w:t>
            </w:r>
          </w:p>
        </w:tc>
        <w:tc>
          <w:tcPr>
            <w:tcW w:type="dxa" w:w="900"/>
          </w:tcPr>
          <w:p>
            <w:pPr>
              <w:pStyle w:val="Compact"/>
              <w:jc w:val="left"/>
            </w:pPr>
            <w:r>
              <w:rPr>
                <w:b w:val="0"/>
              </w:rPr>
              <w:t xml:space="preserve">79.72</w:t>
            </w:r>
          </w:p>
        </w:tc>
        <w:tc>
          <w:tcPr>
            <w:tcW w:type="dxa" w:w="900"/>
          </w:tcPr>
          <w:p>
            <w:pPr>
              <w:pStyle w:val="Compact"/>
              <w:jc w:val="left"/>
            </w:pPr>
            <w:r>
              <w:rPr>
                <w:b w:val="0"/>
              </w:rPr>
              <w:t xml:space="preserve">70.34</w:t>
            </w:r>
          </w:p>
        </w:tc>
        <w:tc>
          <w:tcPr>
            <w:tcW w:type="dxa" w:w="900"/>
          </w:tcPr>
          <w:p>
            <w:pPr>
              <w:pStyle w:val="Compact"/>
              <w:jc w:val="left"/>
            </w:pPr>
            <w:r>
              <w:rPr>
                <w:b w:val="0"/>
              </w:rPr>
              <w:t xml:space="preserve">+15.59</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52.47</w:t>
            </w:r>
          </w:p>
        </w:tc>
        <w:tc>
          <w:tcPr>
            <w:tcW w:type="dxa" w:w="900"/>
          </w:tcPr>
          <w:p>
            <w:pPr>
              <w:pStyle w:val="Compact"/>
              <w:jc w:val="center"/>
            </w:pPr>
            <w:r>
              <w:rPr>
                <w:b w:val="0"/>
              </w:rPr>
              <w:t xml:space="preserve">65.39</w:t>
            </w:r>
          </w:p>
        </w:tc>
        <w:tc>
          <w:tcPr>
            <w:tcW w:type="dxa" w:w="900"/>
          </w:tcPr>
          <w:p>
            <w:pPr>
              <w:pStyle w:val="Compact"/>
              <w:jc w:val="center"/>
            </w:pPr>
            <w:r>
              <w:rPr>
                <w:b w:val="0"/>
              </w:rPr>
              <w:t xml:space="preserve">54.46</w:t>
            </w:r>
          </w:p>
        </w:tc>
        <w:tc>
          <w:tcPr>
            <w:tcW w:type="dxa" w:w="900"/>
          </w:tcPr>
          <w:p>
            <w:pPr>
              <w:pStyle w:val="Compact"/>
              <w:jc w:val="left"/>
            </w:pPr>
            <w:r>
              <w:rPr>
                <w:b w:val="0"/>
              </w:rPr>
              <w:t xml:space="preserve">77.93</w:t>
            </w:r>
          </w:p>
        </w:tc>
        <w:tc>
          <w:tcPr>
            <w:tcW w:type="dxa" w:w="900"/>
          </w:tcPr>
          <w:p>
            <w:pPr>
              <w:pStyle w:val="Compact"/>
              <w:jc w:val="left"/>
            </w:pPr>
            <w:r>
              <w:rPr>
                <w:b w:val="0"/>
              </w:rPr>
              <w:t xml:space="preserve">69.06</w:t>
            </w:r>
          </w:p>
        </w:tc>
        <w:tc>
          <w:tcPr>
            <w:tcW w:type="dxa" w:w="900"/>
          </w:tcPr>
          <w:p>
            <w:pPr>
              <w:pStyle w:val="Compact"/>
              <w:jc w:val="left"/>
            </w:pPr>
            <w:r>
              <w:rPr>
                <w:b w:val="0"/>
              </w:rPr>
              <w:t xml:space="preserve">+14.60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51.35</w:t>
            </w:r>
          </w:p>
        </w:tc>
        <w:tc>
          <w:tcPr>
            <w:tcW w:type="dxa" w:w="900"/>
          </w:tcPr>
          <w:p>
            <w:pPr>
              <w:pStyle w:val="Compact"/>
              <w:jc w:val="center"/>
            </w:pPr>
            <w:r>
              <w:rPr>
                <w:b w:val="0"/>
              </w:rPr>
              <w:t xml:space="preserve">64.59</w:t>
            </w:r>
          </w:p>
        </w:tc>
        <w:tc>
          <w:tcPr>
            <w:tcW w:type="dxa" w:w="900"/>
          </w:tcPr>
          <w:p>
            <w:pPr>
              <w:pStyle w:val="Compact"/>
              <w:jc w:val="center"/>
            </w:pPr>
            <w:r>
              <w:rPr>
                <w:b w:val="0"/>
              </w:rPr>
              <w:t xml:space="preserve">54.02</w:t>
            </w:r>
          </w:p>
        </w:tc>
        <w:tc>
          <w:tcPr>
            <w:tcW w:type="dxa" w:w="900"/>
          </w:tcPr>
          <w:p>
            <w:pPr>
              <w:pStyle w:val="Compact"/>
              <w:jc w:val="left"/>
            </w:pPr>
            <w:r>
              <w:rPr>
                <w:b w:val="0"/>
              </w:rPr>
              <w:t xml:space="preserve">80.76</w:t>
            </w:r>
          </w:p>
        </w:tc>
        <w:tc>
          <w:tcPr>
            <w:tcW w:type="dxa" w:w="900"/>
          </w:tcPr>
          <w:p>
            <w:pPr>
              <w:pStyle w:val="Compact"/>
              <w:jc w:val="left"/>
            </w:pPr>
            <w:r>
              <w:rPr>
                <w:b w:val="0"/>
              </w:rPr>
              <w:t xml:space="preserve">69.89</w:t>
            </w:r>
          </w:p>
        </w:tc>
        <w:tc>
          <w:tcPr>
            <w:tcW w:type="dxa" w:w="900"/>
          </w:tcPr>
          <w:p>
            <w:pPr>
              <w:pStyle w:val="Compact"/>
              <w:jc w:val="left"/>
            </w:pPr>
            <w:r>
              <w:rPr>
                <w:b w:val="0"/>
              </w:rPr>
              <w:t xml:space="preserve">+15.86</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51.61</w:t>
            </w:r>
          </w:p>
        </w:tc>
        <w:tc>
          <w:tcPr>
            <w:tcW w:type="dxa" w:w="900"/>
          </w:tcPr>
          <w:p>
            <w:pPr>
              <w:pStyle w:val="Compact"/>
              <w:jc w:val="center"/>
            </w:pPr>
            <w:r>
              <w:rPr>
                <w:b w:val="0"/>
              </w:rPr>
              <w:t xml:space="preserve">65.28</w:t>
            </w:r>
          </w:p>
        </w:tc>
        <w:tc>
          <w:tcPr>
            <w:tcW w:type="dxa" w:w="900"/>
          </w:tcPr>
          <w:p>
            <w:pPr>
              <w:pStyle w:val="Compact"/>
              <w:jc w:val="center"/>
            </w:pPr>
            <w:r>
              <w:rPr>
                <w:b w:val="0"/>
              </w:rPr>
              <w:t xml:space="preserve">54.50</w:t>
            </w:r>
          </w:p>
        </w:tc>
        <w:tc>
          <w:tcPr>
            <w:tcW w:type="dxa" w:w="900"/>
          </w:tcPr>
          <w:p>
            <w:pPr>
              <w:pStyle w:val="Compact"/>
              <w:jc w:val="left"/>
            </w:pPr>
            <w:r>
              <w:rPr>
                <w:b w:val="0"/>
              </w:rPr>
              <w:t xml:space="preserve">80.26</w:t>
            </w:r>
          </w:p>
        </w:tc>
        <w:tc>
          <w:tcPr>
            <w:tcW w:type="dxa" w:w="900"/>
          </w:tcPr>
          <w:p>
            <w:pPr>
              <w:pStyle w:val="Compact"/>
              <w:jc w:val="left"/>
            </w:pPr>
            <w:r>
              <w:rPr>
                <w:b w:val="0"/>
              </w:rPr>
              <w:t xml:space="preserve">70.23</w:t>
            </w:r>
          </w:p>
        </w:tc>
        <w:tc>
          <w:tcPr>
            <w:tcW w:type="dxa" w:w="900"/>
          </w:tcPr>
          <w:p>
            <w:pPr>
              <w:pStyle w:val="Compact"/>
              <w:jc w:val="left"/>
            </w:pPr>
            <w:r>
              <w:rPr>
                <w:b w:val="0"/>
              </w:rPr>
              <w:t xml:space="preserve">+15.72</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50.61</w:t>
            </w:r>
          </w:p>
        </w:tc>
        <w:tc>
          <w:tcPr>
            <w:tcW w:type="dxa" w:w="900"/>
          </w:tcPr>
          <w:p>
            <w:pPr>
              <w:pStyle w:val="Compact"/>
              <w:jc w:val="center"/>
            </w:pPr>
            <w:r>
              <w:rPr>
                <w:b w:val="0"/>
              </w:rPr>
              <w:t xml:space="preserve">58.82</w:t>
            </w:r>
          </w:p>
        </w:tc>
        <w:tc>
          <w:tcPr>
            <w:tcW w:type="dxa" w:w="900"/>
          </w:tcPr>
          <w:p>
            <w:pPr>
              <w:pStyle w:val="Compact"/>
              <w:jc w:val="center"/>
            </w:pPr>
            <w:r>
              <w:rPr>
                <w:b w:val="0"/>
              </w:rPr>
              <w:t xml:space="preserve">52.57</w:t>
            </w:r>
          </w:p>
        </w:tc>
        <w:tc>
          <w:tcPr>
            <w:tcW w:type="dxa" w:w="900"/>
          </w:tcPr>
          <w:p>
            <w:pPr>
              <w:pStyle w:val="Compact"/>
              <w:jc w:val="left"/>
            </w:pPr>
            <w:r>
              <w:rPr>
                <w:b w:val="0"/>
              </w:rPr>
              <w:t xml:space="preserve">78.80</w:t>
            </w:r>
          </w:p>
        </w:tc>
        <w:tc>
          <w:tcPr>
            <w:tcW w:type="dxa" w:w="900"/>
          </w:tcPr>
          <w:p>
            <w:pPr>
              <w:pStyle w:val="Compact"/>
              <w:jc w:val="left"/>
            </w:pPr>
            <w:r>
              <w:rPr>
                <w:b w:val="0"/>
              </w:rPr>
              <w:t xml:space="preserve">67.22</w:t>
            </w:r>
          </w:p>
        </w:tc>
        <w:tc>
          <w:tcPr>
            <w:tcW w:type="dxa" w:w="900"/>
          </w:tcPr>
          <w:p>
            <w:pPr>
              <w:pStyle w:val="Compact"/>
              <w:jc w:val="left"/>
            </w:pPr>
            <w:r>
              <w:rPr>
                <w:b w:val="0"/>
              </w:rPr>
              <w:t xml:space="preserve">+14.65</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 xml:space="preserve">46.49</w:t>
            </w:r>
          </w:p>
        </w:tc>
        <w:tc>
          <w:tcPr>
            <w:tcW w:type="dxa" w:w="900"/>
          </w:tcPr>
          <w:p>
            <w:pPr>
              <w:pStyle w:val="Compact"/>
              <w:jc w:val="center"/>
            </w:pPr>
            <w:r>
              <w:rPr>
                <w:b w:val="0"/>
              </w:rPr>
              <w:t xml:space="preserve">64.40</w:t>
            </w:r>
          </w:p>
        </w:tc>
        <w:tc>
          <w:tcPr>
            <w:tcW w:type="dxa" w:w="900"/>
          </w:tcPr>
          <w:p>
            <w:pPr>
              <w:pStyle w:val="Compact"/>
              <w:jc w:val="center"/>
            </w:pPr>
            <w:r>
              <w:rPr>
                <w:b w:val="0"/>
              </w:rPr>
              <w:t xml:space="preserve">52.39</w:t>
            </w:r>
          </w:p>
        </w:tc>
        <w:tc>
          <w:tcPr>
            <w:tcW w:type="dxa" w:w="900"/>
          </w:tcPr>
          <w:p>
            <w:pPr>
              <w:pStyle w:val="Compact"/>
              <w:jc w:val="left"/>
            </w:pPr>
            <w:r>
              <w:rPr>
                <w:b w:val="0"/>
              </w:rPr>
              <w:t xml:space="preserve">73.69</w:t>
            </w:r>
          </w:p>
        </w:tc>
        <w:tc>
          <w:tcPr>
            <w:tcW w:type="dxa" w:w="900"/>
          </w:tcPr>
          <w:p>
            <w:pPr>
              <w:pStyle w:val="Compact"/>
              <w:jc w:val="left"/>
            </w:pPr>
            <w:r>
              <w:rPr>
                <w:b w:val="0"/>
              </w:rPr>
              <w:t xml:space="preserve">68.89</w:t>
            </w:r>
          </w:p>
        </w:tc>
        <w:tc>
          <w:tcPr>
            <w:tcW w:type="dxa" w:w="900"/>
          </w:tcPr>
          <w:p>
            <w:pPr>
              <w:pStyle w:val="Compact"/>
              <w:jc w:val="left"/>
            </w:pPr>
            <w:r>
              <w:rPr>
                <w:b w:val="0"/>
              </w:rPr>
              <w:t xml:space="preserve">+16.50</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55.48</w:t>
            </w:r>
          </w:p>
        </w:tc>
        <w:tc>
          <w:tcPr>
            <w:tcW w:type="dxa" w:w="900"/>
          </w:tcPr>
          <w:p>
            <w:pPr>
              <w:pStyle w:val="Compact"/>
              <w:jc w:val="center"/>
            </w:pPr>
            <w:r>
              <w:rPr>
                <w:b w:val="0"/>
              </w:rPr>
              <w:t xml:space="preserve">58.74</w:t>
            </w:r>
          </w:p>
        </w:tc>
        <w:tc>
          <w:tcPr>
            <w:tcW w:type="dxa" w:w="900"/>
          </w:tcPr>
          <w:p>
            <w:pPr>
              <w:pStyle w:val="Compact"/>
              <w:jc w:val="center"/>
            </w:pPr>
            <w:r>
              <w:rPr>
                <w:b w:val="0"/>
              </w:rPr>
              <w:t xml:space="preserve">54.84</w:t>
            </w:r>
          </w:p>
        </w:tc>
        <w:tc>
          <w:tcPr>
            <w:tcW w:type="dxa" w:w="900"/>
          </w:tcPr>
          <w:p>
            <w:pPr>
              <w:pStyle w:val="Compact"/>
              <w:jc w:val="left"/>
            </w:pPr>
            <w:r>
              <w:rPr>
                <w:b w:val="0"/>
              </w:rPr>
              <w:t xml:space="preserve">82.69</w:t>
            </w:r>
          </w:p>
        </w:tc>
        <w:tc>
          <w:tcPr>
            <w:tcW w:type="dxa" w:w="900"/>
          </w:tcPr>
          <w:p>
            <w:pPr>
              <w:pStyle w:val="Compact"/>
              <w:jc w:val="left"/>
            </w:pPr>
            <w:r>
              <w:rPr>
                <w:b w:val="0"/>
              </w:rPr>
              <w:t xml:space="preserve">68.11</w:t>
            </w:r>
          </w:p>
        </w:tc>
        <w:tc>
          <w:tcPr>
            <w:tcW w:type="dxa" w:w="900"/>
          </w:tcPr>
          <w:p>
            <w:pPr>
              <w:pStyle w:val="Compact"/>
              <w:jc w:val="left"/>
            </w:pPr>
            <w:r>
              <w:rPr>
                <w:b w:val="0"/>
              </w:rPr>
              <w:t xml:space="preserve">+13.27</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50.29</w:t>
            </w:r>
          </w:p>
        </w:tc>
        <w:tc>
          <w:tcPr>
            <w:tcW w:type="dxa" w:w="900"/>
          </w:tcPr>
          <w:p>
            <w:pPr>
              <w:pStyle w:val="Compact"/>
              <w:jc w:val="center"/>
            </w:pPr>
            <w:r>
              <w:rPr>
                <w:b w:val="0"/>
              </w:rPr>
              <w:t xml:space="preserve">54.02</w:t>
            </w:r>
          </w:p>
        </w:tc>
        <w:tc>
          <w:tcPr>
            <w:tcW w:type="dxa" w:w="900"/>
          </w:tcPr>
          <w:p>
            <w:pPr>
              <w:pStyle w:val="Compact"/>
              <w:jc w:val="center"/>
            </w:pPr>
            <w:r>
              <w:rPr>
                <w:b w:val="0"/>
              </w:rPr>
              <w:t xml:space="preserve">50.22</w:t>
            </w:r>
          </w:p>
        </w:tc>
        <w:tc>
          <w:tcPr>
            <w:tcW w:type="dxa" w:w="900"/>
          </w:tcPr>
          <w:p>
            <w:pPr>
              <w:pStyle w:val="Compact"/>
              <w:jc w:val="left"/>
            </w:pPr>
            <w:r>
              <w:rPr>
                <w:b w:val="0"/>
              </w:rPr>
              <w:t xml:space="preserve">83.40</w:t>
            </w:r>
          </w:p>
        </w:tc>
        <w:tc>
          <w:tcPr>
            <w:tcW w:type="dxa" w:w="900"/>
          </w:tcPr>
          <w:p>
            <w:pPr>
              <w:pStyle w:val="Compact"/>
              <w:jc w:val="left"/>
            </w:pPr>
            <w:r>
              <w:rPr>
                <w:b w:val="0"/>
              </w:rPr>
              <w:t xml:space="preserve">66.11</w:t>
            </w:r>
          </w:p>
        </w:tc>
        <w:tc>
          <w:tcPr>
            <w:tcW w:type="dxa" w:w="900"/>
          </w:tcPr>
          <w:p>
            <w:pPr>
              <w:pStyle w:val="Compact"/>
              <w:jc w:val="left"/>
            </w:pPr>
            <w:r>
              <w:rPr>
                <w:b w:val="0"/>
              </w:rPr>
              <w:t xml:space="preserve">+15.89</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47.37</w:t>
            </w:r>
          </w:p>
        </w:tc>
        <w:tc>
          <w:tcPr>
            <w:tcW w:type="dxa" w:w="900"/>
          </w:tcPr>
          <w:p>
            <w:pPr>
              <w:pStyle w:val="Compact"/>
              <w:jc w:val="center"/>
            </w:pPr>
            <w:r>
              <w:rPr>
                <w:b w:val="0"/>
              </w:rPr>
              <w:t xml:space="preserve">54.91</w:t>
            </w:r>
          </w:p>
        </w:tc>
        <w:tc>
          <w:tcPr>
            <w:tcW w:type="dxa" w:w="900"/>
          </w:tcPr>
          <w:p>
            <w:pPr>
              <w:pStyle w:val="Compact"/>
              <w:jc w:val="center"/>
            </w:pPr>
            <w:r>
              <w:rPr>
                <w:b w:val="0"/>
              </w:rPr>
              <w:t xml:space="preserve">48.76</w:t>
            </w:r>
          </w:p>
        </w:tc>
        <w:tc>
          <w:tcPr>
            <w:tcW w:type="dxa" w:w="900"/>
          </w:tcPr>
          <w:p>
            <w:pPr>
              <w:pStyle w:val="Compact"/>
              <w:jc w:val="left"/>
            </w:pPr>
            <w:r>
              <w:rPr>
                <w:b w:val="0"/>
              </w:rPr>
              <w:t xml:space="preserve">80.52</w:t>
            </w:r>
          </w:p>
        </w:tc>
        <w:tc>
          <w:tcPr>
            <w:tcW w:type="dxa" w:w="900"/>
          </w:tcPr>
          <w:p>
            <w:pPr>
              <w:pStyle w:val="Compact"/>
              <w:jc w:val="left"/>
            </w:pPr>
            <w:r>
              <w:rPr>
                <w:b w:val="0"/>
              </w:rPr>
              <w:t xml:space="preserve">64.53</w:t>
            </w:r>
          </w:p>
        </w:tc>
        <w:tc>
          <w:tcPr>
            <w:tcW w:type="dxa" w:w="900"/>
          </w:tcPr>
          <w:p>
            <w:pPr>
              <w:pStyle w:val="Compact"/>
              <w:jc w:val="left"/>
            </w:pPr>
            <w:r>
              <w:rPr>
                <w:b w:val="0"/>
              </w:rPr>
              <w:t xml:space="preserve">+15.77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50.85</w:t>
            </w:r>
          </w:p>
        </w:tc>
        <w:tc>
          <w:tcPr>
            <w:tcW w:type="dxa" w:w="900"/>
          </w:tcPr>
          <w:p>
            <w:pPr>
              <w:pStyle w:val="Compact"/>
              <w:jc w:val="center"/>
            </w:pPr>
            <w:r>
              <w:rPr>
                <w:b w:val="0"/>
              </w:rPr>
              <w:t xml:space="preserve">55.23</w:t>
            </w:r>
          </w:p>
        </w:tc>
        <w:tc>
          <w:tcPr>
            <w:tcW w:type="dxa" w:w="900"/>
          </w:tcPr>
          <w:p>
            <w:pPr>
              <w:pStyle w:val="Compact"/>
              <w:jc w:val="center"/>
            </w:pPr>
            <w:r>
              <w:rPr>
                <w:b w:val="0"/>
              </w:rPr>
              <w:t xml:space="preserve">50.75</w:t>
            </w:r>
          </w:p>
        </w:tc>
        <w:tc>
          <w:tcPr>
            <w:tcW w:type="dxa" w:w="900"/>
          </w:tcPr>
          <w:p>
            <w:pPr>
              <w:pStyle w:val="Compact"/>
              <w:jc w:val="left"/>
            </w:pPr>
            <w:r>
              <w:rPr>
                <w:b w:val="0"/>
              </w:rPr>
              <w:t xml:space="preserve">76.28</w:t>
            </w:r>
          </w:p>
        </w:tc>
        <w:tc>
          <w:tcPr>
            <w:tcW w:type="dxa" w:w="900"/>
          </w:tcPr>
          <w:p>
            <w:pPr>
              <w:pStyle w:val="Compact"/>
              <w:jc w:val="left"/>
            </w:pPr>
            <w:r>
              <w:rPr>
                <w:b w:val="0"/>
              </w:rPr>
              <w:t xml:space="preserve">63.62</w:t>
            </w:r>
          </w:p>
        </w:tc>
        <w:tc>
          <w:tcPr>
            <w:tcW w:type="dxa" w:w="900"/>
          </w:tcPr>
          <w:p>
            <w:pPr>
              <w:pStyle w:val="Compact"/>
              <w:jc w:val="left"/>
            </w:pPr>
            <w:r>
              <w:rPr>
                <w:b w:val="0"/>
              </w:rPr>
              <w:t xml:space="preserve">+12.87</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48.51</w:t>
            </w:r>
          </w:p>
        </w:tc>
        <w:tc>
          <w:tcPr>
            <w:tcW w:type="dxa" w:w="900"/>
          </w:tcPr>
          <w:p>
            <w:pPr>
              <w:pStyle w:val="Compact"/>
              <w:jc w:val="center"/>
            </w:pPr>
            <w:r>
              <w:rPr>
                <w:b w:val="0"/>
              </w:rPr>
              <w:t xml:space="preserve">59.68</w:t>
            </w:r>
          </w:p>
        </w:tc>
        <w:tc>
          <w:tcPr>
            <w:tcW w:type="dxa" w:w="900"/>
          </w:tcPr>
          <w:p>
            <w:pPr>
              <w:pStyle w:val="Compact"/>
              <w:jc w:val="center"/>
            </w:pPr>
            <w:r>
              <w:rPr>
                <w:b w:val="0"/>
              </w:rPr>
              <w:t xml:space="preserve">51.46</w:t>
            </w:r>
          </w:p>
        </w:tc>
        <w:tc>
          <w:tcPr>
            <w:tcW w:type="dxa" w:w="900"/>
          </w:tcPr>
          <w:p>
            <w:pPr>
              <w:pStyle w:val="Compact"/>
              <w:jc w:val="left"/>
            </w:pPr>
            <w:r>
              <w:rPr>
                <w:b w:val="0"/>
              </w:rPr>
              <w:t xml:space="preserve">72.59</w:t>
            </w:r>
          </w:p>
        </w:tc>
        <w:tc>
          <w:tcPr>
            <w:tcW w:type="dxa" w:w="900"/>
          </w:tcPr>
          <w:p>
            <w:pPr>
              <w:pStyle w:val="Compact"/>
              <w:jc w:val="left"/>
            </w:pPr>
            <w:r>
              <w:rPr>
                <w:b w:val="0"/>
              </w:rPr>
              <w:t xml:space="preserve">64.87</w:t>
            </w:r>
          </w:p>
        </w:tc>
        <w:tc>
          <w:tcPr>
            <w:tcW w:type="dxa" w:w="900"/>
          </w:tcPr>
          <w:p>
            <w:pPr>
              <w:pStyle w:val="Compact"/>
              <w:jc w:val="left"/>
            </w:pPr>
            <w:r>
              <w:rPr>
                <w:b w:val="0"/>
              </w:rPr>
              <w:t xml:space="preserve">+13.41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46.25</w:t>
            </w:r>
          </w:p>
        </w:tc>
        <w:tc>
          <w:tcPr>
            <w:tcW w:type="dxa" w:w="900"/>
          </w:tcPr>
          <w:p>
            <w:pPr>
              <w:pStyle w:val="Compact"/>
              <w:jc w:val="center"/>
            </w:pPr>
            <w:r>
              <w:rPr>
                <w:b w:val="0"/>
              </w:rPr>
              <w:t xml:space="preserve">55.02</w:t>
            </w:r>
          </w:p>
        </w:tc>
        <w:tc>
          <w:tcPr>
            <w:tcW w:type="dxa" w:w="900"/>
          </w:tcPr>
          <w:p>
            <w:pPr>
              <w:pStyle w:val="Compact"/>
              <w:jc w:val="center"/>
            </w:pPr>
            <w:r>
              <w:rPr>
                <w:b w:val="0"/>
              </w:rPr>
              <w:t xml:space="preserve">48.21</w:t>
            </w:r>
          </w:p>
        </w:tc>
        <w:tc>
          <w:tcPr>
            <w:tcW w:type="dxa" w:w="900"/>
          </w:tcPr>
          <w:p>
            <w:pPr>
              <w:pStyle w:val="Compact"/>
              <w:jc w:val="left"/>
            </w:pPr>
            <w:r>
              <w:rPr>
                <w:b w:val="0"/>
              </w:rPr>
              <w:t xml:space="preserve">75.27</w:t>
            </w:r>
          </w:p>
        </w:tc>
        <w:tc>
          <w:tcPr>
            <w:tcW w:type="dxa" w:w="900"/>
          </w:tcPr>
          <w:p>
            <w:pPr>
              <w:pStyle w:val="Compact"/>
              <w:jc w:val="left"/>
            </w:pPr>
            <w:r>
              <w:rPr>
                <w:b w:val="0"/>
              </w:rPr>
              <w:t xml:space="preserve">63.05</w:t>
            </w:r>
          </w:p>
        </w:tc>
        <w:tc>
          <w:tcPr>
            <w:tcW w:type="dxa" w:w="900"/>
          </w:tcPr>
          <w:p>
            <w:pPr>
              <w:pStyle w:val="Compact"/>
              <w:jc w:val="left"/>
            </w:pPr>
            <w:r>
              <w:rPr>
                <w:b w:val="0"/>
              </w:rPr>
              <w:t xml:space="preserve">+14.84</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50.99</w:t>
            </w:r>
          </w:p>
        </w:tc>
        <w:tc>
          <w:tcPr>
            <w:tcW w:type="dxa" w:w="900"/>
          </w:tcPr>
          <w:p>
            <w:pPr>
              <w:pStyle w:val="Compact"/>
              <w:jc w:val="center"/>
            </w:pPr>
            <w:r>
              <w:rPr>
                <w:b w:val="0"/>
              </w:rPr>
              <w:t xml:space="preserve">51.31</w:t>
            </w:r>
          </w:p>
        </w:tc>
        <w:tc>
          <w:tcPr>
            <w:tcW w:type="dxa" w:w="900"/>
          </w:tcPr>
          <w:p>
            <w:pPr>
              <w:pStyle w:val="Compact"/>
              <w:jc w:val="center"/>
            </w:pPr>
            <w:r>
              <w:rPr>
                <w:b w:val="0"/>
              </w:rPr>
              <w:t xml:space="preserve">49.05</w:t>
            </w:r>
          </w:p>
        </w:tc>
        <w:tc>
          <w:tcPr>
            <w:tcW w:type="dxa" w:w="900"/>
          </w:tcPr>
          <w:p>
            <w:pPr>
              <w:pStyle w:val="Compact"/>
              <w:jc w:val="left"/>
            </w:pPr>
            <w:r>
              <w:rPr>
                <w:b w:val="0"/>
              </w:rPr>
              <w:t xml:space="preserve">85.30</w:t>
            </w:r>
          </w:p>
        </w:tc>
        <w:tc>
          <w:tcPr>
            <w:tcW w:type="dxa" w:w="900"/>
          </w:tcPr>
          <w:p>
            <w:pPr>
              <w:pStyle w:val="Compact"/>
              <w:jc w:val="left"/>
            </w:pPr>
            <w:r>
              <w:rPr>
                <w:b w:val="0"/>
              </w:rPr>
              <w:t xml:space="preserve">63.64</w:t>
            </w:r>
          </w:p>
        </w:tc>
        <w:tc>
          <w:tcPr>
            <w:tcW w:type="dxa" w:w="900"/>
          </w:tcPr>
          <w:p>
            <w:pPr>
              <w:pStyle w:val="Compact"/>
              <w:jc w:val="left"/>
            </w:pPr>
            <w:r>
              <w:rPr>
                <w:b w:val="0"/>
              </w:rPr>
              <w:t xml:space="preserve">+14.59</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48.92</w:t>
            </w:r>
          </w:p>
        </w:tc>
        <w:tc>
          <w:tcPr>
            <w:tcW w:type="dxa" w:w="900"/>
          </w:tcPr>
          <w:p>
            <w:pPr>
              <w:pStyle w:val="Compact"/>
              <w:jc w:val="center"/>
            </w:pPr>
            <w:r>
              <w:rPr>
                <w:b w:val="0"/>
              </w:rPr>
              <w:t xml:space="preserve">51.81</w:t>
            </w:r>
          </w:p>
        </w:tc>
        <w:tc>
          <w:tcPr>
            <w:tcW w:type="dxa" w:w="900"/>
          </w:tcPr>
          <w:p>
            <w:pPr>
              <w:pStyle w:val="Compact"/>
              <w:jc w:val="center"/>
            </w:pPr>
            <w:r>
              <w:rPr>
                <w:b w:val="0"/>
              </w:rPr>
              <w:t xml:space="preserve">46.93</w:t>
            </w:r>
          </w:p>
        </w:tc>
        <w:tc>
          <w:tcPr>
            <w:tcW w:type="dxa" w:w="900"/>
          </w:tcPr>
          <w:p>
            <w:pPr>
              <w:pStyle w:val="Compact"/>
              <w:jc w:val="left"/>
            </w:pPr>
            <w:r>
              <w:rPr>
                <w:b w:val="0"/>
              </w:rPr>
              <w:t xml:space="preserve">75.45</w:t>
            </w:r>
          </w:p>
        </w:tc>
        <w:tc>
          <w:tcPr>
            <w:tcW w:type="dxa" w:w="900"/>
          </w:tcPr>
          <w:p>
            <w:pPr>
              <w:pStyle w:val="Compact"/>
              <w:jc w:val="left"/>
            </w:pPr>
            <w:r>
              <w:rPr>
                <w:b w:val="0"/>
              </w:rPr>
              <w:t xml:space="preserve">59.86</w:t>
            </w:r>
          </w:p>
        </w:tc>
        <w:tc>
          <w:tcPr>
            <w:tcW w:type="dxa" w:w="900"/>
          </w:tcPr>
          <w:p>
            <w:pPr>
              <w:pStyle w:val="Compact"/>
              <w:jc w:val="left"/>
            </w:pPr>
            <w:r>
              <w:rPr>
                <w:b w:val="0"/>
              </w:rPr>
              <w:t xml:space="preserve">+12.92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47.02</w:t>
            </w:r>
          </w:p>
        </w:tc>
        <w:tc>
          <w:tcPr>
            <w:tcW w:type="dxa" w:w="900"/>
          </w:tcPr>
          <w:p>
            <w:pPr>
              <w:pStyle w:val="Compact"/>
              <w:jc w:val="center"/>
            </w:pPr>
            <w:r>
              <w:rPr>
                <w:b w:val="0"/>
              </w:rPr>
              <w:t xml:space="preserve">46.98</w:t>
            </w:r>
          </w:p>
        </w:tc>
        <w:tc>
          <w:tcPr>
            <w:tcW w:type="dxa" w:w="900"/>
          </w:tcPr>
          <w:p>
            <w:pPr>
              <w:pStyle w:val="Compact"/>
              <w:jc w:val="center"/>
            </w:pPr>
            <w:r>
              <w:rPr>
                <w:b w:val="0"/>
              </w:rPr>
              <w:t xml:space="preserve">44.56</w:t>
            </w:r>
          </w:p>
        </w:tc>
        <w:tc>
          <w:tcPr>
            <w:tcW w:type="dxa" w:w="900"/>
          </w:tcPr>
          <w:p>
            <w:pPr>
              <w:pStyle w:val="Compact"/>
              <w:jc w:val="left"/>
            </w:pPr>
            <w:r>
              <w:rPr>
                <w:b w:val="0"/>
              </w:rPr>
              <w:t xml:space="preserve">87.02</w:t>
            </w:r>
          </w:p>
        </w:tc>
        <w:tc>
          <w:tcPr>
            <w:tcW w:type="dxa" w:w="900"/>
          </w:tcPr>
          <w:p>
            <w:pPr>
              <w:pStyle w:val="Compact"/>
              <w:jc w:val="left"/>
            </w:pPr>
            <w:r>
              <w:rPr>
                <w:b w:val="0"/>
              </w:rPr>
              <w:t xml:space="preserve">59.25</w:t>
            </w:r>
          </w:p>
        </w:tc>
        <w:tc>
          <w:tcPr>
            <w:tcW w:type="dxa" w:w="900"/>
          </w:tcPr>
          <w:p>
            <w:pPr>
              <w:pStyle w:val="Compact"/>
              <w:jc w:val="left"/>
            </w:pPr>
            <w:r>
              <w:rPr>
                <w:b w:val="0"/>
              </w:rPr>
              <w:t xml:space="preserve">+14.69</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52.31</w:t>
            </w:r>
          </w:p>
        </w:tc>
        <w:tc>
          <w:tcPr>
            <w:tcW w:type="dxa" w:w="900"/>
          </w:tcPr>
          <w:p>
            <w:pPr>
              <w:pStyle w:val="Compact"/>
              <w:jc w:val="center"/>
            </w:pPr>
            <w:r>
              <w:rPr>
                <w:b w:val="0"/>
              </w:rPr>
              <w:t xml:space="preserve">56.62</w:t>
            </w:r>
          </w:p>
        </w:tc>
        <w:tc>
          <w:tcPr>
            <w:tcW w:type="dxa" w:w="900"/>
          </w:tcPr>
          <w:p>
            <w:pPr>
              <w:pStyle w:val="Compact"/>
              <w:jc w:val="center"/>
            </w:pPr>
            <w:r>
              <w:rPr>
                <w:b w:val="0"/>
              </w:rPr>
              <w:t xml:space="preserve">51.36</w:t>
            </w:r>
          </w:p>
        </w:tc>
        <w:tc>
          <w:tcPr>
            <w:tcW w:type="dxa" w:w="900"/>
          </w:tcPr>
          <w:p>
            <w:pPr>
              <w:pStyle w:val="Compact"/>
              <w:jc w:val="left"/>
            </w:pPr>
            <w:r>
              <w:rPr>
                <w:b w:val="0"/>
              </w:rPr>
              <w:t xml:space="preserve">61.48</w:t>
            </w:r>
          </w:p>
        </w:tc>
        <w:tc>
          <w:tcPr>
            <w:tcW w:type="dxa" w:w="900"/>
          </w:tcPr>
          <w:p>
            <w:pPr>
              <w:pStyle w:val="Compact"/>
              <w:jc w:val="left"/>
            </w:pPr>
            <w:r>
              <w:rPr>
                <w:b w:val="0"/>
              </w:rPr>
              <w:t xml:space="preserve">56.37</w:t>
            </w:r>
          </w:p>
        </w:tc>
        <w:tc>
          <w:tcPr>
            <w:tcW w:type="dxa" w:w="900"/>
          </w:tcPr>
          <w:p>
            <w:pPr>
              <w:pStyle w:val="Compact"/>
              <w:jc w:val="left"/>
            </w:pPr>
            <w:r>
              <w:rPr>
                <w:b w:val="0"/>
              </w:rPr>
              <w:t xml:space="preserve">+5.01</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52.39</w:t>
            </w:r>
          </w:p>
        </w:tc>
        <w:tc>
          <w:tcPr>
            <w:tcW w:type="dxa" w:w="900"/>
          </w:tcPr>
          <w:p>
            <w:pPr>
              <w:pStyle w:val="Compact"/>
              <w:jc w:val="center"/>
            </w:pPr>
            <w:r>
              <w:rPr>
                <w:b w:val="0"/>
              </w:rPr>
              <w:t xml:space="preserve">41.09</w:t>
            </w:r>
          </w:p>
        </w:tc>
        <w:tc>
          <w:tcPr>
            <w:tcW w:type="dxa" w:w="900"/>
          </w:tcPr>
          <w:p>
            <w:pPr>
              <w:pStyle w:val="Compact"/>
              <w:jc w:val="center"/>
            </w:pPr>
            <w:r>
              <w:rPr>
                <w:b w:val="0"/>
              </w:rPr>
              <w:t xml:space="preserve">43.38</w:t>
            </w:r>
          </w:p>
        </w:tc>
        <w:tc>
          <w:tcPr>
            <w:tcW w:type="dxa" w:w="900"/>
          </w:tcPr>
          <w:p>
            <w:pPr>
              <w:pStyle w:val="Compact"/>
              <w:jc w:val="left"/>
            </w:pPr>
            <w:r>
              <w:rPr>
                <w:b w:val="0"/>
              </w:rPr>
              <w:t xml:space="preserve">82.24</w:t>
            </w:r>
          </w:p>
        </w:tc>
        <w:tc>
          <w:tcPr>
            <w:tcW w:type="dxa" w:w="900"/>
          </w:tcPr>
          <w:p>
            <w:pPr>
              <w:pStyle w:val="Compact"/>
              <w:jc w:val="left"/>
            </w:pPr>
            <w:r>
              <w:rPr>
                <w:b w:val="0"/>
              </w:rPr>
              <w:t xml:space="preserve">54.09</w:t>
            </w:r>
          </w:p>
        </w:tc>
        <w:tc>
          <w:tcPr>
            <w:tcW w:type="dxa" w:w="900"/>
          </w:tcPr>
          <w:p>
            <w:pPr>
              <w:pStyle w:val="Compact"/>
              <w:jc w:val="left"/>
            </w:pPr>
            <w:r>
              <w:rPr>
                <w:b w:val="0"/>
              </w:rPr>
              <w:t xml:space="preserve">+10.70</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43.47</w:t>
            </w:r>
          </w:p>
        </w:tc>
        <w:tc>
          <w:tcPr>
            <w:tcW w:type="dxa" w:w="900"/>
          </w:tcPr>
          <w:p>
            <w:pPr>
              <w:pStyle w:val="Compact"/>
              <w:jc w:val="center"/>
            </w:pPr>
            <w:r>
              <w:rPr>
                <w:b w:val="0"/>
              </w:rPr>
              <w:t xml:space="preserve">45.28</w:t>
            </w:r>
          </w:p>
        </w:tc>
        <w:tc>
          <w:tcPr>
            <w:tcW w:type="dxa" w:w="900"/>
          </w:tcPr>
          <w:p>
            <w:pPr>
              <w:pStyle w:val="Compact"/>
              <w:jc w:val="center"/>
            </w:pPr>
            <w:r>
              <w:rPr>
                <w:b w:val="0"/>
              </w:rPr>
              <w:t xml:space="preserve">43.17</w:t>
            </w:r>
          </w:p>
        </w:tc>
        <w:tc>
          <w:tcPr>
            <w:tcW w:type="dxa" w:w="900"/>
          </w:tcPr>
          <w:p>
            <w:pPr>
              <w:pStyle w:val="Compact"/>
              <w:jc w:val="left"/>
            </w:pPr>
            <w:r>
              <w:rPr>
                <w:b w:val="0"/>
              </w:rPr>
              <w:t xml:space="preserve">71.66</w:t>
            </w:r>
          </w:p>
        </w:tc>
        <w:tc>
          <w:tcPr>
            <w:tcW w:type="dxa" w:w="900"/>
          </w:tcPr>
          <w:p>
            <w:pPr>
              <w:pStyle w:val="Compact"/>
              <w:jc w:val="left"/>
            </w:pPr>
            <w:r>
              <w:rPr>
                <w:b w:val="0"/>
              </w:rPr>
              <w:t xml:space="preserve">56.00</w:t>
            </w:r>
          </w:p>
        </w:tc>
        <w:tc>
          <w:tcPr>
            <w:tcW w:type="dxa" w:w="900"/>
          </w:tcPr>
          <w:p>
            <w:pPr>
              <w:pStyle w:val="Compact"/>
              <w:jc w:val="left"/>
            </w:pPr>
            <w:r>
              <w:rPr>
                <w:b w:val="0"/>
              </w:rPr>
              <w:t xml:space="preserve">+12.83</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57.59</w:t>
            </w:r>
          </w:p>
        </w:tc>
        <w:tc>
          <w:tcPr>
            <w:tcW w:type="dxa" w:w="900"/>
          </w:tcPr>
          <w:p>
            <w:pPr>
              <w:pStyle w:val="Compact"/>
              <w:jc w:val="center"/>
            </w:pPr>
            <w:r>
              <w:rPr>
                <w:b w:val="0"/>
              </w:rPr>
              <w:t xml:space="preserve">41.91</w:t>
            </w:r>
          </w:p>
        </w:tc>
        <w:tc>
          <w:tcPr>
            <w:tcW w:type="dxa" w:w="900"/>
          </w:tcPr>
          <w:p>
            <w:pPr>
              <w:pStyle w:val="Compact"/>
              <w:jc w:val="center"/>
            </w:pPr>
            <w:r>
              <w:rPr>
                <w:b w:val="0"/>
              </w:rPr>
              <w:t xml:space="preserve">45.76</w:t>
            </w:r>
          </w:p>
        </w:tc>
        <w:tc>
          <w:tcPr>
            <w:tcW w:type="dxa" w:w="900"/>
          </w:tcPr>
          <w:p>
            <w:pPr>
              <w:pStyle w:val="Compact"/>
              <w:jc w:val="left"/>
            </w:pPr>
            <w:r>
              <w:rPr>
                <w:b w:val="0"/>
              </w:rPr>
              <w:t xml:space="preserve">80.15</w:t>
            </w:r>
          </w:p>
        </w:tc>
        <w:tc>
          <w:tcPr>
            <w:tcW w:type="dxa" w:w="900"/>
          </w:tcPr>
          <w:p>
            <w:pPr>
              <w:pStyle w:val="Compact"/>
              <w:jc w:val="left"/>
            </w:pPr>
            <w:r>
              <w:rPr>
                <w:b w:val="0"/>
              </w:rPr>
              <w:t xml:space="preserve">53.07</w:t>
            </w:r>
          </w:p>
        </w:tc>
        <w:tc>
          <w:tcPr>
            <w:tcW w:type="dxa" w:w="900"/>
          </w:tcPr>
          <w:p>
            <w:pPr>
              <w:pStyle w:val="Compact"/>
              <w:jc w:val="left"/>
            </w:pPr>
            <w:r>
              <w:rPr>
                <w:b w:val="0"/>
              </w:rPr>
              <w:t xml:space="preserve">+7.31</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49.00</w:t>
            </w:r>
          </w:p>
        </w:tc>
        <w:tc>
          <w:tcPr>
            <w:tcW w:type="dxa" w:w="900"/>
          </w:tcPr>
          <w:p>
            <w:pPr>
              <w:pStyle w:val="Compact"/>
              <w:jc w:val="center"/>
            </w:pPr>
            <w:r>
              <w:rPr>
                <w:b w:val="0"/>
              </w:rPr>
              <w:t xml:space="preserve">44.97</w:t>
            </w:r>
          </w:p>
        </w:tc>
        <w:tc>
          <w:tcPr>
            <w:tcW w:type="dxa" w:w="900"/>
          </w:tcPr>
          <w:p>
            <w:pPr>
              <w:pStyle w:val="Compact"/>
              <w:jc w:val="center"/>
            </w:pPr>
            <w:r>
              <w:rPr>
                <w:b w:val="0"/>
              </w:rPr>
              <w:t xml:space="preserve">44.00</w:t>
            </w:r>
          </w:p>
        </w:tc>
        <w:tc>
          <w:tcPr>
            <w:tcW w:type="dxa" w:w="900"/>
          </w:tcPr>
          <w:p>
            <w:pPr>
              <w:pStyle w:val="Compact"/>
              <w:jc w:val="left"/>
            </w:pPr>
            <w:r>
              <w:rPr>
                <w:b w:val="0"/>
              </w:rPr>
              <w:t xml:space="preserve">65.23</w:t>
            </w:r>
          </w:p>
        </w:tc>
        <w:tc>
          <w:tcPr>
            <w:tcW w:type="dxa" w:w="900"/>
          </w:tcPr>
          <w:p>
            <w:pPr>
              <w:pStyle w:val="Compact"/>
              <w:jc w:val="left"/>
            </w:pPr>
            <w:r>
              <w:rPr>
                <w:b w:val="0"/>
              </w:rPr>
              <w:t xml:space="preserve">51.85</w:t>
            </w:r>
          </w:p>
        </w:tc>
        <w:tc>
          <w:tcPr>
            <w:tcW w:type="dxa" w:w="900"/>
          </w:tcPr>
          <w:p>
            <w:pPr>
              <w:pStyle w:val="Compact"/>
              <w:jc w:val="left"/>
            </w:pPr>
            <w:r>
              <w:rPr>
                <w:b w:val="0"/>
              </w:rPr>
              <w:t xml:space="preserve">+7.85</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46.09</w:t>
            </w:r>
          </w:p>
        </w:tc>
        <w:tc>
          <w:tcPr>
            <w:tcW w:type="dxa" w:w="900"/>
          </w:tcPr>
          <w:p>
            <w:pPr>
              <w:pStyle w:val="Compact"/>
              <w:jc w:val="center"/>
            </w:pPr>
            <w:r>
              <w:rPr>
                <w:b w:val="0"/>
              </w:rPr>
              <w:t xml:space="preserve">39.74</w:t>
            </w:r>
          </w:p>
        </w:tc>
        <w:tc>
          <w:tcPr>
            <w:tcW w:type="dxa" w:w="900"/>
          </w:tcPr>
          <w:p>
            <w:pPr>
              <w:pStyle w:val="Compact"/>
              <w:jc w:val="center"/>
            </w:pPr>
            <w:r>
              <w:rPr>
                <w:b w:val="0"/>
              </w:rPr>
              <w:t xml:space="preserve">40.09</w:t>
            </w:r>
          </w:p>
        </w:tc>
        <w:tc>
          <w:tcPr>
            <w:tcW w:type="dxa" w:w="900"/>
          </w:tcPr>
          <w:p>
            <w:pPr>
              <w:pStyle w:val="Compact"/>
              <w:jc w:val="left"/>
            </w:pPr>
            <w:r>
              <w:rPr>
                <w:b w:val="0"/>
              </w:rPr>
              <w:t xml:space="preserve">63.27</w:t>
            </w:r>
          </w:p>
        </w:tc>
        <w:tc>
          <w:tcPr>
            <w:tcW w:type="dxa" w:w="900"/>
          </w:tcPr>
          <w:p>
            <w:pPr>
              <w:pStyle w:val="Compact"/>
              <w:jc w:val="left"/>
            </w:pPr>
            <w:r>
              <w:rPr>
                <w:b w:val="0"/>
              </w:rPr>
              <w:t xml:space="preserve">47.57</w:t>
            </w:r>
          </w:p>
        </w:tc>
        <w:tc>
          <w:tcPr>
            <w:tcW w:type="dxa" w:w="900"/>
          </w:tcPr>
          <w:p>
            <w:pPr>
              <w:pStyle w:val="Compact"/>
              <w:jc w:val="left"/>
            </w:pPr>
            <w:r>
              <w:rPr>
                <w:b w:val="0"/>
              </w:rPr>
              <w:t xml:space="preserve">+7.48</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44.80</w:t>
            </w:r>
          </w:p>
        </w:tc>
        <w:tc>
          <w:tcPr>
            <w:tcW w:type="dxa" w:w="900"/>
          </w:tcPr>
          <w:p>
            <w:pPr>
              <w:pStyle w:val="Compact"/>
              <w:jc w:val="center"/>
            </w:pPr>
            <w:r>
              <w:rPr>
                <w:b w:val="0"/>
              </w:rPr>
              <w:t xml:space="preserve">36.62</w:t>
            </w:r>
          </w:p>
        </w:tc>
        <w:tc>
          <w:tcPr>
            <w:tcW w:type="dxa" w:w="900"/>
          </w:tcPr>
          <w:p>
            <w:pPr>
              <w:pStyle w:val="Compact"/>
              <w:jc w:val="center"/>
            </w:pPr>
            <w:r>
              <w:rPr>
                <w:b w:val="0"/>
              </w:rPr>
              <w:t xml:space="preserve">37.12</w:t>
            </w:r>
          </w:p>
        </w:tc>
        <w:tc>
          <w:tcPr>
            <w:tcW w:type="dxa" w:w="900"/>
          </w:tcPr>
          <w:p>
            <w:pPr>
              <w:pStyle w:val="Compact"/>
              <w:jc w:val="left"/>
            </w:pPr>
            <w:r>
              <w:rPr>
                <w:b w:val="0"/>
              </w:rPr>
              <w:t xml:space="preserve">55.19</w:t>
            </w:r>
          </w:p>
        </w:tc>
        <w:tc>
          <w:tcPr>
            <w:tcW w:type="dxa" w:w="900"/>
          </w:tcPr>
          <w:p>
            <w:pPr>
              <w:pStyle w:val="Compact"/>
              <w:jc w:val="left"/>
            </w:pPr>
            <w:r>
              <w:rPr>
                <w:b w:val="0"/>
              </w:rPr>
              <w:t xml:space="preserve">40.77</w:t>
            </w:r>
          </w:p>
        </w:tc>
        <w:tc>
          <w:tcPr>
            <w:tcW w:type="dxa" w:w="900"/>
          </w:tcPr>
          <w:p>
            <w:pPr>
              <w:pStyle w:val="Compact"/>
              <w:jc w:val="left"/>
            </w:pPr>
            <w:r>
              <w:rPr>
                <w:b w:val="0"/>
              </w:rPr>
              <w:t xml:space="preserve">+3.65</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38.78</w:t>
            </w:r>
          </w:p>
        </w:tc>
        <w:tc>
          <w:tcPr>
            <w:tcW w:type="dxa" w:w="900"/>
          </w:tcPr>
          <w:p>
            <w:pPr>
              <w:pStyle w:val="Compact"/>
              <w:jc w:val="center"/>
            </w:pPr>
            <w:r>
              <w:rPr>
                <w:b w:val="0"/>
              </w:rPr>
              <w:t xml:space="preserve">30.41</w:t>
            </w:r>
          </w:p>
        </w:tc>
        <w:tc>
          <w:tcPr>
            <w:tcW w:type="dxa" w:w="900"/>
          </w:tcPr>
          <w:p>
            <w:pPr>
              <w:pStyle w:val="Compact"/>
              <w:jc w:val="center"/>
            </w:pPr>
            <w:r>
              <w:rPr>
                <w:b w:val="0"/>
              </w:rPr>
              <w:t xml:space="preserve">31.13</w:t>
            </w:r>
          </w:p>
        </w:tc>
        <w:tc>
          <w:tcPr>
            <w:tcW w:type="dxa" w:w="900"/>
          </w:tcPr>
          <w:p>
            <w:pPr>
              <w:pStyle w:val="Compact"/>
              <w:jc w:val="left"/>
            </w:pPr>
            <w:r>
              <w:rPr>
                <w:b w:val="0"/>
              </w:rPr>
              <w:t xml:space="preserve">70.58</w:t>
            </w:r>
          </w:p>
        </w:tc>
        <w:tc>
          <w:tcPr>
            <w:tcW w:type="dxa" w:w="900"/>
          </w:tcPr>
          <w:p>
            <w:pPr>
              <w:pStyle w:val="Compact"/>
              <w:jc w:val="left"/>
            </w:pPr>
            <w:r>
              <w:rPr>
                <w:b w:val="0"/>
              </w:rPr>
              <w:t xml:space="preserve">38.90</w:t>
            </w:r>
          </w:p>
        </w:tc>
        <w:tc>
          <w:tcPr>
            <w:tcW w:type="dxa" w:w="900"/>
          </w:tcPr>
          <w:p>
            <w:pPr>
              <w:pStyle w:val="Compact"/>
              <w:jc w:val="left"/>
            </w:pPr>
            <w:r>
              <w:rPr>
                <w:b w:val="0"/>
              </w:rPr>
              <w:t xml:space="preserve">+7.77</w:t>
            </w:r>
          </w:p>
        </w:tc>
      </w:tr>
      <w:tr>
        <w:tc>
          <w:tcPr>
            <w:tcW w:type="dxa" w:w="944"/>
          </w:tcPr>
          <w:p>
            <w:pPr>
              <w:pStyle w:val="Compact"/>
              <w:jc w:val="left"/>
            </w:pPr>
            <w:r>
              <w:rPr>
                <w:b w:val="0"/>
              </w:rPr>
              <w:t>gemma4:12b-mlx_baseline</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51.91</w:t>
            </w:r>
          </w:p>
        </w:tc>
        <w:tc>
          <w:tcPr>
            <w:tcW w:type="dxa" w:w="900"/>
          </w:tcPr>
          <w:p>
            <w:pPr>
              <w:pStyle w:val="Compact"/>
              <w:jc w:val="center"/>
            </w:pPr>
            <w:r>
              <w:rPr>
                <w:b w:val="0"/>
              </w:rPr>
              <w:t xml:space="preserve">66.05</w:t>
            </w:r>
          </w:p>
        </w:tc>
        <w:tc>
          <w:tcPr>
            <w:tcW w:type="dxa" w:w="900"/>
          </w:tcPr>
          <w:p>
            <w:pPr>
              <w:pStyle w:val="Compact"/>
              <w:jc w:val="center"/>
            </w:pPr>
            <w:r>
              <w:rPr>
                <w:b w:val="0"/>
              </w:rPr>
              <w:t xml:space="preserve">56.18</w:t>
            </w:r>
          </w:p>
        </w:tc>
        <w:tc>
          <w:tcPr>
            <w:tcW w:type="dxa" w:w="900"/>
          </w:tcPr>
          <w:p>
            <w:pPr>
              <w:pStyle w:val="Compact"/>
              <w:jc w:val="left"/>
            </w:pPr>
            <w:r>
              <w:rPr>
                <w:b w:val="0"/>
              </w:rPr>
              <w:t xml:space="preserve">83.26</w:t>
            </w:r>
          </w:p>
        </w:tc>
        <w:tc>
          <w:tcPr>
            <w:tcW w:type="dxa" w:w="900"/>
          </w:tcPr>
          <w:p>
            <w:pPr>
              <w:pStyle w:val="Compact"/>
              <w:jc w:val="left"/>
            </w:pPr>
            <w:r>
              <w:rPr>
                <w:b w:val="0"/>
              </w:rPr>
              <w:t xml:space="preserve">73.81</w:t>
            </w:r>
          </w:p>
        </w:tc>
        <w:tc>
          <w:tcPr>
            <w:tcW w:type="dxa" w:w="900"/>
          </w:tcPr>
          <w:p>
            <w:pPr>
              <w:pStyle w:val="Compact"/>
              <w:jc w:val="left"/>
            </w:pPr>
            <w:r>
              <w:rPr>
                <w:b w:val="0"/>
              </w:rPr>
              <w:t xml:space="preserve">+17.63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42.99</w:t>
            </w:r>
          </w:p>
        </w:tc>
        <w:tc>
          <w:tcPr>
            <w:tcW w:type="dxa" w:w="900"/>
          </w:tcPr>
          <w:p>
            <w:pPr>
              <w:pStyle w:val="Compact"/>
              <w:jc w:val="center"/>
            </w:pPr>
            <w:r>
              <w:rPr>
                <w:b w:val="0"/>
              </w:rPr>
              <w:t xml:space="preserve">24.38</w:t>
            </w:r>
          </w:p>
        </w:tc>
        <w:tc>
          <w:tcPr>
            <w:tcW w:type="dxa" w:w="900"/>
          </w:tcPr>
          <w:p>
            <w:pPr>
              <w:pStyle w:val="Compact"/>
              <w:jc w:val="center"/>
            </w:pPr>
            <w:r>
              <w:rPr>
                <w:b w:val="0"/>
              </w:rPr>
              <w:t xml:space="preserve">28.52</w:t>
            </w:r>
          </w:p>
        </w:tc>
        <w:tc>
          <w:tcPr>
            <w:tcW w:type="dxa" w:w="900"/>
          </w:tcPr>
          <w:p>
            <w:pPr>
              <w:pStyle w:val="Compact"/>
              <w:jc w:val="left"/>
            </w:pPr>
            <w:r>
              <w:rPr>
                <w:b w:val="0"/>
              </w:rPr>
              <w:t xml:space="preserve">79.85</w:t>
            </w:r>
          </w:p>
        </w:tc>
        <w:tc>
          <w:tcPr>
            <w:tcW w:type="dxa" w:w="900"/>
          </w:tcPr>
          <w:p>
            <w:pPr>
              <w:pStyle w:val="Compact"/>
              <w:jc w:val="left"/>
            </w:pPr>
            <w:r>
              <w:rPr>
                <w:b w:val="0"/>
              </w:rPr>
              <w:t xml:space="preserve">36.18</w:t>
            </w:r>
          </w:p>
        </w:tc>
        <w:tc>
          <w:tcPr>
            <w:tcW w:type="dxa" w:w="900"/>
          </w:tcPr>
          <w:p>
            <w:pPr>
              <w:pStyle w:val="Compact"/>
              <w:jc w:val="left"/>
            </w:pPr>
            <w:r>
              <w:rPr>
                <w:b w:val="0"/>
              </w:rPr>
              <w:t xml:space="preserve">+7.66</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16.96</w:t>
            </w:r>
          </w:p>
        </w:tc>
        <w:tc>
          <w:tcPr>
            <w:tcW w:type="dxa" w:w="900"/>
          </w:tcPr>
          <w:p>
            <w:pPr>
              <w:pStyle w:val="Compact"/>
              <w:jc w:val="center"/>
            </w:pPr>
            <w:r>
              <w:rPr>
                <w:b w:val="0"/>
              </w:rPr>
              <w:t xml:space="preserve">21.11</w:t>
            </w:r>
          </w:p>
        </w:tc>
        <w:tc>
          <w:tcPr>
            <w:tcW w:type="dxa" w:w="900"/>
          </w:tcPr>
          <w:p>
            <w:pPr>
              <w:pStyle w:val="Compact"/>
              <w:jc w:val="center"/>
            </w:pPr>
            <w:r>
              <w:rPr>
                <w:b w:val="0"/>
              </w:rPr>
              <w:t xml:space="preserve">18.52</w:t>
            </w:r>
          </w:p>
        </w:tc>
        <w:tc>
          <w:tcPr>
            <w:tcW w:type="dxa" w:w="900"/>
          </w:tcPr>
          <w:p>
            <w:pPr>
              <w:pStyle w:val="Compact"/>
              <w:jc w:val="left"/>
            </w:pPr>
            <w:r>
              <w:rPr>
                <w:b w:val="0"/>
              </w:rPr>
              <w:t xml:space="preserve">24.56</w:t>
            </w:r>
          </w:p>
        </w:tc>
        <w:tc>
          <w:tcPr>
            <w:tcW w:type="dxa" w:w="900"/>
          </w:tcPr>
          <w:p>
            <w:pPr>
              <w:pStyle w:val="Compact"/>
              <w:jc w:val="left"/>
            </w:pPr>
            <w:r>
              <w:rPr>
                <w:b w:val="0"/>
              </w:rPr>
              <w:t xml:space="preserve">23.04</w:t>
            </w:r>
          </w:p>
        </w:tc>
        <w:tc>
          <w:tcPr>
            <w:tcW w:type="dxa" w:w="900"/>
          </w:tcPr>
          <w:p>
            <w:pPr>
              <w:pStyle w:val="Compact"/>
              <w:jc w:val="left"/>
            </w:pPr>
            <w:r>
              <w:rPr>
                <w:b w:val="0"/>
              </w:rPr>
              <w:t xml:space="preserve">+4.51</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29.96</w:t>
            </w:r>
          </w:p>
        </w:tc>
        <w:tc>
          <w:tcPr>
            <w:tcW w:type="dxa" w:w="900"/>
          </w:tcPr>
          <w:p>
            <w:pPr>
              <w:pStyle w:val="Compact"/>
              <w:jc w:val="center"/>
            </w:pPr>
            <w:r>
              <w:rPr>
                <w:b w:val="0"/>
              </w:rPr>
              <w:t xml:space="preserve">24.72</w:t>
            </w:r>
          </w:p>
        </w:tc>
        <w:tc>
          <w:tcPr>
            <w:tcW w:type="dxa" w:w="900"/>
          </w:tcPr>
          <w:p>
            <w:pPr>
              <w:pStyle w:val="Compact"/>
              <w:jc w:val="center"/>
            </w:pPr>
            <w:r>
              <w:rPr>
                <w:b w:val="0"/>
              </w:rPr>
              <w:t xml:space="preserve">24.83</w:t>
            </w:r>
          </w:p>
        </w:tc>
        <w:tc>
          <w:tcPr>
            <w:tcW w:type="dxa" w:w="900"/>
          </w:tcPr>
          <w:p>
            <w:pPr>
              <w:pStyle w:val="Compact"/>
              <w:jc w:val="left"/>
            </w:pPr>
            <w:r>
              <w:rPr>
                <w:b w:val="0"/>
              </w:rPr>
              <w:t xml:space="preserve">43.27</w:t>
            </w:r>
          </w:p>
        </w:tc>
        <w:tc>
          <w:tcPr>
            <w:tcW w:type="dxa" w:w="900"/>
          </w:tcPr>
          <w:p>
            <w:pPr>
              <w:pStyle w:val="Compact"/>
              <w:jc w:val="left"/>
            </w:pPr>
            <w:r>
              <w:rPr>
                <w:b w:val="0"/>
              </w:rPr>
              <w:t xml:space="preserve">29.34</w:t>
            </w:r>
          </w:p>
        </w:tc>
        <w:tc>
          <w:tcPr>
            <w:tcW w:type="dxa" w:w="900"/>
          </w:tcPr>
          <w:p>
            <w:pPr>
              <w:pStyle w:val="Compact"/>
              <w:jc w:val="left"/>
            </w:pPr>
            <w:r>
              <w:rPr>
                <w:b w:val="0"/>
              </w:rPr>
              <w:t xml:space="preserve">+4.50</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28.35</w:t>
            </w:r>
          </w:p>
        </w:tc>
        <w:tc>
          <w:tcPr>
            <w:tcW w:type="dxa" w:w="900"/>
          </w:tcPr>
          <w:p>
            <w:pPr>
              <w:pStyle w:val="Compact"/>
              <w:jc w:val="center"/>
            </w:pPr>
            <w:r>
              <w:rPr>
                <w:b w:val="0"/>
              </w:rPr>
              <w:t xml:space="preserve">24.71</w:t>
            </w:r>
          </w:p>
        </w:tc>
        <w:tc>
          <w:tcPr>
            <w:tcW w:type="dxa" w:w="900"/>
          </w:tcPr>
          <w:p>
            <w:pPr>
              <w:pStyle w:val="Compact"/>
              <w:jc w:val="center"/>
            </w:pPr>
            <w:r>
              <w:rPr>
                <w:b w:val="0"/>
              </w:rPr>
              <w:t xml:space="preserve">23.94</w:t>
            </w:r>
          </w:p>
        </w:tc>
        <w:tc>
          <w:tcPr>
            <w:tcW w:type="dxa" w:w="900"/>
          </w:tcPr>
          <w:p>
            <w:pPr>
              <w:pStyle w:val="Compact"/>
              <w:jc w:val="left"/>
            </w:pPr>
            <w:r>
              <w:rPr>
                <w:b w:val="0"/>
              </w:rPr>
              <w:t xml:space="preserve">36.13</w:t>
            </w:r>
          </w:p>
        </w:tc>
        <w:tc>
          <w:tcPr>
            <w:tcW w:type="dxa" w:w="900"/>
          </w:tcPr>
          <w:p>
            <w:pPr>
              <w:pStyle w:val="Compact"/>
              <w:jc w:val="left"/>
            </w:pPr>
            <w:r>
              <w:rPr>
                <w:b w:val="0"/>
              </w:rPr>
              <w:t xml:space="preserve">26.91</w:t>
            </w:r>
          </w:p>
        </w:tc>
        <w:tc>
          <w:tcPr>
            <w:tcW w:type="dxa" w:w="900"/>
          </w:tcPr>
          <w:p>
            <w:pPr>
              <w:pStyle w:val="Compact"/>
              <w:jc w:val="left"/>
            </w:pPr>
            <w:r>
              <w:rPr>
                <w:b w:val="0"/>
              </w:rPr>
              <w:t xml:space="preserve">+2.97</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34.50</w:t>
            </w:r>
          </w:p>
        </w:tc>
        <w:tc>
          <w:tcPr>
            <w:tcW w:type="dxa" w:w="900"/>
          </w:tcPr>
          <w:p>
            <w:pPr>
              <w:pStyle w:val="Compact"/>
              <w:jc w:val="center"/>
            </w:pPr>
            <w:r>
              <w:rPr>
                <w:b w:val="0"/>
              </w:rPr>
              <w:t xml:space="preserve">21.20</w:t>
            </w:r>
          </w:p>
        </w:tc>
        <w:tc>
          <w:tcPr>
            <w:tcW w:type="dxa" w:w="900"/>
          </w:tcPr>
          <w:p>
            <w:pPr>
              <w:pStyle w:val="Compact"/>
              <w:jc w:val="center"/>
            </w:pPr>
            <w:r>
              <w:rPr>
                <w:b w:val="0"/>
              </w:rPr>
              <w:t xml:space="preserve">22.59</w:t>
            </w:r>
          </w:p>
        </w:tc>
        <w:tc>
          <w:tcPr>
            <w:tcW w:type="dxa" w:w="900"/>
          </w:tcPr>
          <w:p>
            <w:pPr>
              <w:pStyle w:val="Compact"/>
              <w:jc w:val="left"/>
            </w:pPr>
            <w:r>
              <w:rPr>
                <w:b w:val="0"/>
              </w:rPr>
              <w:t xml:space="preserve">46.59</w:t>
            </w:r>
          </w:p>
        </w:tc>
        <w:tc>
          <w:tcPr>
            <w:tcW w:type="dxa" w:w="900"/>
          </w:tcPr>
          <w:p>
            <w:pPr>
              <w:pStyle w:val="Compact"/>
              <w:jc w:val="left"/>
            </w:pPr>
            <w:r>
              <w:rPr>
                <w:b w:val="0"/>
              </w:rPr>
              <w:t xml:space="preserve">25.28</w:t>
            </w:r>
          </w:p>
        </w:tc>
        <w:tc>
          <w:tcPr>
            <w:tcW w:type="dxa" w:w="900"/>
          </w:tcPr>
          <w:p>
            <w:pPr>
              <w:pStyle w:val="Compact"/>
              <w:jc w:val="left"/>
            </w:pPr>
            <w:r>
              <w:rPr>
                <w:b w:val="0"/>
              </w:rPr>
              <w:t xml:space="preserve">+2.68</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35.16</w:t>
            </w:r>
          </w:p>
        </w:tc>
        <w:tc>
          <w:tcPr>
            <w:tcW w:type="dxa" w:w="900"/>
          </w:tcPr>
          <w:p>
            <w:pPr>
              <w:pStyle w:val="Compact"/>
              <w:jc w:val="center"/>
            </w:pPr>
            <w:r>
              <w:rPr>
                <w:b w:val="0"/>
              </w:rPr>
              <w:t xml:space="preserve">16.39</w:t>
            </w:r>
          </w:p>
        </w:tc>
        <w:tc>
          <w:tcPr>
            <w:tcW w:type="dxa" w:w="900"/>
          </w:tcPr>
          <w:p>
            <w:pPr>
              <w:pStyle w:val="Compact"/>
              <w:jc w:val="center"/>
            </w:pPr>
            <w:r>
              <w:rPr>
                <w:b w:val="0"/>
              </w:rPr>
              <w:t xml:space="preserve">19.54</w:t>
            </w:r>
          </w:p>
        </w:tc>
        <w:tc>
          <w:tcPr>
            <w:tcW w:type="dxa" w:w="900"/>
          </w:tcPr>
          <w:p>
            <w:pPr>
              <w:pStyle w:val="Compact"/>
              <w:jc w:val="left"/>
            </w:pPr>
            <w:r>
              <w:rPr>
                <w:b w:val="0"/>
              </w:rPr>
              <w:t xml:space="preserve">40.45</w:t>
            </w:r>
          </w:p>
        </w:tc>
        <w:tc>
          <w:tcPr>
            <w:tcW w:type="dxa" w:w="900"/>
          </w:tcPr>
          <w:p>
            <w:pPr>
              <w:pStyle w:val="Compact"/>
              <w:jc w:val="left"/>
            </w:pPr>
            <w:r>
              <w:rPr>
                <w:b w:val="0"/>
              </w:rPr>
              <w:t xml:space="preserve">21.26</w:t>
            </w:r>
          </w:p>
        </w:tc>
        <w:tc>
          <w:tcPr>
            <w:tcW w:type="dxa" w:w="900"/>
          </w:tcPr>
          <w:p>
            <w:pPr>
              <w:pStyle w:val="Compact"/>
              <w:jc w:val="left"/>
            </w:pPr>
            <w:r>
              <w:rPr>
                <w:b w:val="0"/>
              </w:rPr>
              <w:t xml:space="preserve">+1.72</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22.28</w:t>
            </w:r>
          </w:p>
        </w:tc>
        <w:tc>
          <w:tcPr>
            <w:tcW w:type="dxa" w:w="900"/>
          </w:tcPr>
          <w:p>
            <w:pPr>
              <w:pStyle w:val="Compact"/>
              <w:jc w:val="center"/>
            </w:pPr>
            <w:r>
              <w:rPr>
                <w:b w:val="0"/>
              </w:rPr>
              <w:t xml:space="preserve">17.41</w:t>
            </w:r>
          </w:p>
        </w:tc>
        <w:tc>
          <w:tcPr>
            <w:tcW w:type="dxa" w:w="900"/>
          </w:tcPr>
          <w:p>
            <w:pPr>
              <w:pStyle w:val="Compact"/>
              <w:jc w:val="center"/>
            </w:pPr>
            <w:r>
              <w:rPr>
                <w:b w:val="0"/>
              </w:rPr>
              <w:t xml:space="preserve">16.82</w:t>
            </w:r>
          </w:p>
        </w:tc>
        <w:tc>
          <w:tcPr>
            <w:tcW w:type="dxa" w:w="900"/>
          </w:tcPr>
          <w:p>
            <w:pPr>
              <w:pStyle w:val="Compact"/>
              <w:jc w:val="left"/>
            </w:pPr>
            <w:r>
              <w:rPr>
                <w:b w:val="0"/>
              </w:rPr>
              <w:t xml:space="preserve">30.80</w:t>
            </w:r>
          </w:p>
        </w:tc>
        <w:tc>
          <w:tcPr>
            <w:tcW w:type="dxa" w:w="900"/>
          </w:tcPr>
          <w:p>
            <w:pPr>
              <w:pStyle w:val="Compact"/>
              <w:jc w:val="left"/>
            </w:pPr>
            <w:r>
              <w:rPr>
                <w:b w:val="0"/>
              </w:rPr>
              <w:t xml:space="preserve">20.11</w:t>
            </w:r>
          </w:p>
        </w:tc>
        <w:tc>
          <w:tcPr>
            <w:tcW w:type="dxa" w:w="900"/>
          </w:tcPr>
          <w:p>
            <w:pPr>
              <w:pStyle w:val="Compact"/>
              <w:jc w:val="left"/>
            </w:pPr>
            <w:r>
              <w:rPr>
                <w:b w:val="0"/>
              </w:rPr>
              <w:t xml:space="preserve">+3.29</w:t>
            </w:r>
          </w:p>
        </w:tc>
      </w:tr>
      <w:tr>
        <w:tc>
          <w:tcPr>
            <w:tcW w:type="dxa" w:w="944"/>
          </w:tcPr>
          <w:p>
            <w:pPr>
              <w:pStyle w:val="Compact"/>
              <w:jc w:val="left"/>
            </w:pPr>
            <w:r>
              <w:rPr>
                <w:b w:val="0"/>
              </w:rPr>
              <w:t>gemma4:12b-mlx_kb_rag</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53.29</w:t>
            </w:r>
          </w:p>
        </w:tc>
        <w:tc>
          <w:tcPr>
            <w:tcW w:type="dxa" w:w="900"/>
          </w:tcPr>
          <w:p>
            <w:pPr>
              <w:pStyle w:val="Compact"/>
              <w:jc w:val="center"/>
            </w:pPr>
            <w:r>
              <w:rPr>
                <w:b w:val="0"/>
              </w:rPr>
              <w:t xml:space="preserve">68.33</w:t>
            </w:r>
          </w:p>
        </w:tc>
        <w:tc>
          <w:tcPr>
            <w:tcW w:type="dxa" w:w="900"/>
          </w:tcPr>
          <w:p>
            <w:pPr>
              <w:pStyle w:val="Compact"/>
              <w:jc w:val="center"/>
            </w:pPr>
            <w:r>
              <w:rPr>
                <w:b w:val="0"/>
              </w:rPr>
              <w:t xml:space="preserve">58.46</w:t>
            </w:r>
          </w:p>
        </w:tc>
        <w:tc>
          <w:tcPr>
            <w:tcW w:type="dxa" w:w="900"/>
          </w:tcPr>
          <w:p>
            <w:pPr>
              <w:pStyle w:val="Compact"/>
              <w:jc w:val="left"/>
            </w:pPr>
            <w:r>
              <w:rPr>
                <w:b w:val="0"/>
              </w:rPr>
              <w:t xml:space="preserve">80.50</w:t>
            </w:r>
          </w:p>
        </w:tc>
        <w:tc>
          <w:tcPr>
            <w:tcW w:type="dxa" w:w="900"/>
          </w:tcPr>
          <w:p>
            <w:pPr>
              <w:pStyle w:val="Compact"/>
              <w:jc w:val="left"/>
            </w:pPr>
            <w:r>
              <w:rPr>
                <w:b w:val="0"/>
              </w:rPr>
              <w:t xml:space="preserve">74.30</w:t>
            </w:r>
          </w:p>
        </w:tc>
        <w:tc>
          <w:tcPr>
            <w:tcW w:type="dxa" w:w="900"/>
          </w:tcPr>
          <w:p>
            <w:pPr>
              <w:pStyle w:val="Compact"/>
              <w:jc w:val="left"/>
            </w:pPr>
            <w:r>
              <w:rPr>
                <w:b w:val="0"/>
              </w:rPr>
              <w:t xml:space="preserve">+15.84</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 xml:space="preserve">gemma4:31b-mlx</w:t>
      </w:r>
      <w:r>
        <w:t xml:space="preserve">, pasa de 62,67 % a 76,55 % de F1 y supera el umbral</w:t>
      </w:r>
      <w:r>
        <w:rPr>
          <w:b/>
        </w:rPr>
        <w:t xml:space="preserve"/>
      </w:r>
      <w:r>
        <w:t xml:space="preserve"> de 70 % que fija la hipótesis sobre material periodístico mayoritariamente en español. La variante en la nube del mismo modelo conserva su ventaja (80,42 % frente a 76,55 %), de modo que la corrección </w:t>
      </w:r>
      <w:r>
        <w:rPr>
          <w:b/>
        </w:rPr>
        <w:t xml:space="preserve">no</w:t>
      </w:r>
      <w:r>
        <w:t xml:space="preserve"> altera la conclusión sobre la comparación entre ejecución local y alojada.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2026-09-02T00:06:14Z</dcterms:created>
  <dcterms:modified xsi:type="dcterms:W3CDTF">2026-09-02T00:06:14Z</dcterms:modified>
</cp:coreProperties>
</file>

<file path=docProps/custom.xml><?xml version="1.0" encoding="utf-8"?>
<Properties xmlns="http://schemas.openxmlformats.org/officeDocument/2006/custom-properties" xmlns:vt="http://schemas.openxmlformats.org/officeDocument/2006/docPropsVTypes"/>
</file>