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el 65 % de los falsos positivos del estudio, 20 946 de 32 201,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5.33</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5.33</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tres categorías de entidad, personas, organizaciones y localizaciones, pero ninguno de los tres corpus anota la tercera. Como se explica en §3.3, eso convierte toda localización correctamente identificada en un falso positivo, y de ahí procede el 65 %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20946 de los 32201 falsos positivos del estudio (65.0 %) proceden de la categoría no anotada.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