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y 30 del dominio en inglés; contrastó la extracción directa con la generación aumentada por recuperación (RAG) contextual y midió las diferencias con ANOVA y Tukey HSD. El beneficio del RAG decrece con la capacidad del modelo: solo alcanza significancia en dos de los trece (+14,5 y +10,8 puntos de F1) y es nulo o adverso en los mayores. Redactar el prompt en español con ejemplos </w:t>
      </w:r>
      <w:r>
        <w:rPr>
          <w:i/>
        </w:rPr>
        <w:t>few-shot</w:t>
      </w:r>
      <w:r>
        <w:t xml:space="preserve"> aporta +10,4 puntos en el corpus de quince artículos, mejora que no replica sobre el corpus mayor. Restringida la medición a las categorías que el corpus anota, el mejor modelo local alcanza 76,85 % de F1 en español y 90,91 % en el dominio, preservando la confidencialidad.</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and 30 domain ones in English; contrasted direct extraction with contextual retrieval-augmented generation (RAG) and measured the differences with ANOVA and Tukey HSD. The benefit of RAG decreases with model capacity: it reaches significance in only two of the thirteen (+14.5 and +10.8 F1 points) and is null or adverse in the larger ones. Writing the prompt in Spanish with </w:t>
      </w:r>
      <w:r>
        <w:rPr>
          <w:i/>
        </w:rPr>
        <w:t>few-shot</w:t>
      </w:r>
      <w:r>
        <w:t xml:space="preserve"> examples yields +10.4 points on the fifteen-article corpus, an improvement that does not replicate on the larger corpus. With scoring restricted to the categories the corpus annotates, the best local model reaches 76.85 % F1 in Spanish and 90.91 % on the domain corpus, preserving confidentiality.</w:t>
      </w:r>
    </w:p>
    <w:p>
      <w:pPr>
        <w:numPr>
          <w:ilvl w:val="0"/>
          <w:numId w:val="0"/>
        </w:numPr>
        <w:pStyle w:val="keywords"/>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w:t>
      </w:r>
    </w:p>
    <w:p>
      <w:pPr>
        <w:numPr>
          <w:ilvl w:val="0"/>
          <w:numId w:val="0"/>
        </w:numPr>
        <w:pStyle w:val="numbereditem"/>
      </w:pPr>
      <w:r>
        <w:t>Conclusiones y Trabajo Futuro</w:t>
      </w:r>
    </w:p>
    <w:p>
      <w:pPr>
        <w:numPr>
          <w:ilvl w:val="0"/>
          <w:numId w:val="0"/>
        </w:numPr>
        <w:pStyle w:val="numbereditem"/>
      </w:pPr>
      <w:r>
        <w:t>Referencias Bibliográficas</w:t>
      </w:r>
    </w:p>
    <w:p>
      <w:pPr>
        <w:numPr>
          <w:ilvl w:val="0"/>
          <w:numId w:val="0"/>
        </w:numPr>
        <w:pStyle w:val="numbered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brecha que este trabajo aborda se sitúa precisamente en esa intersección vacía: obtener un desempeño aprovechable sin datos etiquetados del dominio y sin ceder los datos a un tercero.</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numbereditem"/>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Familias de técnicas para el reconocimiento de entidades y su comportamiento frente a los criterios de selección.</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[5],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p1a"/>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dxa" w:w="8838"/>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76,85 %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última columna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w:t>
      </w:r>
    </w:p>
    <w:p>
      <w:pPr>
        <w:numPr>
          <w:ilvl w:val="0"/>
          <w:numId w:val="0"/>
        </w:numPr>
        <w:pStyle w:val="tablecaption"/>
      </w:pPr>
      <w:r>
        <w:t>Tabla 3. Arquitectura del sistema por capas, con sus módulos y su detalle técnico.</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tres corpus anotan únicamente las dos primeras: el campo de localizaciones está vacío en los ciento veinte registros. Como el evaluador puntúa las tres categorías, toda localización que el modelo devuelve se contabiliza como falso positivo, sin que exista ninguna forma de acertar en ella. El efecto no es menor: </w:t>
      </w:r>
      <w:r>
        <w:rPr>
          <w:b/>
        </w:rPr>
        <w:t>el 65 % de los falsos positivos del estudio, 20 946 de 32 201, proceden de esa categoría</w:t>
      </w:r>
      <w:r>
        <w:t xml:space="preserve">.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w:t>
      </w:r>
      <w:r>
        <w:rPr>
          <w:b/>
        </w:rPr>
        <w:t>restringida a las categorías que el corpus efectivamente anota</w:t>
      </w:r>
      <w:r>
        <w:t>, que se obtiene reagregando los desgloses por tipo ya almacenados y no requiere repetir la inferencia. Las cifras originales se conservan íntegras junto a ella, de modo que el lector pueda juzgar el alcance de la corrección; la Tabla del Anexo I recoge ambas para las cuarenta y nueve configuraciones medidas sobre el corpus N=120.</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dos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4.1.3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(§5.3.5)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tres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tres ejemplos empleados en la configuración few-shot en español cubren un caso de persona sancionada, uno de organización y uno de mención ambigua;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p1a"/>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los segundos que tarda el sistema en procesar un artículo, pero no permite comparar modelos entre sí cuando las corridas usaron distinta concurrencia o distinto hardware, como ocurre en este estudio.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a nivel micro por artículo antes de promediarse entre artículos.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dxa" w:w="8838"/>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5.33</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5.33</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el índice Tok/s/B sí lo es. Quedan fuera de la tabla los modelos excluidos del estudio (</w:t>
      </w:r>
      <w:r>
        <w:t>nuextract:latest</w:t>
      </w:r>
      <w:r>
        <w:t xml:space="preserve">, </w:t>
      </w:r>
      <w:r>
        <w:t>gemini-3.1-flash-lite</w:t>
      </w:r>
      <w:r>
        <w:t xml:space="preserve">, </w:t>
      </w:r>
      <w:r>
        <w:t>minimax-m3</w:t>
      </w:r>
      <w:r>
        <w:t xml:space="preserve">).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gemma4:31b lidera en Recall entre los locales (86.80%) con una tasa de alucinación de 0.16%, y su contraparte cloud alcanza un Recall equivalente (86.88%).</w:t>
      </w:r>
    </w:p>
    <w:p>
      <w:pPr>
        <w:numPr>
          <w:ilvl w:val="0"/>
          <w:numId w:val="0"/>
        </w:numPr>
        <w:pStyle w:val="p1a"/>
      </w:pPr>
      <w:r>
        <w:rPr>
          <w:b/>
        </w:rPr>
        <w:t>Hallazgo 3:</w:t>
      </w:r>
      <w:r>
        <w:t xml:space="preserve"> deepseek-r1:1.5b debe descartarse para producción: F1 de 27.65% y Recall de sólo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dxa" w:w="8838"/>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p1a"/>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6. Validación estadística sobre el corpus del dominio (N=30), con intervalos de confianza del 95 %.</w:t>
      </w:r>
    </w:p>
    <w:tbl>
      <w:tblPr>
        <w:tblStyle w:val="Table"/>
        <w:tblW w:type="dxa" w:w="8838"/>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Normal"/>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p1a"/>
      </w:pPr>
      <w:r>
        <w:t xml:space="preserve">Sobre el corpus real N=120 descrito en §4.1.3 se ejecutó el mismo protocolo (ANOVA de una vía + Tukey HSD) para el estudio completo de 13 modelos,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7. Efecto de la base de conocimientos contextual sobre el corpus real (N=120, trece modelos).</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−0.54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p1a"/>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p1a"/>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Normal"/>
      </w:pPr>
      <w:r>
        <w:t xml:space="preserve">El ANOVA de una vía sobre los veintiséis grupos arroja </w:t>
      </w:r>
      <w:r>
        <w:rPr>
          <w:b/>
        </w:rPr>
        <w:t>F = 38,2222</w:t>
      </w:r>
      <w:r>
        <w:t xml:space="preserve"> con p = 3,4453 × 10⁻¹⁶⁰, de modo que se rechaza la hipótesis nula: las diferencias de desempeño entre modelos y modos son estadísticamente significativas, con una potencia muy superior a la del corpus del dominio, donde la comparación entre las dos compilaciones de 31B no alcanzaba significancia. El post-hoc de Tukey identifica 158 comparaciones significativas de las 325 posibles; pero al contrastar cada modelo consigo mismo (extracción directa frente a KB RAG) la mejora solo supera la corrección por comparaciones múltiples en </w:t>
      </w:r>
      <w:r>
        <w:t>nemotron-mini:4b</w:t>
      </w:r>
      <w:r>
        <w:t xml:space="preserve">, con 14,52 puntos, y en </w:t>
      </w:r>
      <w:r>
        <w:t>llama3.2:latest</w:t>
      </w:r>
      <w:r>
        <w:t>, con 10,82. Conviene declarar una limitación del contraste: los veintiséis grupos evalúan los mismos 120 artículos, de modo que las observaciones están apareadas y un modelo de medidas repetidas sería el procedimiento estrictamente correcto. La homocedasticidad se verifica (Levene, p = 0,18) y, al ser el diseño pareado más potente que el independiente, la significancia obtenida por esta vía es conservadora.</w:t>
      </w:r>
    </w:p>
    <w:p>
      <w:pPr>
        <w:numPr>
          <w:ilvl w:val="0"/>
          <w:numId w:val="0"/>
        </w:numPr>
        <w:pStyle w:val="Normal"/>
      </w:pPr>
      <w:r>
        <w:t>Ese resultado dibuja el hallazgo central del estudio: el beneficio del KB RAG es inversamente proporcional a la capacidad del modelo. Aporta de forma demostrable en los dos modelos más débiles, es positivo pero no concluyente en la franja intermedia y se anula o revierte en los de mayor capacidad (−0,54 y −0,18 puntos en los dos de 31B), que ya siguen correctamente las instrucciones sin contexto adicional. Nueve de los trece modelos mejoran, aunque solo dos lo hagan de manera estadísticamente sólida.</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de las extracciones revela tres patrones de error recurrentes. Los </w:t>
      </w:r>
      <w:r>
        <w:rPr>
          <w:b/>
        </w:rPr>
        <w:t>errores de límite</w:t>
      </w:r>
      <w:r>
        <w:t xml:space="preserve"> son los más frecuentes: el modelo incorpora al nombre preposiciones o aposiciones descriptivas, y extrae «Isabel dos Santos, hija del expresidente» donde la referencia registra solo «Isabel dos Santos». El cotejo difuso descrito en §4.4 absorbe buena parte de estos casos, que rara vez alteran la identificación de la entidad. La </w:t>
      </w:r>
      <w:r>
        <w:rPr>
          <w:b/>
        </w:rPr>
        <w:t>confusión de tipo</w:t>
      </w:r>
      <w:r>
        <w:t xml:space="preserve"> aparece cuando una organización se clasifica como localización («Sonangol», la petrolera estatal angoleña según el propio artículo del corpus, etiquetada como lugar), error más costoso porque desplaza la entidad de la categoría en que un analista de cumplimiento la buscaría. Las </w:t>
      </w:r>
      <w:r>
        <w:rPr>
          <w:b/>
        </w:rPr>
        <w:t>alucinaciones extrínsecas</w:t>
      </w:r>
      <w:r>
        <w:t xml:space="preserve">, en las que el modelo propone entidades procedentes de su memoria paramétrica y ausentes del texto, resultaron ser el problema menos extendido: la instrucción de restringir la extracción al artículo presente las mantiene por debajo del 1 % en los modelos de mayor capacidad, aunque superan el 13 % en </w:t>
      </w:r>
      <w:r>
        <w:t>deepseek-r1:1.5b</w:t>
      </w:r>
      <w:r>
        <w:t>.</w:t>
      </w:r>
    </w:p>
    <w:p>
      <w:pPr>
        <w:numPr>
          <w:ilvl w:val="0"/>
          <w:numId w:val="0"/>
        </w:numPr>
        <w:pStyle w:val="heading2"/>
      </w:pPr>
      <w:r>
        <w:t>5.5 Análisis de Eficiencia en Hardware Soberano</w:t>
      </w:r>
    </w:p>
    <w:p>
      <w:pPr>
        <w:numPr>
          <w:ilvl w:val="0"/>
          <w:numId w:val="0"/>
        </w:numPr>
        <w:pStyle w:val="tablecaption"/>
      </w:pPr>
      <w:r>
        <w:t>Tabla 8. Eficiencia en hardware soberano: memoria, rendimiento y coste estimado por artículo.</w:t>
      </w:r>
    </w:p>
    <w:tbl>
      <w:tblPr>
        <w:tblStyle w:val="Table"/>
        <w:tblW w:type="dxa" w:w="8838"/>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552"/>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de las listas de sanciones de OpenSanctions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doce de los catorce modelos con par completo de resultados empeoraron al activarlo (los quince solicitados menos </w:t>
      </w:r>
      <w:r>
        <w:t>gpt-oss:20b</w:t>
      </w:r>
      <w:r>
        <w:t>, que no llegó a ejecutarse), y entre ellos los de mejor desempeño base; solo mejoraron los dos servidos en la nube.</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§5.3.5,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no se alcanza sobre el corpus periodístico general, cuyo mejor resultado local es 59,25 % (</w:t>
      </w:r>
      <w:r>
        <w:t>gemma4:31b-mlx</w:t>
      </w:r>
      <w:r>
        <w:t>) sobre N=120. La hipótesis queda por tanto confirmada para el dominio específico de sanciones financieras y no confirmada para corpus periodísticos heterogéneos.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equivalencia entre ejecución local y en la nube.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con la medición restringida a las categorías que el corpus anota, </w:t>
      </w:r>
      <w:r>
        <w:rPr>
          <w:b/>
        </w:rPr>
        <w:t>76,85 % de F1 sobre el corpus periodístico de ciento veinte artículos</w:t>
      </w:r>
      <w:r>
        <w:t xml:space="preserve"> —de los que 105 están en español— y </w:t>
      </w:r>
      <w:r>
        <w:rPr>
          <w:b/>
        </w:rPr>
        <w:t>90,91 % sobre el corpus del dominio de treinta artículos</w:t>
      </w:r>
      <w:r>
        <w:t>, que está redactado en inglés. Bajo la convención original, que puntúa también una categoría sin anotar, las cifras equivalentes son 62,67 % y 80,51 %. En ninguno de los dos corpus se registraron extracciones fallidas.</w:t>
      </w:r>
    </w:p>
    <w:p>
      <w:pPr>
        <w:numPr>
          <w:ilvl w:val="0"/>
          <w:numId w:val="0"/>
        </w:numPr>
        <w:pStyle w:val="numbereditem"/>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numbereditem"/>
      </w:pPr>
      <w:r>
        <w:t xml:space="preserve">Soberanía de datos con un coste de rendimiento acotado: sobre el corpus de quince artículos la ejecución local supera a la alojada (69,12 % frente a 66,99 % de F1), pero ese experimento es el de menor potencia estadística y el estudio principal lo contradice: sobre los ciento veinte artículos, y con la medición restringida a las categorías anotadas, la variante en la nube del mismo modelo obtiene 81,45 % frente al 76,85 % del mejor local. La conclusión sostenible no es la equivalencia sino que </w:t>
      </w:r>
      <w:r>
        <w:rPr>
          <w:b/>
        </w:rPr>
        <w:t>la soberanía cuesta unos cinco puntos de F1</w:t>
      </w:r>
      <w:r>
        <w:t>, un precio que en un entorno regulado puede resultar razonable, y que se paga a cambio de no transferir texto de clientes a un tercero.</w:t>
      </w:r>
    </w:p>
    <w:p>
      <w:pPr>
        <w:numPr>
          <w:ilvl w:val="0"/>
          <w:numId w:val="0"/>
        </w:numPr>
        <w:pStyle w:val="numbereditem"/>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numbereditem"/>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dos de los trece modelos (</w:t>
      </w:r>
      <w:r>
        <w:t>nemotron-mini:4b</w:t>
      </w:r>
      <w:r>
        <w:t xml:space="preserve"> </w:t>
      </w:r>
      <w:r>
        <w:rPr>
          <w:b/>
        </w:rPr>
        <w:t>+14,52 pp</w:t>
      </w:r>
      <w:r>
        <w:t xml:space="preserve">, p&lt;0,001, y </w:t>
      </w:r>
      <w:r>
        <w:t>llama3.2:latest</w:t>
      </w:r>
      <w:r>
        <w:t xml:space="preserve"> </w:t>
      </w:r>
      <w:r>
        <w:rPr>
          <w:b/>
        </w:rPr>
        <w:t>+10,82 pp</w:t>
      </w:r>
      <w:r>
        <w:t xml:space="preserve">, p=0,007; conviene precisar que este último no es el segundo más débil del estudio sino el tercero por la cola, y que el segundo, </w:t>
      </w:r>
      <w:r>
        <w:t>deepseek-r1:1.5b</w:t>
      </w:r>
      <w:r>
        <w:t xml:space="preserve">, empeora 0,90 puntos con KB RAG), con ganancias positivas pero no concluyentes en la franja intermedia y efecto nulo en los modelos de 31B, versus el dict-RAG (v1.0), que en un sondeo exploratorio N=5 sobre el mismo modelo, no persistido en </w:t>
      </w:r>
      <w:r>
        <w:t>results/</w:t>
      </w:r>
      <w:r>
        <w:t xml:space="preserve">, degradó el F1 hasta 0.2367 (−57.8% respecto de su propio baseline), degradación confirmada después en la corrida reproducible N=120, donde ese mismo modelo cae de 0.3611 a 0.3113. Su efectividad parece modularse por la capacidad paramétrica, beneficiando sobre todo a los modelos de 3 a 14 mil millones de parámetros, donde actúa como memoria externa de conocimiento lingüístico sin coste adicional de hardware. La relación es una </w:t>
      </w:r>
      <w:r>
        <w:rPr>
          <w:b/>
        </w:rPr>
        <w:t>tendencia y no un resultado significativo</w:t>
      </w:r>
      <w:r>
        <w:t>: la correlación por rangos entre capacidad y beneficio da ρ = −0,52 con p = 0,071, que no alcanza el nivel de significación que este trabajo fija, con trece modelos como tamaño de muestra. Este hallazgo tiene implicaciones directas para el diseño de sistemas RAG en dominio abierto con LLMs soberanos.</w:t>
      </w:r>
    </w:p>
    <w:p>
      <w:pPr>
        <w:numPr>
          <w:ilvl w:val="0"/>
          <w:numId w:val="0"/>
        </w:numPr>
        <w:pStyle w:val="numbereditem"/>
      </w:pPr>
      <w:r>
        <w:t xml:space="preserve">La codificación del corpus condiciona la medición, y no de forma neutra: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diecinueve de las veinticuatro configuraciones medidas puntúan </w:t>
      </w:r>
      <w:r>
        <w:rPr>
          <w:b/>
        </w:rPr>
        <w:t>mejor</w:t>
      </w:r>
      <w:r>
        <w:t xml:space="preserve"> en los artículos afectados, porque el cotejo premia transcribir los bytes literalmente y penaliza al modelo que escribe el nombre correctamente. Cuando está en el texto de entrada, diecinueve de veinticuatro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w:t>
      </w:r>
      <w:r>
        <w:rPr>
          <w:b/>
        </w:rPr>
        <w:t>de la entrada y de la referencia 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numbereditem"/>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numbereditem"/>
      </w:pPr>
      <w:r>
        <w:t>Expansión del corpus de evaluación (Fase 2): Ampliar el corpus de N=120 a N≥200 artículos reales del dominio AML/KYC chileno, incorporando fuentes como la UAF, CMF y bases de datos de OpenSanctions [19].</w:t>
      </w:r>
    </w:p>
    <w:p>
      <w:pPr>
        <w:numPr>
          <w:ilvl w:val="0"/>
          <w:numId w:val="0"/>
        </w:numPr>
        <w:pStyle w:val="numbereditem"/>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t>Evaluación en producción (Fase 4):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numbereditem"/>
      </w:pPr>
      <w:r>
        <w:t xml:space="preserve">Normalización de codificación del corpus y re-evaluación (Fase 6):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+0.025 de F1 según el modelo (§5.3.5). La línea de trabajo consiste en normalizar la codificación en ambos lados de la comparación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numbereditem"/>
      </w:pPr>
      <w:r>
        <w:t>Anotación de localizaciones en el corpus de referencia (Prioridad Alta): los prompts del sistema solicitan</w:t>
      </w:r>
    </w:p>
    <w:p>
      <w:pPr>
        <w:numPr>
          <w:ilvl w:val="0"/>
          <w:numId w:val="0"/>
        </w:numPr>
        <w:pStyle w:val="Normal"/>
      </w:pPr>
      <w:r>
        <w:t>tres categorías de entidad, personas, organizaciones y localizaciones, pero ninguno de los tres corpus anota la tercera. Como se explica en §3.3, eso convierte toda localización correctamente identificada en un falso positivo, y de ahí procede el 65 % de los falsos positivos del estudio. La medición restringida a las dos categorías anotadas, que este informe publica en paralelo, corrige el efecto sin reejecutar inferencia, pero no sustituye a la solución de fondo: anotar las localizaciones y medir las tres categorías, que es la única vía para saber cuánto de la precisión aparente se debe a la habilidad del modelo y cuánto al vacío del gold.</w:t>
      </w:r>
    </w:p>
    <w:p>
      <w:pPr>
        <w:numPr>
          <w:ilvl w:val="0"/>
          <w:numId w:val="0"/>
        </w:numPr>
        <w:pStyle w:val="numbereditem"/>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numbereditem"/>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p1a"/>
      </w:pPr>
      <w:r>
        <w:rPr>
          <w:i/>
        </w:rPr>
        <w:t>Formato IEEE</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referenceitem"/>
      </w:pPr>
      <w:r>
        <w:t>[3] S. Wu et al., "BloombergGPT: A Large Language Model for Finance," 2023, arXiv:2303.17564. [Online]. Available: https://arxiv.org/abs/2303.17564</w:t>
      </w:r>
    </w:p>
    <w:p>
      <w:pPr>
        <w:numPr>
          <w:ilvl w:val="0"/>
          <w:numId w:val="0"/>
        </w:numPr>
        <w:pStyle w:val="referenceitem"/>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referenceitem"/>
      </w:pPr>
      <w:r>
        <w:t xml:space="preserve">[5] K. Bourne, </w:t>
      </w:r>
      <w:r>
        <w:rPr>
          <w:i/>
        </w:rPr>
        <w:t>Unlocking Data with Generative AI and RAG</w:t>
      </w:r>
      <w:r>
        <w:t>. Birmingham, R.U.: Packt Publishing, 2024, ISBN 978-1-83588-790-5. [En línea]. Disponible: https://books.google.com/books?vid=ISBN9781835887905</w:t>
      </w:r>
    </w:p>
    <w:p>
      <w:pPr>
        <w:numPr>
          <w:ilvl w:val="0"/>
          <w:numId w:val="0"/>
        </w:numPr>
        <w:pStyle w:val="referenceitem"/>
      </w:pPr>
      <w:r>
        <w:t>[6] Y. Gao et al., "Retrieval-Augmented Generation for Large Language Models: A Survey," 2024, arXiv:2312.10997. [Online]. Available: https://arxiv.org/abs/2312.10997</w:t>
      </w:r>
    </w:p>
    <w:p>
      <w:pPr>
        <w:numPr>
          <w:ilvl w:val="0"/>
          <w:numId w:val="0"/>
        </w:numPr>
        <w:pStyle w:val="referenceitem"/>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referenceitem"/>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referenceitem"/>
      </w:pPr>
      <w:r>
        <w:t>[9] P. Islam, A. Kannappan, D. Kiela, R. Qian, N. Scherrer, and B. Vidgen, "FinanceBench: A New Benchmark for Financial Question Answering," 2023, arXiv:2311.11944. [En línea]. Disponible: https://arxiv.org/abs/2311.11944</w:t>
      </w:r>
    </w:p>
    <w:p>
      <w:pPr>
        <w:numPr>
          <w:ilvl w:val="0"/>
          <w:numId w:val="0"/>
        </w:numPr>
        <w:pStyle w:val="referenceitem"/>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referenceitem"/>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referenceitem"/>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referenceitem"/>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referenceitem"/>
      </w:pPr>
      <w:r>
        <w:t xml:space="preserve">[16] R. Schwartz et al., "Green AI," </w:t>
      </w:r>
      <w:r>
        <w:rPr>
          <w:i/>
        </w:rPr>
        <w:t>Communications of the ACM</w:t>
      </w:r>
      <w:r>
        <w:t>, vol. 63, no. 12, pp. 54-63, 2020. [En línea]. Disponible: https://doi.org/10.1145/3381831</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referenceitem"/>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referenceitem"/>
      </w:pPr>
      <w:r>
        <w:t xml:space="preserve">[19] OpenSanctions. (2024). </w:t>
      </w:r>
      <w:r>
        <w:rPr>
          <w:i/>
        </w:rPr>
        <w:t>OpenSanctions: Open Data on Sanctions Lists and Politically Exposed Persons</w:t>
      </w:r>
      <w:r>
        <w:t xml:space="preserve"> [Online]. Available: https://www.opensanctions.org (accedido: 8 sep. 2026).</w:t>
      </w:r>
    </w:p>
    <w:p>
      <w:pPr>
        <w:numPr>
          <w:ilvl w:val="0"/>
          <w:numId w:val="0"/>
        </w:numPr>
        <w:pStyle w:val="referenceitem"/>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referenceitem"/>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referenceitem"/>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referenceitem"/>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referenceitem"/>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referenceitem"/>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referenceitem"/>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referenceitem"/>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referenceitem"/>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referenceitem"/>
      </w:pPr>
      <w:r>
        <w:t xml:space="preserve">[29] Ollama. </w:t>
      </w:r>
      <w:r>
        <w:rPr>
          <w:i/>
        </w:rPr>
        <w:t>Ollama</w:t>
      </w:r>
      <w:r>
        <w:t xml:space="preserve"> [Online]. Available: https://github.com/ollama/ollama (accedido: 8 sep. 2026).</w:t>
      </w:r>
    </w:p>
    <w:p>
      <w:pPr>
        <w:numPr>
          <w:ilvl w:val="0"/>
          <w:numId w:val="0"/>
        </w:numPr>
        <w:pStyle w:val="referenceitem"/>
      </w:pPr>
      <w:r>
        <w:t xml:space="preserve">[30] llama.cpp contributors. </w:t>
      </w:r>
      <w:r>
        <w:rPr>
          <w:i/>
        </w:rPr>
        <w:t>llama.cpp: LLM inference in C/C++</w:t>
      </w:r>
      <w:r>
        <w:t xml:space="preserve"> [Online]. Available: https://github.com/ggml-org/llama.cpp (accedido: 8 sep. 2026).</w:t>
      </w:r>
    </w:p>
    <w:p>
      <w:pPr>
        <w:numPr>
          <w:ilvl w:val="0"/>
          <w:numId w:val="0"/>
        </w:numPr>
        <w:pStyle w:val="referenceitem"/>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referenceitem"/>
      </w:pPr>
      <w:r>
        <w:t xml:space="preserve">[32] Chroma. </w:t>
      </w:r>
      <w:r>
        <w:rPr>
          <w:i/>
        </w:rPr>
        <w:t>chroma: search infrastructure for AI</w:t>
      </w:r>
      <w:r>
        <w:t xml:space="preserve"> [Online]. Available: https://github.com/chroma-core/chroma (accedido: 8 sep. 2026).</w:t>
      </w:r>
    </w:p>
    <w:p>
      <w:pPr>
        <w:numPr>
          <w:ilvl w:val="0"/>
          <w:numId w:val="0"/>
        </w:numPr>
        <w:pStyle w:val="referenceitem"/>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referenceitem"/>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referenceitem"/>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referenceitem"/>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referenceitem"/>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p1a"/>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w:t>
      </w:r>
    </w:p>
    <w:p>
      <w:pPr>
        <w:numPr>
          <w:ilvl w:val="0"/>
          <w:numId w:val="0"/>
        </w:numPr>
        <w:pStyle w:val="tablecaption"/>
      </w:pPr>
      <w:r>
        <w:t>Tabla 9. Estructura del repositorio de código.</w:t>
      </w:r>
    </w:p>
    <w:tbl>
      <w:tblPr>
        <w:tblStyle w:val="Table"/>
        <w:tblW w:type="dxa" w:w="8838"/>
        <w:tblLayout w:type="fixed"/>
        <w:tblLook w:firstRow="1" w:lastRow="0" w:firstColumn="0" w:lastColumn="0" w:noHBand="0" w:noVBand="0" w:val="0020"/>
      </w:tblPr>
      <w:tblGrid>
        <w:gridCol w:w="5461"/>
        <w:gridCol w:w="3377"/>
      </w:tblGrid>
      <w:tr>
        <w:trPr>
          <w:tblHeader w:val="on"/>
        </w:trPr>
        <w:tc>
          <w:tcPr>
            <w:tcW w:type="dxa" w:w="5461"/>
          </w:tcPr>
          <w:p>
            <w:pPr>
              <w:pStyle w:val="Compact"/>
              <w:jc w:val="left"/>
            </w:pPr>
            <w:r>
              <w:rPr>
                <w:b/>
              </w:rPr>
              <w:t>Ruta</w:t>
            </w:r>
          </w:p>
        </w:tc>
        <w:tc>
          <w:tcPr>
            <w:tcW w:type="dxa" w:w="3377"/>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p>
        </w:tc>
      </w:tr>
      <w:tr>
        <w:tc>
          <w:tcPr>
            <w:tcW w:type="dxa" w:w="5461"/>
          </w:tcPr>
          <w:p>
            <w:pPr>
              <w:pStyle w:val="Compact"/>
              <w:jc w:val="left"/>
            </w:pPr>
            <w:r>
              <w:rPr>
                <w:b w:val="0"/>
              </w:rPr>
              <w:t>src/</w:t>
            </w:r>
          </w:p>
        </w:tc>
        <w:tc>
          <w:tcPr>
            <w:tcW w:type="dxa" w:w="3377"/>
          </w:tcPr>
          <w:p>
            <w:pPr>
              <w:pStyle w:val="Compact"/>
              <w:jc w:val="left"/>
            </w:pP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p>
        </w:tc>
      </w:tr>
      <w:tr>
        <w:tc>
          <w:tcPr>
            <w:tcW w:type="dxa" w:w="5461"/>
          </w:tcPr>
          <w:p>
            <w:pPr>
              <w:pStyle w:val="Compact"/>
              <w:jc w:val="left"/>
            </w:pPr>
            <w:r>
              <w:rPr>
                <w:b w:val="0"/>
              </w:rPr>
              <w:t xml:space="preserve">    statistical_report.md</w:t>
            </w:r>
          </w:p>
        </w:tc>
        <w:tc>
          <w:tcPr>
            <w:tcW w:type="dxa" w:w="3377"/>
          </w:tcPr>
          <w:p>
            <w:pPr>
              <w:pStyle w:val="Compact"/>
              <w:jc w:val="left"/>
            </w:pP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p>
        </w:tc>
      </w:tr>
      <w:tr>
        <w:tc>
          <w:tcPr>
            <w:tcW w:type="dxa" w:w="5461"/>
          </w:tcPr>
          <w:p>
            <w:pPr>
              <w:pStyle w:val="Compact"/>
              <w:jc w:val="left"/>
            </w:pPr>
            <w:r>
              <w:rPr>
                <w:b w:val="0"/>
              </w:rPr>
              <w:t xml:space="preserve">    rag/</w:t>
            </w:r>
          </w:p>
        </w:tc>
        <w:tc>
          <w:tcPr>
            <w:tcW w:type="dxa" w:w="3377"/>
          </w:tcPr>
          <w:p>
            <w:pPr>
              <w:pStyle w:val="Compact"/>
              <w:jc w:val="left"/>
            </w:pP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Normal"/>
      </w:pPr>
      <w:r>
        <w:rPr>
          <w:b/>
        </w:rPr>
        <w:t>Ejemplos few-shot de la configuración FS-ES</w:t>
      </w:r>
      <w:r>
        <w:t xml:space="preserve"> (§4.3):</w:t>
      </w:r>
    </w:p>
    <w:p>
      <w:pPr>
        <w:numPr>
          <w:ilvl w:val="0"/>
          <w:numId w:val="0"/>
        </w:numPr>
        <w:pStyle w:val="Normal"/>
      </w:pPr>
      <w:r>
        <w:rPr>
          <w:b/>
        </w:rPr>
        <w:t>Ejemplo few-shot 1 (caso persona sancionada):</w:t>
      </w:r>
    </w:p>
    <w:p>
      <w:pPr>
        <w:numPr>
          <w:ilvl w:val="0"/>
          <w:numId w:val="0"/>
        </w:numPr>
        <w:pStyle w:val="programcode"/>
      </w:pPr>
      <w:r>
        <w:t>Texto: "El empresario ruso Roman Abramovich fue incluido en las listas de sanciones de la Unión Europea por sus vínculos con el régimen del Kremlin a través de su empresa Evraz PLC."</w:t>
      </w:r>
      <w:r>
        <w:br/>
      </w:r>
      <w:r>
        <w:t>Respuesta: {"Persons": ["Roman Abramovich"], "Organizations": ["Evraz PLC"]}</w:t>
      </w:r>
    </w:p>
    <w:p>
      <w:pPr>
        <w:numPr>
          <w:ilvl w:val="0"/>
          <w:numId w:val="0"/>
        </w:numPr>
        <w:pStyle w:val="Normal"/>
      </w:pPr>
      <w:r>
        <w:rPr>
          <w:b/>
        </w:rPr>
        <w:t>Ejemplo few-shot 2 (caso organización sancionada):</w:t>
      </w:r>
    </w:p>
    <w:p>
      <w:pPr>
        <w:numPr>
          <w:ilvl w:val="0"/>
          <w:numId w:val="0"/>
        </w:numPr>
        <w:pStyle w:val="programcode"/>
      </w:pPr>
      <w:r>
        <w:t>Texto: "El Departamento del Tesoro de los Estados Unidos sancionó al banco Rossiya, señalándolo como banco personal de altos funcionarios del gobierno ruso."</w:t>
      </w:r>
      <w:r>
        <w:br/>
      </w:r>
      <w:r>
        <w:t>Respuesta: {"Persons": [], "Organizations": ["Banco Rossiya", "Departamento del Tesoro"]}</w:t>
      </w:r>
    </w:p>
    <w:p>
      <w:pPr>
        <w:numPr>
          <w:ilvl w:val="0"/>
          <w:numId w:val="0"/>
        </w:numPr>
        <w:pStyle w:val="Normal"/>
      </w:pPr>
      <w:r>
        <w:rPr>
          <w:b/>
        </w:rPr>
        <w:t>Ejemplo few-shot 3 (caso PEP complejo):</w:t>
      </w:r>
    </w:p>
    <w:p>
      <w:pPr>
        <w:numPr>
          <w:ilvl w:val="0"/>
          <w:numId w:val="0"/>
        </w:numPr>
        <w:pStyle w:val="programcode"/>
      </w:pPr>
      <w:r>
        <w:t>Texto: "Isabel dos Santos, hija del expresidente angoleño José Eduardo dos Santos, figura en investigaciones de la empresa estatal Sonangol por presunto desvío de fondos."</w:t>
      </w:r>
      <w:r>
        <w:br/>
      </w:r>
      <w:r>
        <w:t>Respuesta: {"Persons": ["Isabel dos Santos", "José Eduardo dos Santos"], "Organizations": ["Sonangol"]}</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tablecaption"/>
      </w:pPr>
      <w:r>
        <w:t>Tabla 10.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w:t>
      </w:r>
    </w:p>
    <w:p>
      <w:pPr>
        <w:numPr>
          <w:ilvl w:val="0"/>
          <w:numId w:val="0"/>
        </w:numPr>
        <w:pStyle w:val="tablecaption"/>
      </w:pPr>
      <w:r>
        <w:t>Tabla 11.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tablecaption"/>
      </w:pPr>
      <w:r>
        <w:t>Tabla 12.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tablecaption"/>
      </w:pPr>
      <w:r>
        <w:t>Tabla 13.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tablecaption"/>
      </w:pPr>
      <w:r>
        <w:t>Tabla 14. Reglas de la guía tipológica del dominio político-administrativo (politics_es), a modo de ejemplo.</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tablecaption"/>
      </w:pPr>
      <w:r>
        <w:t>Tabla 15. Procedencia de cada fila del benchmark exploratorio: correspondencia con su corrida de origen.</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r>
        <w:tc>
          <w:tcPr>
            <w:tcW w:type="dxa" w:w="4215"/>
          </w:tcPr>
          <w:p>
            <w:pPr>
              <w:pStyle w:val="Compact"/>
              <w:jc w:val="left"/>
            </w:pPr>
            <w:r>
              <w:rPr>
                <w:b w:val="0"/>
              </w:rPr>
              <w:t>Excluidos del estudio</w:t>
            </w:r>
          </w:p>
        </w:tc>
        <w:tc>
          <w:tcPr>
            <w:tcW w:type="dxa" w:w="4623"/>
          </w:tcPr>
          <w:p>
            <w:pPr>
              <w:pStyle w:val="Compact"/>
              <w:jc w:val="left"/>
            </w:pPr>
            <w:r>
              <w:rPr>
                <w:b w:val="0"/>
              </w:rPr>
              <w:t>nuextract:latest, gemini-3.1-flash-lite, minimax-m3</w:t>
            </w:r>
          </w:p>
        </w:tc>
      </w:tr>
    </w:tbl>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16. Formas corruptas de los nombres almacenados y su representación real.</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17. Alcance medido del defecto de codificación sobre el corpus N=120.</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 xml:space="preserve">El efecto se midió sobre las 24 configuraciones del corpus N=120 que aportan los ciento veinte registros completos, con el script </w:t>
      </w:r>
      <w:r>
        <w:t>tools/analisis_mojibake.py</w:t>
      </w:r>
      <w:r>
        <w:t xml:space="preserve">, que se publica para que la tabla sea reproducible. La medición obliga a declarar el criterio de «artículo afectado», porque </w:t>
      </w:r>
      <w:r>
        <w:rPr>
          <w:b/>
        </w:rPr>
        <w:t>el signo del efecto depende de cuál se elija</w:t>
      </w:r>
      <w:r>
        <w:t>, y esa dependencia es en sí misma el resultado:</w:t>
      </w:r>
    </w:p>
    <w:p>
      <w:pPr>
        <w:numPr>
          <w:ilvl w:val="0"/>
          <w:numId w:val="0"/>
        </w:numPr>
        <w:pStyle w:val="bulletitem"/>
      </w:pPr>
      <w:r>
        <w:rPr>
          <w:b/>
        </w:rPr>
        <w:t>Por entidad de referencia corrupta</w:t>
      </w:r>
      <w:r>
        <w:t>: 89 artículos afectados y 31 no.</w:t>
      </w:r>
    </w:p>
    <w:p>
      <w:pPr>
        <w:numPr>
          <w:ilvl w:val="0"/>
          <w:numId w:val="0"/>
        </w:numPr>
        <w:pStyle w:val="bulletitem"/>
      </w:pPr>
      <w:r>
        <w:rPr>
          <w:b/>
        </w:rPr>
        <w:t>Por texto de entrada corrupto</w:t>
      </w:r>
      <w:r>
        <w:t>: 104 artículos afectados y 16 no.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dxa" w:w="8838"/>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nuextract:latest_baseline</w:t>
            </w:r>
          </w:p>
        </w:tc>
        <w:tc>
          <w:tcPr>
            <w:tcW w:type="dxa" w:w="3194"/>
          </w:tcPr>
          <w:p>
            <w:pPr>
              <w:pStyle w:val="Compact"/>
              <w:jc w:val="left"/>
            </w:pPr>
            <w:r>
              <w:rPr>
                <w:b w:val="0"/>
              </w:rPr>
              <w:t>+0.0865</w:t>
            </w:r>
          </w:p>
        </w:tc>
        <w:tc>
          <w:tcPr>
            <w:tcW w:type="dxa" w:w="2663"/>
          </w:tcPr>
          <w:p>
            <w:pPr>
              <w:pStyle w:val="Compact"/>
              <w:jc w:val="left"/>
            </w:pPr>
            <w:r>
              <w:rPr>
                <w:b w:val="0"/>
              </w:rPr>
              <w:t>+0.0532</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gemma4:12b-mlx_baseline</w:t>
            </w:r>
          </w:p>
        </w:tc>
        <w:tc>
          <w:tcPr>
            <w:tcW w:type="dxa" w:w="3194"/>
          </w:tcPr>
          <w:p>
            <w:pPr>
              <w:pStyle w:val="Compact"/>
              <w:jc w:val="left"/>
            </w:pPr>
            <w:r>
              <w:rPr>
                <w:b w:val="0"/>
              </w:rPr>
              <w:t>+0.0385</w:t>
            </w:r>
          </w:p>
        </w:tc>
        <w:tc>
          <w:tcPr>
            <w:tcW w:type="dxa" w:w="2663"/>
          </w:tcPr>
          <w:p>
            <w:pPr>
              <w:pStyle w:val="Compact"/>
              <w:jc w:val="left"/>
            </w:pPr>
            <w:r>
              <w:rPr>
                <w:b w:val="0"/>
              </w:rPr>
              <w:t>+0.1795</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gemma4:12b-mlx_kb_rag</w:t>
            </w:r>
          </w:p>
        </w:tc>
        <w:tc>
          <w:tcPr>
            <w:tcW w:type="dxa" w:w="3194"/>
          </w:tcPr>
          <w:p>
            <w:pPr>
              <w:pStyle w:val="Compact"/>
              <w:jc w:val="left"/>
            </w:pPr>
            <w:r>
              <w:rPr>
                <w:b w:val="0"/>
              </w:rPr>
              <w:t>-0.0214</w:t>
            </w:r>
          </w:p>
        </w:tc>
        <w:tc>
          <w:tcPr>
            <w:tcW w:type="dxa" w:w="2663"/>
          </w:tcPr>
          <w:p>
            <w:pPr>
              <w:pStyle w:val="Compact"/>
              <w:jc w:val="left"/>
            </w:pPr>
            <w:r>
              <w:rPr>
                <w:b w:val="0"/>
              </w:rPr>
              <w:t>+0.0448</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nuextract:latest_kb_rag</w:t>
            </w:r>
          </w:p>
        </w:tc>
        <w:tc>
          <w:tcPr>
            <w:tcW w:type="dxa" w:w="3194"/>
          </w:tcPr>
          <w:p>
            <w:pPr>
              <w:pStyle w:val="Compact"/>
              <w:jc w:val="left"/>
            </w:pPr>
            <w:r>
              <w:rPr>
                <w:b w:val="0"/>
              </w:rPr>
              <w:t>-0.0769</w:t>
            </w:r>
          </w:p>
        </w:tc>
        <w:tc>
          <w:tcPr>
            <w:tcW w:type="dxa" w:w="2663"/>
          </w:tcPr>
          <w:p>
            <w:pPr>
              <w:pStyle w:val="Compact"/>
              <w:jc w:val="left"/>
            </w:pPr>
            <w:r>
              <w:rPr>
                <w:b w:val="0"/>
              </w:rPr>
              <w:t>-0.0556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19 de las 24 configuraciones puntúan mejor</w:t>
      </w:r>
      <w:r>
        <w:t xml:space="preserve"> en los artículos cuya anotación de referencia está corrompida, y </w:t>
      </w:r>
      <w:r>
        <w:rPr>
          <w:b/>
        </w:rPr>
        <w:t>5 de las 24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 y ahí el efecto es de signo negativo.</w:t>
      </w:r>
    </w:p>
    <w:p>
      <w:pPr>
        <w:numPr>
          <w:ilvl w:val="0"/>
          <w:numId w:val="0"/>
        </w:numPr>
        <w:pStyle w:val="p1a"/>
      </w:pPr>
      <w:r>
        <w:rPr>
          <w:b/>
        </w:rPr>
        <w:t>Cautela metodológica, y una advertencia sobre la versión anterior de esta tabla.</w:t>
      </w:r>
      <w:r>
        <w:t xml:space="preserve"> Los artículos afectados podrían ser además más largos o intrínsecamente más difíciles, lo que confundiría la magnitud absoluta de cada diferencia; el sentido del efecto, sin embargo, es consistente dentro de cada criterio. Una versión anterior de este anexo declaraba una partición de 88 artículos afectados y 31 no —cuya suma es 119 y no 120— y unas diferencias que no se reproducen con ninguno de los dos criterios: para </w:t>
      </w:r>
      <w:r>
        <w:t>gemma4:latest</w:t>
      </w:r>
      <w:r>
        <w:t xml:space="preserve"> reportaba −0,0695 donde la medición da +0,0620 por entidad y −0,0958 por texto. Se sustituye por la tabla presente, obtenida con el script publicado, y se conserva esta nota para que la corrección quede trazable.</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p1a"/>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w:t>
      </w:r>
    </w:p>
    <w:p>
      <w:pPr>
        <w:numPr>
          <w:ilvl w:val="0"/>
          <w:numId w:val="0"/>
        </w:numPr>
        <w:pStyle w:val="tablecaption"/>
      </w:pPr>
      <w:r>
        <w:t>Tabla 19. Desempeño publicado y desempeño restringido a personas y organizaciones (N=120, 49 configuraciones).</w:t>
      </w:r>
    </w:p>
    <w:tbl>
      <w:tblPr>
        <w:tblStyle w:val="Table"/>
        <w:tblW w:type="dxa" w:w="8838"/>
        <w:tblLayout w:type="fixed"/>
        <w:tblLook w:firstRow="1" w:lastRow="0" w:firstColumn="0" w:lastColumn="0" w:noHBand="0" w:noVBand="0" w:val="0020"/>
      </w:tblPr>
      <w:tblGrid>
        <w:gridCol w:w="944"/>
        <w:gridCol w:w="2494"/>
        <w:gridCol w:w="900"/>
        <w:gridCol w:w="900"/>
        <w:gridCol w:w="900"/>
        <w:gridCol w:w="900"/>
        <w:gridCol w:w="900"/>
        <w:gridCol w:w="900"/>
      </w:tblGrid>
      <w:tr>
        <w:trPr>
          <w:tblHeader w:val="on"/>
        </w:trPr>
        <w:tc>
          <w:tcPr>
            <w:tcW w:type="dxa" w:w="944"/>
          </w:tcPr>
          <w:p>
            <w:pPr>
              <w:pStyle w:val="Compact"/>
              <w:jc w:val="left"/>
            </w:pPr>
            <w:r>
              <w:rPr>
                <w:b/>
              </w:rPr>
              <w:t>Configuración</w:t>
            </w:r>
          </w:p>
        </w:tc>
        <w:tc>
          <w:tcPr>
            <w:tcW w:type="dxa" w:w="2494"/>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944"/>
          </w:tcPr>
          <w:p>
            <w:pPr>
              <w:pStyle w:val="Compact"/>
              <w:jc w:val="left"/>
            </w:pPr>
            <w:r>
              <w:rPr>
                <w:b w:val="0"/>
              </w:rPr>
              <w:t>gemma4:31b-cloud_baseline</w:t>
            </w:r>
          </w:p>
        </w:tc>
        <w:tc>
          <w:tcPr>
            <w:tcW w:type="dxa" w:w="2494"/>
          </w:tcPr>
          <w:p>
            <w:pPr>
              <w:pStyle w:val="Compact"/>
              <w:jc w:val="left"/>
            </w:pPr>
            <w:r>
              <w:rPr>
                <w:b w:val="0"/>
              </w:rPr>
              <w:t>gemma4_31b_cloud_n120_REMOTO</w:t>
            </w:r>
          </w:p>
        </w:tc>
        <w:tc>
          <w:tcPr>
            <w:tcW w:type="dxa" w:w="900"/>
          </w:tcPr>
          <w:p>
            <w:pPr>
              <w:pStyle w:val="Compact"/>
              <w:jc w:val="left"/>
            </w:pPr>
            <w:r>
              <w:rPr>
                <w:b w:val="0"/>
              </w:rPr>
              <w:t>58.58</w:t>
            </w:r>
          </w:p>
        </w:tc>
        <w:tc>
          <w:tcPr>
            <w:tcW w:type="dxa" w:w="900"/>
          </w:tcPr>
          <w:p>
            <w:pPr>
              <w:pStyle w:val="Compact"/>
              <w:jc w:val="center"/>
            </w:pPr>
            <w:r>
              <w:rPr>
                <w:b w:val="0"/>
              </w:rPr>
              <w:t>76.80</w:t>
            </w:r>
          </w:p>
        </w:tc>
        <w:tc>
          <w:tcPr>
            <w:tcW w:type="dxa" w:w="900"/>
          </w:tcPr>
          <w:p>
            <w:pPr>
              <w:pStyle w:val="Compact"/>
              <w:jc w:val="center"/>
            </w:pPr>
            <w:r>
              <w:rPr>
                <w:b w:val="0"/>
              </w:rPr>
              <w:t>66.46</w:t>
            </w:r>
          </w:p>
        </w:tc>
        <w:tc>
          <w:tcPr>
            <w:tcW w:type="dxa" w:w="900"/>
          </w:tcPr>
          <w:p>
            <w:pPr>
              <w:pStyle w:val="Compact"/>
              <w:jc w:val="left"/>
            </w:pPr>
            <w:r>
              <w:rPr>
                <w:b w:val="0"/>
              </w:rPr>
              <w:t>86.70</w:t>
            </w:r>
          </w:p>
        </w:tc>
        <w:tc>
          <w:tcPr>
            <w:tcW w:type="dxa" w:w="900"/>
          </w:tcPr>
          <w:p>
            <w:pPr>
              <w:pStyle w:val="Compact"/>
              <w:jc w:val="left"/>
            </w:pPr>
            <w:r>
              <w:rPr>
                <w:b w:val="0"/>
              </w:rPr>
              <w:t>81.45</w:t>
            </w:r>
          </w:p>
        </w:tc>
        <w:tc>
          <w:tcPr>
            <w:tcW w:type="dxa" w:w="900"/>
          </w:tcPr>
          <w:p>
            <w:pPr>
              <w:pStyle w:val="Compact"/>
              <w:jc w:val="left"/>
            </w:pPr>
            <w:r>
              <w:rPr>
                <w:b w:val="0"/>
              </w:rPr>
              <w:t>+14.99</w:t>
            </w:r>
          </w:p>
        </w:tc>
      </w:tr>
      <w:tr>
        <w:tc>
          <w:tcPr>
            <w:tcW w:type="dxa" w:w="944"/>
          </w:tcPr>
          <w:p>
            <w:pPr>
              <w:pStyle w:val="Compact"/>
              <w:jc w:val="left"/>
            </w:pPr>
            <w:r>
              <w:rPr>
                <w:b w:val="0"/>
              </w:rPr>
              <w:t>gemma4:31b-cloud_kb_rag</w:t>
            </w:r>
          </w:p>
        </w:tc>
        <w:tc>
          <w:tcPr>
            <w:tcW w:type="dxa" w:w="2494"/>
          </w:tcPr>
          <w:p>
            <w:pPr>
              <w:pStyle w:val="Compact"/>
              <w:jc w:val="left"/>
            </w:pPr>
            <w:r>
              <w:rPr>
                <w:b w:val="0"/>
              </w:rPr>
              <w:t>gemma4_31b_cloud_n120_REMOTO</w:t>
            </w:r>
          </w:p>
        </w:tc>
        <w:tc>
          <w:tcPr>
            <w:tcW w:type="dxa" w:w="900"/>
          </w:tcPr>
          <w:p>
            <w:pPr>
              <w:pStyle w:val="Compact"/>
              <w:jc w:val="left"/>
            </w:pPr>
            <w:r>
              <w:rPr>
                <w:b w:val="0"/>
              </w:rPr>
              <w:t>57.29</w:t>
            </w:r>
          </w:p>
        </w:tc>
        <w:tc>
          <w:tcPr>
            <w:tcW w:type="dxa" w:w="900"/>
          </w:tcPr>
          <w:p>
            <w:pPr>
              <w:pStyle w:val="Compact"/>
              <w:jc w:val="center"/>
            </w:pPr>
            <w:r>
              <w:rPr>
                <w:b w:val="0"/>
              </w:rPr>
              <w:t>76.50</w:t>
            </w:r>
          </w:p>
        </w:tc>
        <w:tc>
          <w:tcPr>
            <w:tcW w:type="dxa" w:w="900"/>
          </w:tcPr>
          <w:p>
            <w:pPr>
              <w:pStyle w:val="Compact"/>
              <w:jc w:val="center"/>
            </w:pPr>
            <w:r>
              <w:rPr>
                <w:b w:val="0"/>
              </w:rPr>
              <w:t>65.52</w:t>
            </w:r>
          </w:p>
        </w:tc>
        <w:tc>
          <w:tcPr>
            <w:tcW w:type="dxa" w:w="900"/>
          </w:tcPr>
          <w:p>
            <w:pPr>
              <w:pStyle w:val="Compact"/>
              <w:jc w:val="left"/>
            </w:pPr>
            <w:r>
              <w:rPr>
                <w:b w:val="0"/>
              </w:rPr>
              <w:t>83.19</w:t>
            </w:r>
          </w:p>
        </w:tc>
        <w:tc>
          <w:tcPr>
            <w:tcW w:type="dxa" w:w="900"/>
          </w:tcPr>
          <w:p>
            <w:pPr>
              <w:pStyle w:val="Compact"/>
              <w:jc w:val="left"/>
            </w:pPr>
            <w:r>
              <w:rPr>
                <w:b w:val="0"/>
              </w:rPr>
              <w:t>79.71</w:t>
            </w:r>
          </w:p>
        </w:tc>
        <w:tc>
          <w:tcPr>
            <w:tcW w:type="dxa" w:w="900"/>
          </w:tcPr>
          <w:p>
            <w:pPr>
              <w:pStyle w:val="Compact"/>
              <w:jc w:val="left"/>
            </w:pPr>
            <w:r>
              <w:rPr>
                <w:b w:val="0"/>
              </w:rPr>
              <w:t>+14.19</w:t>
            </w:r>
          </w:p>
        </w:tc>
      </w:tr>
      <w:tr>
        <w:tc>
          <w:tcPr>
            <w:tcW w:type="dxa" w:w="944"/>
          </w:tcPr>
          <w:p>
            <w:pPr>
              <w:pStyle w:val="Compact"/>
              <w:jc w:val="left"/>
            </w:pPr>
            <w:r>
              <w:rPr>
                <w:b w:val="0"/>
              </w:rPr>
              <w:t>gemma4:31b-mlx_baseline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55.41</w:t>
            </w:r>
          </w:p>
        </w:tc>
        <w:tc>
          <w:tcPr>
            <w:tcW w:type="dxa" w:w="900"/>
          </w:tcPr>
          <w:p>
            <w:pPr>
              <w:pStyle w:val="Compact"/>
              <w:jc w:val="center"/>
            </w:pPr>
            <w:r>
              <w:rPr>
                <w:b w:val="0"/>
              </w:rPr>
              <w:t>72.11</w:t>
            </w:r>
          </w:p>
        </w:tc>
        <w:tc>
          <w:tcPr>
            <w:tcW w:type="dxa" w:w="900"/>
          </w:tcPr>
          <w:p>
            <w:pPr>
              <w:pStyle w:val="Compact"/>
              <w:jc w:val="center"/>
            </w:pPr>
            <w:r>
              <w:rPr>
                <w:b w:val="0"/>
              </w:rPr>
              <w:t>62.67</w:t>
            </w:r>
          </w:p>
        </w:tc>
        <w:tc>
          <w:tcPr>
            <w:tcW w:type="dxa" w:w="900"/>
          </w:tcPr>
          <w:p>
            <w:pPr>
              <w:pStyle w:val="Compact"/>
              <w:jc w:val="left"/>
            </w:pPr>
            <w:r>
              <w:rPr>
                <w:b w:val="0"/>
              </w:rPr>
              <w:t>82.25</w:t>
            </w:r>
          </w:p>
        </w:tc>
        <w:tc>
          <w:tcPr>
            <w:tcW w:type="dxa" w:w="900"/>
          </w:tcPr>
          <w:p>
            <w:pPr>
              <w:pStyle w:val="Compact"/>
              <w:jc w:val="left"/>
            </w:pPr>
            <w:r>
              <w:rPr>
                <w:b w:val="0"/>
              </w:rPr>
              <w:t>76.85</w:t>
            </w:r>
          </w:p>
        </w:tc>
        <w:tc>
          <w:tcPr>
            <w:tcW w:type="dxa" w:w="900"/>
          </w:tcPr>
          <w:p>
            <w:pPr>
              <w:pStyle w:val="Compact"/>
              <w:jc w:val="left"/>
            </w:pPr>
            <w:r>
              <w:rPr>
                <w:b w:val="0"/>
              </w:rPr>
              <w:t>+14.18</w:t>
            </w:r>
          </w:p>
        </w:tc>
      </w:tr>
      <w:tr>
        <w:tc>
          <w:tcPr>
            <w:tcW w:type="dxa" w:w="944"/>
          </w:tcPr>
          <w:p>
            <w:pPr>
              <w:pStyle w:val="Compact"/>
              <w:jc w:val="left"/>
            </w:pPr>
            <w:r>
              <w:rPr>
                <w:b w:val="0"/>
              </w:rPr>
              <w:t>gemma4:31b-mlx_kb_rag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55.77</w:t>
            </w:r>
          </w:p>
        </w:tc>
        <w:tc>
          <w:tcPr>
            <w:tcW w:type="dxa" w:w="900"/>
          </w:tcPr>
          <w:p>
            <w:pPr>
              <w:pStyle w:val="Compact"/>
              <w:jc w:val="center"/>
            </w:pPr>
            <w:r>
              <w:rPr>
                <w:b w:val="0"/>
              </w:rPr>
              <w:t>72.77</w:t>
            </w:r>
          </w:p>
        </w:tc>
        <w:tc>
          <w:tcPr>
            <w:tcW w:type="dxa" w:w="900"/>
          </w:tcPr>
          <w:p>
            <w:pPr>
              <w:pStyle w:val="Compact"/>
              <w:jc w:val="center"/>
            </w:pPr>
            <w:r>
              <w:rPr>
                <w:b w:val="0"/>
              </w:rPr>
              <w:t>63.15</w:t>
            </w:r>
          </w:p>
        </w:tc>
        <w:tc>
          <w:tcPr>
            <w:tcW w:type="dxa" w:w="900"/>
          </w:tcPr>
          <w:p>
            <w:pPr>
              <w:pStyle w:val="Compact"/>
              <w:jc w:val="left"/>
            </w:pPr>
            <w:r>
              <w:rPr>
                <w:b w:val="0"/>
              </w:rPr>
              <w:t>80.72</w:t>
            </w:r>
          </w:p>
        </w:tc>
        <w:tc>
          <w:tcPr>
            <w:tcW w:type="dxa" w:w="900"/>
          </w:tcPr>
          <w:p>
            <w:pPr>
              <w:pStyle w:val="Compact"/>
              <w:jc w:val="left"/>
            </w:pPr>
            <w:r>
              <w:rPr>
                <w:b w:val="0"/>
              </w:rPr>
              <w:t>76.54</w:t>
            </w:r>
          </w:p>
        </w:tc>
        <w:tc>
          <w:tcPr>
            <w:tcW w:type="dxa" w:w="900"/>
          </w:tcPr>
          <w:p>
            <w:pPr>
              <w:pStyle w:val="Compact"/>
              <w:jc w:val="left"/>
            </w:pPr>
            <w:r>
              <w:rPr>
                <w:b w:val="0"/>
              </w:rPr>
              <w:t>+13.39</w:t>
            </w:r>
          </w:p>
        </w:tc>
      </w:tr>
      <w:tr>
        <w:tc>
          <w:tcPr>
            <w:tcW w:type="dxa" w:w="944"/>
          </w:tcPr>
          <w:p>
            <w:pPr>
              <w:pStyle w:val="Compact"/>
              <w:jc w:val="left"/>
            </w:pPr>
            <w:r>
              <w:rPr>
                <w:b w:val="0"/>
              </w:rPr>
              <w:t>gemma4:31b-mlx_rag_enhanced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55.02</w:t>
            </w:r>
          </w:p>
        </w:tc>
        <w:tc>
          <w:tcPr>
            <w:tcW w:type="dxa" w:w="900"/>
          </w:tcPr>
          <w:p>
            <w:pPr>
              <w:pStyle w:val="Compact"/>
              <w:jc w:val="center"/>
            </w:pPr>
            <w:r>
              <w:rPr>
                <w:b w:val="0"/>
              </w:rPr>
              <w:t>70.51</w:t>
            </w:r>
          </w:p>
        </w:tc>
        <w:tc>
          <w:tcPr>
            <w:tcW w:type="dxa" w:w="900"/>
          </w:tcPr>
          <w:p>
            <w:pPr>
              <w:pStyle w:val="Compact"/>
              <w:jc w:val="center"/>
            </w:pPr>
            <w:r>
              <w:rPr>
                <w:b w:val="0"/>
              </w:rPr>
              <w:t>61.81</w:t>
            </w:r>
          </w:p>
        </w:tc>
        <w:tc>
          <w:tcPr>
            <w:tcW w:type="dxa" w:w="900"/>
          </w:tcPr>
          <w:p>
            <w:pPr>
              <w:pStyle w:val="Compact"/>
              <w:jc w:val="left"/>
            </w:pPr>
            <w:r>
              <w:rPr>
                <w:b w:val="0"/>
              </w:rPr>
              <w:t>82.67</w:t>
            </w:r>
          </w:p>
        </w:tc>
        <w:tc>
          <w:tcPr>
            <w:tcW w:type="dxa" w:w="900"/>
          </w:tcPr>
          <w:p>
            <w:pPr>
              <w:pStyle w:val="Compact"/>
              <w:jc w:val="left"/>
            </w:pPr>
            <w:r>
              <w:rPr>
                <w:b w:val="0"/>
              </w:rPr>
              <w:t>76.11</w:t>
            </w:r>
          </w:p>
        </w:tc>
        <w:tc>
          <w:tcPr>
            <w:tcW w:type="dxa" w:w="900"/>
          </w:tcPr>
          <w:p>
            <w:pPr>
              <w:pStyle w:val="Compact"/>
              <w:jc w:val="left"/>
            </w:pPr>
            <w:r>
              <w:rPr>
                <w:b w:val="0"/>
              </w:rPr>
              <w:t>+14.30</w:t>
            </w:r>
          </w:p>
        </w:tc>
      </w:tr>
      <w:tr>
        <w:tc>
          <w:tcPr>
            <w:tcW w:type="dxa" w:w="944"/>
          </w:tcPr>
          <w:p>
            <w:pPr>
              <w:pStyle w:val="Compact"/>
              <w:jc w:val="left"/>
            </w:pPr>
            <w:r>
              <w:rPr>
                <w:b w:val="0"/>
              </w:rPr>
              <w:t>zs-es</w:t>
            </w:r>
          </w:p>
        </w:tc>
        <w:tc>
          <w:tcPr>
            <w:tcW w:type="dxa" w:w="2494"/>
          </w:tcPr>
          <w:p>
            <w:pPr>
              <w:pStyle w:val="Compact"/>
              <w:jc w:val="left"/>
            </w:pPr>
            <w:r>
              <w:rPr>
                <w:b w:val="0"/>
              </w:rPr>
              <w:t>benchmark_balanced_120_20260825_071207</w:t>
            </w:r>
          </w:p>
        </w:tc>
        <w:tc>
          <w:tcPr>
            <w:tcW w:type="dxa" w:w="900"/>
          </w:tcPr>
          <w:p>
            <w:pPr>
              <w:pStyle w:val="Compact"/>
              <w:jc w:val="left"/>
            </w:pPr>
            <w:r>
              <w:rPr>
                <w:b w:val="0"/>
              </w:rPr>
              <w:t>56.86</w:t>
            </w:r>
          </w:p>
        </w:tc>
        <w:tc>
          <w:tcPr>
            <w:tcW w:type="dxa" w:w="900"/>
          </w:tcPr>
          <w:p>
            <w:pPr>
              <w:pStyle w:val="Compact"/>
              <w:jc w:val="center"/>
            </w:pPr>
            <w:r>
              <w:rPr>
                <w:b w:val="0"/>
              </w:rPr>
              <w:t>67.67</w:t>
            </w:r>
          </w:p>
        </w:tc>
        <w:tc>
          <w:tcPr>
            <w:tcW w:type="dxa" w:w="900"/>
          </w:tcPr>
          <w:p>
            <w:pPr>
              <w:pStyle w:val="Compact"/>
              <w:jc w:val="center"/>
            </w:pPr>
            <w:r>
              <w:rPr>
                <w:b w:val="0"/>
              </w:rPr>
              <w:t>61.80</w:t>
            </w:r>
          </w:p>
        </w:tc>
        <w:tc>
          <w:tcPr>
            <w:tcW w:type="dxa" w:w="900"/>
          </w:tcPr>
          <w:p>
            <w:pPr>
              <w:pStyle w:val="Compact"/>
              <w:jc w:val="left"/>
            </w:pPr>
            <w:r>
              <w:rPr>
                <w:b w:val="0"/>
              </w:rPr>
              <w:t>81.25</w:t>
            </w:r>
          </w:p>
        </w:tc>
        <w:tc>
          <w:tcPr>
            <w:tcW w:type="dxa" w:w="900"/>
          </w:tcPr>
          <w:p>
            <w:pPr>
              <w:pStyle w:val="Compact"/>
              <w:jc w:val="left"/>
            </w:pPr>
            <w:r>
              <w:rPr>
                <w:b w:val="0"/>
              </w:rPr>
              <w:t>73.84</w:t>
            </w:r>
          </w:p>
        </w:tc>
        <w:tc>
          <w:tcPr>
            <w:tcW w:type="dxa" w:w="900"/>
          </w:tcPr>
          <w:p>
            <w:pPr>
              <w:pStyle w:val="Compact"/>
              <w:jc w:val="left"/>
            </w:pPr>
            <w:r>
              <w:rPr>
                <w:b w:val="0"/>
              </w:rPr>
              <w:t>+12.05</w:t>
            </w:r>
          </w:p>
        </w:tc>
      </w:tr>
      <w:tr>
        <w:tc>
          <w:tcPr>
            <w:tcW w:type="dxa" w:w="944"/>
          </w:tcPr>
          <w:p>
            <w:pPr>
              <w:pStyle w:val="Compact"/>
              <w:jc w:val="left"/>
            </w:pPr>
            <w:r>
              <w:rPr>
                <w:b w:val="0"/>
              </w:rPr>
              <w:t>gpt-oss:20b_kb_rag</w:t>
            </w:r>
          </w:p>
        </w:tc>
        <w:tc>
          <w:tcPr>
            <w:tcW w:type="dxa" w:w="2494"/>
          </w:tcPr>
          <w:p>
            <w:pPr>
              <w:pStyle w:val="Compact"/>
              <w:jc w:val="left"/>
            </w:pPr>
            <w:r>
              <w:rPr>
                <w:b w:val="0"/>
              </w:rPr>
              <w:t>gptoss_rerun_REMOTO</w:t>
            </w:r>
          </w:p>
        </w:tc>
        <w:tc>
          <w:tcPr>
            <w:tcW w:type="dxa" w:w="900"/>
          </w:tcPr>
          <w:p>
            <w:pPr>
              <w:pStyle w:val="Compact"/>
              <w:jc w:val="left"/>
            </w:pPr>
            <w:r>
              <w:rPr>
                <w:b w:val="0"/>
              </w:rPr>
              <w:t>51.89</w:t>
            </w:r>
          </w:p>
        </w:tc>
        <w:tc>
          <w:tcPr>
            <w:tcW w:type="dxa" w:w="900"/>
          </w:tcPr>
          <w:p>
            <w:pPr>
              <w:pStyle w:val="Compact"/>
              <w:jc w:val="center"/>
            </w:pPr>
            <w:r>
              <w:rPr>
                <w:b w:val="0"/>
              </w:rPr>
              <w:t>70.04</w:t>
            </w:r>
          </w:p>
        </w:tc>
        <w:tc>
          <w:tcPr>
            <w:tcW w:type="dxa" w:w="900"/>
          </w:tcPr>
          <w:p>
            <w:pPr>
              <w:pStyle w:val="Compact"/>
              <w:jc w:val="center"/>
            </w:pPr>
            <w:r>
              <w:rPr>
                <w:b w:val="0"/>
              </w:rPr>
              <w:t>59.61</w:t>
            </w:r>
          </w:p>
        </w:tc>
        <w:tc>
          <w:tcPr>
            <w:tcW w:type="dxa" w:w="900"/>
          </w:tcPr>
          <w:p>
            <w:pPr>
              <w:pStyle w:val="Compact"/>
              <w:jc w:val="left"/>
            </w:pPr>
            <w:r>
              <w:rPr>
                <w:b w:val="0"/>
              </w:rPr>
              <w:t>77.81</w:t>
            </w:r>
          </w:p>
        </w:tc>
        <w:tc>
          <w:tcPr>
            <w:tcW w:type="dxa" w:w="900"/>
          </w:tcPr>
          <w:p>
            <w:pPr>
              <w:pStyle w:val="Compact"/>
              <w:jc w:val="left"/>
            </w:pPr>
            <w:r>
              <w:rPr>
                <w:b w:val="0"/>
              </w:rPr>
              <w:t>73.72</w:t>
            </w:r>
          </w:p>
        </w:tc>
        <w:tc>
          <w:tcPr>
            <w:tcW w:type="dxa" w:w="900"/>
          </w:tcPr>
          <w:p>
            <w:pPr>
              <w:pStyle w:val="Compact"/>
              <w:jc w:val="left"/>
            </w:pPr>
            <w:r>
              <w:rPr>
                <w:b w:val="0"/>
              </w:rPr>
              <w:t>+14.11</w:t>
            </w:r>
          </w:p>
        </w:tc>
      </w:tr>
      <w:tr>
        <w:tc>
          <w:tcPr>
            <w:tcW w:type="dxa" w:w="944"/>
          </w:tcPr>
          <w:p>
            <w:pPr>
              <w:pStyle w:val="Compact"/>
              <w:jc w:val="left"/>
            </w:pPr>
            <w:r>
              <w:rPr>
                <w:b w:val="0"/>
              </w:rPr>
              <w:t>gemma4:latest_baseline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57.52</w:t>
            </w:r>
          </w:p>
        </w:tc>
        <w:tc>
          <w:tcPr>
            <w:tcW w:type="dxa" w:w="900"/>
          </w:tcPr>
          <w:p>
            <w:pPr>
              <w:pStyle w:val="Compact"/>
              <w:jc w:val="center"/>
            </w:pPr>
            <w:r>
              <w:rPr>
                <w:b w:val="0"/>
              </w:rPr>
              <w:t>66.65</w:t>
            </w:r>
          </w:p>
        </w:tc>
        <w:tc>
          <w:tcPr>
            <w:tcW w:type="dxa" w:w="900"/>
          </w:tcPr>
          <w:p>
            <w:pPr>
              <w:pStyle w:val="Compact"/>
              <w:jc w:val="center"/>
            </w:pPr>
            <w:r>
              <w:rPr>
                <w:b w:val="0"/>
              </w:rPr>
              <w:t>61.75</w:t>
            </w:r>
          </w:p>
        </w:tc>
        <w:tc>
          <w:tcPr>
            <w:tcW w:type="dxa" w:w="900"/>
          </w:tcPr>
          <w:p>
            <w:pPr>
              <w:pStyle w:val="Compact"/>
              <w:jc w:val="left"/>
            </w:pPr>
            <w:r>
              <w:rPr>
                <w:b w:val="0"/>
              </w:rPr>
              <w:t>80.33</w:t>
            </w:r>
          </w:p>
        </w:tc>
        <w:tc>
          <w:tcPr>
            <w:tcW w:type="dxa" w:w="900"/>
          </w:tcPr>
          <w:p>
            <w:pPr>
              <w:pStyle w:val="Compact"/>
              <w:jc w:val="left"/>
            </w:pPr>
            <w:r>
              <w:rPr>
                <w:b w:val="0"/>
              </w:rPr>
              <w:t>72.85</w:t>
            </w:r>
          </w:p>
        </w:tc>
        <w:tc>
          <w:tcPr>
            <w:tcW w:type="dxa" w:w="900"/>
          </w:tcPr>
          <w:p>
            <w:pPr>
              <w:pStyle w:val="Compact"/>
              <w:jc w:val="left"/>
            </w:pPr>
            <w:r>
              <w:rPr>
                <w:b w:val="0"/>
              </w:rPr>
              <w:t>+11.10</w:t>
            </w:r>
          </w:p>
        </w:tc>
      </w:tr>
      <w:tr>
        <w:tc>
          <w:tcPr>
            <w:tcW w:type="dxa" w:w="944"/>
          </w:tcPr>
          <w:p>
            <w:pPr>
              <w:pStyle w:val="Compact"/>
              <w:jc w:val="left"/>
            </w:pPr>
            <w:r>
              <w:rPr>
                <w:b w:val="0"/>
              </w:rPr>
              <w:t>gemma4:latest_kb_rag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55.07</w:t>
            </w:r>
          </w:p>
        </w:tc>
        <w:tc>
          <w:tcPr>
            <w:tcW w:type="dxa" w:w="900"/>
          </w:tcPr>
          <w:p>
            <w:pPr>
              <w:pStyle w:val="Compact"/>
              <w:jc w:val="center"/>
            </w:pPr>
            <w:r>
              <w:rPr>
                <w:b w:val="0"/>
              </w:rPr>
              <w:t>64.71</w:t>
            </w:r>
          </w:p>
        </w:tc>
        <w:tc>
          <w:tcPr>
            <w:tcW w:type="dxa" w:w="900"/>
          </w:tcPr>
          <w:p>
            <w:pPr>
              <w:pStyle w:val="Compact"/>
              <w:jc w:val="center"/>
            </w:pPr>
            <w:r>
              <w:rPr>
                <w:b w:val="0"/>
              </w:rPr>
              <w:t>59.50</w:t>
            </w:r>
          </w:p>
        </w:tc>
        <w:tc>
          <w:tcPr>
            <w:tcW w:type="dxa" w:w="900"/>
          </w:tcPr>
          <w:p>
            <w:pPr>
              <w:pStyle w:val="Compact"/>
              <w:jc w:val="left"/>
            </w:pPr>
            <w:r>
              <w:rPr>
                <w:b w:val="0"/>
              </w:rPr>
              <w:t>82.55</w:t>
            </w:r>
          </w:p>
        </w:tc>
        <w:tc>
          <w:tcPr>
            <w:tcW w:type="dxa" w:w="900"/>
          </w:tcPr>
          <w:p>
            <w:pPr>
              <w:pStyle w:val="Compact"/>
              <w:jc w:val="left"/>
            </w:pPr>
            <w:r>
              <w:rPr>
                <w:b w:val="0"/>
              </w:rPr>
              <w:t>72.55</w:t>
            </w:r>
          </w:p>
        </w:tc>
        <w:tc>
          <w:tcPr>
            <w:tcW w:type="dxa" w:w="900"/>
          </w:tcPr>
          <w:p>
            <w:pPr>
              <w:pStyle w:val="Compact"/>
              <w:jc w:val="left"/>
            </w:pPr>
            <w:r>
              <w:rPr>
                <w:b w:val="0"/>
              </w:rPr>
              <w:t>+13.05</w:t>
            </w:r>
          </w:p>
        </w:tc>
      </w:tr>
      <w:tr>
        <w:tc>
          <w:tcPr>
            <w:tcW w:type="dxa" w:w="944"/>
          </w:tcPr>
          <w:p>
            <w:pPr>
              <w:pStyle w:val="Compact"/>
              <w:jc w:val="left"/>
            </w:pPr>
            <w:r>
              <w:rPr>
                <w:b w:val="0"/>
              </w:rPr>
              <w:t>zs-en</w:t>
            </w:r>
          </w:p>
        </w:tc>
        <w:tc>
          <w:tcPr>
            <w:tcW w:type="dxa" w:w="2494"/>
          </w:tcPr>
          <w:p>
            <w:pPr>
              <w:pStyle w:val="Compact"/>
              <w:jc w:val="left"/>
            </w:pPr>
            <w:r>
              <w:rPr>
                <w:b w:val="0"/>
              </w:rPr>
              <w:t>benchmark_balanced_120_20260825_071207</w:t>
            </w:r>
          </w:p>
        </w:tc>
        <w:tc>
          <w:tcPr>
            <w:tcW w:type="dxa" w:w="900"/>
          </w:tcPr>
          <w:p>
            <w:pPr>
              <w:pStyle w:val="Compact"/>
              <w:jc w:val="left"/>
            </w:pPr>
            <w:r>
              <w:rPr>
                <w:b w:val="0"/>
              </w:rPr>
              <w:t>56.75</w:t>
            </w:r>
          </w:p>
        </w:tc>
        <w:tc>
          <w:tcPr>
            <w:tcW w:type="dxa" w:w="900"/>
          </w:tcPr>
          <w:p>
            <w:pPr>
              <w:pStyle w:val="Compact"/>
              <w:jc w:val="center"/>
            </w:pPr>
            <w:r>
              <w:rPr>
                <w:b w:val="0"/>
              </w:rPr>
              <w:t>64.47</w:t>
            </w:r>
          </w:p>
        </w:tc>
        <w:tc>
          <w:tcPr>
            <w:tcW w:type="dxa" w:w="900"/>
          </w:tcPr>
          <w:p>
            <w:pPr>
              <w:pStyle w:val="Compact"/>
              <w:jc w:val="center"/>
            </w:pPr>
            <w:r>
              <w:rPr>
                <w:b w:val="0"/>
              </w:rPr>
              <w:t>60.36</w:t>
            </w:r>
          </w:p>
        </w:tc>
        <w:tc>
          <w:tcPr>
            <w:tcW w:type="dxa" w:w="900"/>
          </w:tcPr>
          <w:p>
            <w:pPr>
              <w:pStyle w:val="Compact"/>
              <w:jc w:val="left"/>
            </w:pPr>
            <w:r>
              <w:rPr>
                <w:b w:val="0"/>
              </w:rPr>
              <w:t>80.39</w:t>
            </w:r>
          </w:p>
        </w:tc>
        <w:tc>
          <w:tcPr>
            <w:tcW w:type="dxa" w:w="900"/>
          </w:tcPr>
          <w:p>
            <w:pPr>
              <w:pStyle w:val="Compact"/>
              <w:jc w:val="left"/>
            </w:pPr>
            <w:r>
              <w:rPr>
                <w:b w:val="0"/>
              </w:rPr>
              <w:t>71.56</w:t>
            </w:r>
          </w:p>
        </w:tc>
        <w:tc>
          <w:tcPr>
            <w:tcW w:type="dxa" w:w="900"/>
          </w:tcPr>
          <w:p>
            <w:pPr>
              <w:pStyle w:val="Compact"/>
              <w:jc w:val="left"/>
            </w:pPr>
            <w:r>
              <w:rPr>
                <w:b w:val="0"/>
              </w:rPr>
              <w:t>+11.20</w:t>
            </w:r>
          </w:p>
        </w:tc>
      </w:tr>
      <w:tr>
        <w:tc>
          <w:tcPr>
            <w:tcW w:type="dxa" w:w="944"/>
          </w:tcPr>
          <w:p>
            <w:pPr>
              <w:pStyle w:val="Compact"/>
              <w:jc w:val="left"/>
            </w:pPr>
            <w:r>
              <w:rPr>
                <w:b w:val="0"/>
              </w:rPr>
              <w:t>fs-es</w:t>
            </w:r>
          </w:p>
        </w:tc>
        <w:tc>
          <w:tcPr>
            <w:tcW w:type="dxa" w:w="2494"/>
          </w:tcPr>
          <w:p>
            <w:pPr>
              <w:pStyle w:val="Compact"/>
              <w:jc w:val="left"/>
            </w:pPr>
            <w:r>
              <w:rPr>
                <w:b w:val="0"/>
              </w:rPr>
              <w:t>benchmark_balanced_120_20260825_071207</w:t>
            </w:r>
          </w:p>
        </w:tc>
        <w:tc>
          <w:tcPr>
            <w:tcW w:type="dxa" w:w="900"/>
          </w:tcPr>
          <w:p>
            <w:pPr>
              <w:pStyle w:val="Compact"/>
              <w:jc w:val="left"/>
            </w:pPr>
            <w:r>
              <w:rPr>
                <w:b w:val="0"/>
              </w:rPr>
              <w:t>54.37</w:t>
            </w:r>
          </w:p>
        </w:tc>
        <w:tc>
          <w:tcPr>
            <w:tcW w:type="dxa" w:w="900"/>
          </w:tcPr>
          <w:p>
            <w:pPr>
              <w:pStyle w:val="Compact"/>
              <w:jc w:val="center"/>
            </w:pPr>
            <w:r>
              <w:rPr>
                <w:b w:val="0"/>
              </w:rPr>
              <w:t>62.29</w:t>
            </w:r>
          </w:p>
        </w:tc>
        <w:tc>
          <w:tcPr>
            <w:tcW w:type="dxa" w:w="900"/>
          </w:tcPr>
          <w:p>
            <w:pPr>
              <w:pStyle w:val="Compact"/>
              <w:jc w:val="center"/>
            </w:pPr>
            <w:r>
              <w:rPr>
                <w:b w:val="0"/>
              </w:rPr>
              <w:t>58.06</w:t>
            </w:r>
          </w:p>
        </w:tc>
        <w:tc>
          <w:tcPr>
            <w:tcW w:type="dxa" w:w="900"/>
          </w:tcPr>
          <w:p>
            <w:pPr>
              <w:pStyle w:val="Compact"/>
              <w:jc w:val="left"/>
            </w:pPr>
            <w:r>
              <w:rPr>
                <w:b w:val="0"/>
              </w:rPr>
              <w:t>83.37</w:t>
            </w:r>
          </w:p>
        </w:tc>
        <w:tc>
          <w:tcPr>
            <w:tcW w:type="dxa" w:w="900"/>
          </w:tcPr>
          <w:p>
            <w:pPr>
              <w:pStyle w:val="Compact"/>
              <w:jc w:val="left"/>
            </w:pPr>
            <w:r>
              <w:rPr>
                <w:b w:val="0"/>
              </w:rPr>
              <w:t>71.30</w:t>
            </w:r>
          </w:p>
        </w:tc>
        <w:tc>
          <w:tcPr>
            <w:tcW w:type="dxa" w:w="900"/>
          </w:tcPr>
          <w:p>
            <w:pPr>
              <w:pStyle w:val="Compact"/>
              <w:jc w:val="left"/>
            </w:pPr>
            <w:r>
              <w:rPr>
                <w:b w:val="0"/>
              </w:rPr>
              <w:t>+13.24</w:t>
            </w:r>
          </w:p>
        </w:tc>
      </w:tr>
      <w:tr>
        <w:tc>
          <w:tcPr>
            <w:tcW w:type="dxa" w:w="944"/>
          </w:tcPr>
          <w:p>
            <w:pPr>
              <w:pStyle w:val="Compact"/>
              <w:jc w:val="left"/>
            </w:pPr>
            <w:r>
              <w:rPr>
                <w:b w:val="0"/>
              </w:rPr>
              <w:t>fs-en</w:t>
            </w:r>
          </w:p>
        </w:tc>
        <w:tc>
          <w:tcPr>
            <w:tcW w:type="dxa" w:w="2494"/>
          </w:tcPr>
          <w:p>
            <w:pPr>
              <w:pStyle w:val="Compact"/>
              <w:jc w:val="left"/>
            </w:pPr>
            <w:r>
              <w:rPr>
                <w:b w:val="0"/>
              </w:rPr>
              <w:t>benchmark_balanced_120_20260825_071207</w:t>
            </w:r>
          </w:p>
        </w:tc>
        <w:tc>
          <w:tcPr>
            <w:tcW w:type="dxa" w:w="900"/>
          </w:tcPr>
          <w:p>
            <w:pPr>
              <w:pStyle w:val="Compact"/>
              <w:jc w:val="left"/>
            </w:pPr>
            <w:r>
              <w:rPr>
                <w:b w:val="0"/>
              </w:rPr>
              <w:t>54.38</w:t>
            </w:r>
          </w:p>
        </w:tc>
        <w:tc>
          <w:tcPr>
            <w:tcW w:type="dxa" w:w="900"/>
          </w:tcPr>
          <w:p>
            <w:pPr>
              <w:pStyle w:val="Compact"/>
              <w:jc w:val="center"/>
            </w:pPr>
            <w:r>
              <w:rPr>
                <w:b w:val="0"/>
              </w:rPr>
              <w:t>62.33</w:t>
            </w:r>
          </w:p>
        </w:tc>
        <w:tc>
          <w:tcPr>
            <w:tcW w:type="dxa" w:w="900"/>
          </w:tcPr>
          <w:p>
            <w:pPr>
              <w:pStyle w:val="Compact"/>
              <w:jc w:val="center"/>
            </w:pPr>
            <w:r>
              <w:rPr>
                <w:b w:val="0"/>
              </w:rPr>
              <w:t>58.09</w:t>
            </w:r>
          </w:p>
        </w:tc>
        <w:tc>
          <w:tcPr>
            <w:tcW w:type="dxa" w:w="900"/>
          </w:tcPr>
          <w:p>
            <w:pPr>
              <w:pStyle w:val="Compact"/>
              <w:jc w:val="left"/>
            </w:pPr>
            <w:r>
              <w:rPr>
                <w:b w:val="0"/>
              </w:rPr>
              <w:t>81.98</w:t>
            </w:r>
          </w:p>
        </w:tc>
        <w:tc>
          <w:tcPr>
            <w:tcW w:type="dxa" w:w="900"/>
          </w:tcPr>
          <w:p>
            <w:pPr>
              <w:pStyle w:val="Compact"/>
              <w:jc w:val="left"/>
            </w:pPr>
            <w:r>
              <w:rPr>
                <w:b w:val="0"/>
              </w:rPr>
              <w:t>70.82</w:t>
            </w:r>
          </w:p>
        </w:tc>
        <w:tc>
          <w:tcPr>
            <w:tcW w:type="dxa" w:w="900"/>
          </w:tcPr>
          <w:p>
            <w:pPr>
              <w:pStyle w:val="Compact"/>
              <w:jc w:val="left"/>
            </w:pPr>
            <w:r>
              <w:rPr>
                <w:b w:val="0"/>
              </w:rPr>
              <w:t>+12.73</w:t>
            </w:r>
          </w:p>
        </w:tc>
      </w:tr>
      <w:tr>
        <w:tc>
          <w:tcPr>
            <w:tcW w:type="dxa" w:w="944"/>
          </w:tcPr>
          <w:p>
            <w:pPr>
              <w:pStyle w:val="Compact"/>
              <w:jc w:val="left"/>
            </w:pPr>
            <w:r>
              <w:rPr>
                <w:b w:val="0"/>
              </w:rPr>
              <w:t>gemma4:latest_rag_enhanced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57.27</w:t>
            </w:r>
          </w:p>
        </w:tc>
        <w:tc>
          <w:tcPr>
            <w:tcW w:type="dxa" w:w="900"/>
          </w:tcPr>
          <w:p>
            <w:pPr>
              <w:pStyle w:val="Compact"/>
              <w:jc w:val="center"/>
            </w:pPr>
            <w:r>
              <w:rPr>
                <w:b w:val="0"/>
              </w:rPr>
              <w:t>61.01</w:t>
            </w:r>
          </w:p>
        </w:tc>
        <w:tc>
          <w:tcPr>
            <w:tcW w:type="dxa" w:w="900"/>
          </w:tcPr>
          <w:p>
            <w:pPr>
              <w:pStyle w:val="Compact"/>
              <w:jc w:val="center"/>
            </w:pPr>
            <w:r>
              <w:rPr>
                <w:b w:val="0"/>
              </w:rPr>
              <w:t>59.08</w:t>
            </w:r>
          </w:p>
        </w:tc>
        <w:tc>
          <w:tcPr>
            <w:tcW w:type="dxa" w:w="900"/>
          </w:tcPr>
          <w:p>
            <w:pPr>
              <w:pStyle w:val="Compact"/>
              <w:jc w:val="left"/>
            </w:pPr>
            <w:r>
              <w:rPr>
                <w:b w:val="0"/>
              </w:rPr>
              <w:t>82.87</w:t>
            </w:r>
          </w:p>
        </w:tc>
        <w:tc>
          <w:tcPr>
            <w:tcW w:type="dxa" w:w="900"/>
          </w:tcPr>
          <w:p>
            <w:pPr>
              <w:pStyle w:val="Compact"/>
              <w:jc w:val="left"/>
            </w:pPr>
            <w:r>
              <w:rPr>
                <w:b w:val="0"/>
              </w:rPr>
              <w:t>70.28</w:t>
            </w:r>
          </w:p>
        </w:tc>
        <w:tc>
          <w:tcPr>
            <w:tcW w:type="dxa" w:w="900"/>
          </w:tcPr>
          <w:p>
            <w:pPr>
              <w:pStyle w:val="Compact"/>
              <w:jc w:val="left"/>
            </w:pPr>
            <w:r>
              <w:rPr>
                <w:b w:val="0"/>
              </w:rPr>
              <w:t>+11.20</w:t>
            </w:r>
          </w:p>
        </w:tc>
      </w:tr>
      <w:tr>
        <w:tc>
          <w:tcPr>
            <w:tcW w:type="dxa" w:w="944"/>
          </w:tcPr>
          <w:p>
            <w:pPr>
              <w:pStyle w:val="Compact"/>
              <w:jc w:val="left"/>
            </w:pPr>
            <w:r>
              <w:rPr>
                <w:b w:val="0"/>
              </w:rPr>
              <w:t>gpt-oss:20b_baseline</w:t>
            </w:r>
          </w:p>
        </w:tc>
        <w:tc>
          <w:tcPr>
            <w:tcW w:type="dxa" w:w="2494"/>
          </w:tcPr>
          <w:p>
            <w:pPr>
              <w:pStyle w:val="Compact"/>
              <w:jc w:val="left"/>
            </w:pPr>
            <w:r>
              <w:rPr>
                <w:b w:val="0"/>
              </w:rPr>
              <w:t>gptoss_rerun_REMOTO</w:t>
            </w:r>
          </w:p>
        </w:tc>
        <w:tc>
          <w:tcPr>
            <w:tcW w:type="dxa" w:w="900"/>
          </w:tcPr>
          <w:p>
            <w:pPr>
              <w:pStyle w:val="Compact"/>
              <w:jc w:val="left"/>
            </w:pPr>
            <w:r>
              <w:rPr>
                <w:b w:val="0"/>
              </w:rPr>
              <w:t>49.19</w:t>
            </w:r>
          </w:p>
        </w:tc>
        <w:tc>
          <w:tcPr>
            <w:tcW w:type="dxa" w:w="900"/>
          </w:tcPr>
          <w:p>
            <w:pPr>
              <w:pStyle w:val="Compact"/>
              <w:jc w:val="center"/>
            </w:pPr>
            <w:r>
              <w:rPr>
                <w:b w:val="0"/>
              </w:rPr>
              <w:t>64.92</w:t>
            </w:r>
          </w:p>
        </w:tc>
        <w:tc>
          <w:tcPr>
            <w:tcW w:type="dxa" w:w="900"/>
          </w:tcPr>
          <w:p>
            <w:pPr>
              <w:pStyle w:val="Compact"/>
              <w:jc w:val="center"/>
            </w:pPr>
            <w:r>
              <w:rPr>
                <w:b w:val="0"/>
              </w:rPr>
              <w:t>55.97</w:t>
            </w:r>
          </w:p>
        </w:tc>
        <w:tc>
          <w:tcPr>
            <w:tcW w:type="dxa" w:w="900"/>
          </w:tcPr>
          <w:p>
            <w:pPr>
              <w:pStyle w:val="Compact"/>
              <w:jc w:val="left"/>
            </w:pPr>
            <w:r>
              <w:rPr>
                <w:b w:val="0"/>
              </w:rPr>
              <w:t>76.21</w:t>
            </w:r>
          </w:p>
        </w:tc>
        <w:tc>
          <w:tcPr>
            <w:tcW w:type="dxa" w:w="900"/>
          </w:tcPr>
          <w:p>
            <w:pPr>
              <w:pStyle w:val="Compact"/>
              <w:jc w:val="left"/>
            </w:pPr>
            <w:r>
              <w:rPr>
                <w:b w:val="0"/>
              </w:rPr>
              <w:t>70.11</w:t>
            </w:r>
          </w:p>
        </w:tc>
        <w:tc>
          <w:tcPr>
            <w:tcW w:type="dxa" w:w="900"/>
          </w:tcPr>
          <w:p>
            <w:pPr>
              <w:pStyle w:val="Compact"/>
              <w:jc w:val="left"/>
            </w:pPr>
            <w:r>
              <w:rPr>
                <w:b w:val="0"/>
              </w:rPr>
              <w:t>+14.14</w:t>
            </w:r>
          </w:p>
        </w:tc>
      </w:tr>
      <w:tr>
        <w:tc>
          <w:tcPr>
            <w:tcW w:type="dxa" w:w="944"/>
          </w:tcPr>
          <w:p>
            <w:pPr>
              <w:pStyle w:val="Compact"/>
              <w:jc w:val="left"/>
            </w:pPr>
            <w:r>
              <w:rPr>
                <w:b w:val="0"/>
              </w:rPr>
              <w:t>qwen2.5:14b_kb_rag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56.92</w:t>
            </w:r>
          </w:p>
        </w:tc>
        <w:tc>
          <w:tcPr>
            <w:tcW w:type="dxa" w:w="900"/>
          </w:tcPr>
          <w:p>
            <w:pPr>
              <w:pStyle w:val="Compact"/>
              <w:jc w:val="center"/>
            </w:pPr>
            <w:r>
              <w:rPr>
                <w:b w:val="0"/>
              </w:rPr>
              <w:t>59.74</w:t>
            </w:r>
          </w:p>
        </w:tc>
        <w:tc>
          <w:tcPr>
            <w:tcW w:type="dxa" w:w="900"/>
          </w:tcPr>
          <w:p>
            <w:pPr>
              <w:pStyle w:val="Compact"/>
              <w:jc w:val="center"/>
            </w:pPr>
            <w:r>
              <w:rPr>
                <w:b w:val="0"/>
              </w:rPr>
              <w:t>58.30</w:t>
            </w:r>
          </w:p>
        </w:tc>
        <w:tc>
          <w:tcPr>
            <w:tcW w:type="dxa" w:w="900"/>
          </w:tcPr>
          <w:p>
            <w:pPr>
              <w:pStyle w:val="Compact"/>
              <w:jc w:val="left"/>
            </w:pPr>
            <w:r>
              <w:rPr>
                <w:b w:val="0"/>
              </w:rPr>
              <w:t>84.38</w:t>
            </w:r>
          </w:p>
        </w:tc>
        <w:tc>
          <w:tcPr>
            <w:tcW w:type="dxa" w:w="900"/>
          </w:tcPr>
          <w:p>
            <w:pPr>
              <w:pStyle w:val="Compact"/>
              <w:jc w:val="left"/>
            </w:pPr>
            <w:r>
              <w:rPr>
                <w:b w:val="0"/>
              </w:rPr>
              <w:t>69.96</w:t>
            </w:r>
          </w:p>
        </w:tc>
        <w:tc>
          <w:tcPr>
            <w:tcW w:type="dxa" w:w="900"/>
          </w:tcPr>
          <w:p>
            <w:pPr>
              <w:pStyle w:val="Compact"/>
              <w:jc w:val="left"/>
            </w:pPr>
            <w:r>
              <w:rPr>
                <w:b w:val="0"/>
              </w:rPr>
              <w:t>+11.66</w:t>
            </w:r>
          </w:p>
        </w:tc>
      </w:tr>
      <w:tr>
        <w:tc>
          <w:tcPr>
            <w:tcW w:type="dxa" w:w="944"/>
          </w:tcPr>
          <w:p>
            <w:pPr>
              <w:pStyle w:val="Compact"/>
              <w:jc w:val="left"/>
            </w:pPr>
            <w:r>
              <w:rPr>
                <w:b w:val="0"/>
              </w:rPr>
              <w:t>qwen2.5:14b_baseline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53.54</w:t>
            </w:r>
          </w:p>
        </w:tc>
        <w:tc>
          <w:tcPr>
            <w:tcW w:type="dxa" w:w="900"/>
          </w:tcPr>
          <w:p>
            <w:pPr>
              <w:pStyle w:val="Compact"/>
              <w:jc w:val="center"/>
            </w:pPr>
            <w:r>
              <w:rPr>
                <w:b w:val="0"/>
              </w:rPr>
              <w:t>55.26</w:t>
            </w:r>
          </w:p>
        </w:tc>
        <w:tc>
          <w:tcPr>
            <w:tcW w:type="dxa" w:w="900"/>
          </w:tcPr>
          <w:p>
            <w:pPr>
              <w:pStyle w:val="Compact"/>
              <w:jc w:val="center"/>
            </w:pPr>
            <w:r>
              <w:rPr>
                <w:b w:val="0"/>
              </w:rPr>
              <w:t>54.39</w:t>
            </w:r>
          </w:p>
        </w:tc>
        <w:tc>
          <w:tcPr>
            <w:tcW w:type="dxa" w:w="900"/>
          </w:tcPr>
          <w:p>
            <w:pPr>
              <w:pStyle w:val="Compact"/>
              <w:jc w:val="left"/>
            </w:pPr>
            <w:r>
              <w:rPr>
                <w:b w:val="0"/>
              </w:rPr>
              <w:t>85.59</w:t>
            </w:r>
          </w:p>
        </w:tc>
        <w:tc>
          <w:tcPr>
            <w:tcW w:type="dxa" w:w="900"/>
          </w:tcPr>
          <w:p>
            <w:pPr>
              <w:pStyle w:val="Compact"/>
              <w:jc w:val="left"/>
            </w:pPr>
            <w:r>
              <w:rPr>
                <w:b w:val="0"/>
              </w:rPr>
              <w:t>67.16</w:t>
            </w:r>
          </w:p>
        </w:tc>
        <w:tc>
          <w:tcPr>
            <w:tcW w:type="dxa" w:w="900"/>
          </w:tcPr>
          <w:p>
            <w:pPr>
              <w:pStyle w:val="Compact"/>
              <w:jc w:val="left"/>
            </w:pPr>
            <w:r>
              <w:rPr>
                <w:b w:val="0"/>
              </w:rPr>
              <w:t>+12.77</w:t>
            </w:r>
          </w:p>
        </w:tc>
      </w:tr>
      <w:tr>
        <w:tc>
          <w:tcPr>
            <w:tcW w:type="dxa" w:w="944"/>
          </w:tcPr>
          <w:p>
            <w:pPr>
              <w:pStyle w:val="Compact"/>
              <w:jc w:val="left"/>
            </w:pPr>
            <w:r>
              <w:rPr>
                <w:b w:val="0"/>
              </w:rPr>
              <w:t>llama3.1:8b_baseline</w:t>
            </w:r>
          </w:p>
        </w:tc>
        <w:tc>
          <w:tcPr>
            <w:tcW w:type="dxa" w:w="2494"/>
          </w:tcPr>
          <w:p>
            <w:pPr>
              <w:pStyle w:val="Compact"/>
              <w:jc w:val="left"/>
            </w:pPr>
            <w:r>
              <w:rPr>
                <w:b w:val="0"/>
              </w:rPr>
              <w:t>benchmark_n120_REMOTO</w:t>
            </w:r>
          </w:p>
        </w:tc>
        <w:tc>
          <w:tcPr>
            <w:tcW w:type="dxa" w:w="900"/>
          </w:tcPr>
          <w:p>
            <w:pPr>
              <w:pStyle w:val="Compact"/>
              <w:jc w:val="left"/>
            </w:pPr>
            <w:r>
              <w:rPr>
                <w:b w:val="0"/>
              </w:rPr>
              <w:t>51.31</w:t>
            </w:r>
          </w:p>
        </w:tc>
        <w:tc>
          <w:tcPr>
            <w:tcW w:type="dxa" w:w="900"/>
          </w:tcPr>
          <w:p>
            <w:pPr>
              <w:pStyle w:val="Compact"/>
              <w:jc w:val="center"/>
            </w:pPr>
            <w:r>
              <w:rPr>
                <w:b w:val="0"/>
              </w:rPr>
              <w:t>56.60</w:t>
            </w:r>
          </w:p>
        </w:tc>
        <w:tc>
          <w:tcPr>
            <w:tcW w:type="dxa" w:w="900"/>
          </w:tcPr>
          <w:p>
            <w:pPr>
              <w:pStyle w:val="Compact"/>
              <w:jc w:val="center"/>
            </w:pPr>
            <w:r>
              <w:rPr>
                <w:b w:val="0"/>
              </w:rPr>
              <w:t>53.83</w:t>
            </w:r>
          </w:p>
        </w:tc>
        <w:tc>
          <w:tcPr>
            <w:tcW w:type="dxa" w:w="900"/>
          </w:tcPr>
          <w:p>
            <w:pPr>
              <w:pStyle w:val="Compact"/>
              <w:jc w:val="left"/>
            </w:pPr>
            <w:r>
              <w:rPr>
                <w:b w:val="0"/>
              </w:rPr>
              <w:t>82.05</w:t>
            </w:r>
          </w:p>
        </w:tc>
        <w:tc>
          <w:tcPr>
            <w:tcW w:type="dxa" w:w="900"/>
          </w:tcPr>
          <w:p>
            <w:pPr>
              <w:pStyle w:val="Compact"/>
              <w:jc w:val="left"/>
            </w:pPr>
            <w:r>
              <w:rPr>
                <w:b w:val="0"/>
              </w:rPr>
              <w:t>66.99</w:t>
            </w:r>
          </w:p>
        </w:tc>
        <w:tc>
          <w:tcPr>
            <w:tcW w:type="dxa" w:w="900"/>
          </w:tcPr>
          <w:p>
            <w:pPr>
              <w:pStyle w:val="Compact"/>
              <w:jc w:val="left"/>
            </w:pPr>
            <w:r>
              <w:rPr>
                <w:b w:val="0"/>
              </w:rPr>
              <w:t>+13.17</w:t>
            </w:r>
          </w:p>
        </w:tc>
      </w:tr>
      <w:tr>
        <w:tc>
          <w:tcPr>
            <w:tcW w:type="dxa" w:w="944"/>
          </w:tcPr>
          <w:p>
            <w:pPr>
              <w:pStyle w:val="Compact"/>
              <w:jc w:val="left"/>
            </w:pPr>
            <w:r>
              <w:rPr>
                <w:b w:val="0"/>
              </w:rPr>
              <w:t>llama3.1:8b_kb_rag</w:t>
            </w:r>
          </w:p>
        </w:tc>
        <w:tc>
          <w:tcPr>
            <w:tcW w:type="dxa" w:w="2494"/>
          </w:tcPr>
          <w:p>
            <w:pPr>
              <w:pStyle w:val="Compact"/>
              <w:jc w:val="left"/>
            </w:pPr>
            <w:r>
              <w:rPr>
                <w:b w:val="0"/>
              </w:rPr>
              <w:t>benchmark_n120_REMOTO</w:t>
            </w:r>
          </w:p>
        </w:tc>
        <w:tc>
          <w:tcPr>
            <w:tcW w:type="dxa" w:w="900"/>
          </w:tcPr>
          <w:p>
            <w:pPr>
              <w:pStyle w:val="Compact"/>
              <w:jc w:val="left"/>
            </w:pPr>
            <w:r>
              <w:rPr>
                <w:b w:val="0"/>
              </w:rPr>
              <w:t>54.66</w:t>
            </w:r>
          </w:p>
        </w:tc>
        <w:tc>
          <w:tcPr>
            <w:tcW w:type="dxa" w:w="900"/>
          </w:tcPr>
          <w:p>
            <w:pPr>
              <w:pStyle w:val="Compact"/>
              <w:jc w:val="center"/>
            </w:pPr>
            <w:r>
              <w:rPr>
                <w:b w:val="0"/>
              </w:rPr>
              <w:t>57.06</w:t>
            </w:r>
          </w:p>
        </w:tc>
        <w:tc>
          <w:tcPr>
            <w:tcW w:type="dxa" w:w="900"/>
          </w:tcPr>
          <w:p>
            <w:pPr>
              <w:pStyle w:val="Compact"/>
              <w:jc w:val="center"/>
            </w:pPr>
            <w:r>
              <w:rPr>
                <w:b w:val="0"/>
              </w:rPr>
              <w:t>55.83</w:t>
            </w:r>
          </w:p>
        </w:tc>
        <w:tc>
          <w:tcPr>
            <w:tcW w:type="dxa" w:w="900"/>
          </w:tcPr>
          <w:p>
            <w:pPr>
              <w:pStyle w:val="Compact"/>
              <w:jc w:val="left"/>
            </w:pPr>
            <w:r>
              <w:rPr>
                <w:b w:val="0"/>
              </w:rPr>
              <w:t>79.45</w:t>
            </w:r>
          </w:p>
        </w:tc>
        <w:tc>
          <w:tcPr>
            <w:tcW w:type="dxa" w:w="900"/>
          </w:tcPr>
          <w:p>
            <w:pPr>
              <w:pStyle w:val="Compact"/>
              <w:jc w:val="left"/>
            </w:pPr>
            <w:r>
              <w:rPr>
                <w:b w:val="0"/>
              </w:rPr>
              <w:t>66.42</w:t>
            </w:r>
          </w:p>
        </w:tc>
        <w:tc>
          <w:tcPr>
            <w:tcW w:type="dxa" w:w="900"/>
          </w:tcPr>
          <w:p>
            <w:pPr>
              <w:pStyle w:val="Compact"/>
              <w:jc w:val="left"/>
            </w:pPr>
            <w:r>
              <w:rPr>
                <w:b w:val="0"/>
              </w:rPr>
              <w:t>+10.59</w:t>
            </w:r>
          </w:p>
        </w:tc>
      </w:tr>
      <w:tr>
        <w:tc>
          <w:tcPr>
            <w:tcW w:type="dxa" w:w="944"/>
          </w:tcPr>
          <w:p>
            <w:pPr>
              <w:pStyle w:val="Compact"/>
              <w:jc w:val="left"/>
            </w:pPr>
            <w:r>
              <w:rPr>
                <w:b w:val="0"/>
              </w:rPr>
              <w:t>qwen3:8b_kb_rag</w:t>
            </w:r>
          </w:p>
        </w:tc>
        <w:tc>
          <w:tcPr>
            <w:tcW w:type="dxa" w:w="2494"/>
          </w:tcPr>
          <w:p>
            <w:pPr>
              <w:pStyle w:val="Compact"/>
              <w:jc w:val="left"/>
            </w:pPr>
            <w:r>
              <w:rPr>
                <w:b w:val="0"/>
              </w:rPr>
              <w:t>qwen3_nothink_n120_REMOTO</w:t>
            </w:r>
          </w:p>
        </w:tc>
        <w:tc>
          <w:tcPr>
            <w:tcW w:type="dxa" w:w="900"/>
          </w:tcPr>
          <w:p>
            <w:pPr>
              <w:pStyle w:val="Compact"/>
              <w:jc w:val="left"/>
            </w:pPr>
            <w:r>
              <w:rPr>
                <w:b w:val="0"/>
              </w:rPr>
              <w:t>49.82</w:t>
            </w:r>
          </w:p>
        </w:tc>
        <w:tc>
          <w:tcPr>
            <w:tcW w:type="dxa" w:w="900"/>
          </w:tcPr>
          <w:p>
            <w:pPr>
              <w:pStyle w:val="Compact"/>
              <w:jc w:val="center"/>
            </w:pPr>
            <w:r>
              <w:rPr>
                <w:b w:val="0"/>
              </w:rPr>
              <w:t>60.35</w:t>
            </w:r>
          </w:p>
        </w:tc>
        <w:tc>
          <w:tcPr>
            <w:tcW w:type="dxa" w:w="900"/>
          </w:tcPr>
          <w:p>
            <w:pPr>
              <w:pStyle w:val="Compact"/>
              <w:jc w:val="center"/>
            </w:pPr>
            <w:r>
              <w:rPr>
                <w:b w:val="0"/>
              </w:rPr>
              <w:t>54.59</w:t>
            </w:r>
          </w:p>
        </w:tc>
        <w:tc>
          <w:tcPr>
            <w:tcW w:type="dxa" w:w="900"/>
          </w:tcPr>
          <w:p>
            <w:pPr>
              <w:pStyle w:val="Compact"/>
              <w:jc w:val="left"/>
            </w:pPr>
            <w:r>
              <w:rPr>
                <w:b w:val="0"/>
              </w:rPr>
              <w:t>72.80</w:t>
            </w:r>
          </w:p>
        </w:tc>
        <w:tc>
          <w:tcPr>
            <w:tcW w:type="dxa" w:w="900"/>
          </w:tcPr>
          <w:p>
            <w:pPr>
              <w:pStyle w:val="Compact"/>
              <w:jc w:val="left"/>
            </w:pPr>
            <w:r>
              <w:rPr>
                <w:b w:val="0"/>
              </w:rPr>
              <w:t>65.99</w:t>
            </w:r>
          </w:p>
        </w:tc>
        <w:tc>
          <w:tcPr>
            <w:tcW w:type="dxa" w:w="900"/>
          </w:tcPr>
          <w:p>
            <w:pPr>
              <w:pStyle w:val="Compact"/>
              <w:jc w:val="left"/>
            </w:pPr>
            <w:r>
              <w:rPr>
                <w:b w:val="0"/>
              </w:rPr>
              <w:t>+11.41</w:t>
            </w:r>
          </w:p>
        </w:tc>
      </w:tr>
      <w:tr>
        <w:tc>
          <w:tcPr>
            <w:tcW w:type="dxa" w:w="944"/>
          </w:tcPr>
          <w:p>
            <w:pPr>
              <w:pStyle w:val="Compact"/>
              <w:jc w:val="left"/>
            </w:pPr>
            <w:r>
              <w:rPr>
                <w:b w:val="0"/>
              </w:rPr>
              <w:t>qwen3:8b_baseline</w:t>
            </w:r>
          </w:p>
        </w:tc>
        <w:tc>
          <w:tcPr>
            <w:tcW w:type="dxa" w:w="2494"/>
          </w:tcPr>
          <w:p>
            <w:pPr>
              <w:pStyle w:val="Compact"/>
              <w:jc w:val="left"/>
            </w:pPr>
            <w:r>
              <w:rPr>
                <w:b w:val="0"/>
              </w:rPr>
              <w:t>qwen3_nothink_n120_REMOTO</w:t>
            </w:r>
          </w:p>
        </w:tc>
        <w:tc>
          <w:tcPr>
            <w:tcW w:type="dxa" w:w="900"/>
          </w:tcPr>
          <w:p>
            <w:pPr>
              <w:pStyle w:val="Compact"/>
              <w:jc w:val="left"/>
            </w:pPr>
            <w:r>
              <w:rPr>
                <w:b w:val="0"/>
              </w:rPr>
              <w:t>48.49</w:t>
            </w:r>
          </w:p>
        </w:tc>
        <w:tc>
          <w:tcPr>
            <w:tcW w:type="dxa" w:w="900"/>
          </w:tcPr>
          <w:p>
            <w:pPr>
              <w:pStyle w:val="Compact"/>
              <w:jc w:val="center"/>
            </w:pPr>
            <w:r>
              <w:rPr>
                <w:b w:val="0"/>
              </w:rPr>
              <w:t>56.41</w:t>
            </w:r>
          </w:p>
        </w:tc>
        <w:tc>
          <w:tcPr>
            <w:tcW w:type="dxa" w:w="900"/>
          </w:tcPr>
          <w:p>
            <w:pPr>
              <w:pStyle w:val="Compact"/>
              <w:jc w:val="center"/>
            </w:pPr>
            <w:r>
              <w:rPr>
                <w:b w:val="0"/>
              </w:rPr>
              <w:t>52.15</w:t>
            </w:r>
          </w:p>
        </w:tc>
        <w:tc>
          <w:tcPr>
            <w:tcW w:type="dxa" w:w="900"/>
          </w:tcPr>
          <w:p>
            <w:pPr>
              <w:pStyle w:val="Compact"/>
              <w:jc w:val="left"/>
            </w:pPr>
            <w:r>
              <w:rPr>
                <w:b w:val="0"/>
              </w:rPr>
              <w:t>76.29</w:t>
            </w:r>
          </w:p>
        </w:tc>
        <w:tc>
          <w:tcPr>
            <w:tcW w:type="dxa" w:w="900"/>
          </w:tcPr>
          <w:p>
            <w:pPr>
              <w:pStyle w:val="Compact"/>
              <w:jc w:val="left"/>
            </w:pPr>
            <w:r>
              <w:rPr>
                <w:b w:val="0"/>
              </w:rPr>
              <w:t>64.86</w:t>
            </w:r>
          </w:p>
        </w:tc>
        <w:tc>
          <w:tcPr>
            <w:tcW w:type="dxa" w:w="900"/>
          </w:tcPr>
          <w:p>
            <w:pPr>
              <w:pStyle w:val="Compact"/>
              <w:jc w:val="left"/>
            </w:pPr>
            <w:r>
              <w:rPr>
                <w:b w:val="0"/>
              </w:rPr>
              <w:t>+12.71</w:t>
            </w:r>
          </w:p>
        </w:tc>
      </w:tr>
      <w:tr>
        <w:tc>
          <w:tcPr>
            <w:tcW w:type="dxa" w:w="944"/>
          </w:tcPr>
          <w:p>
            <w:pPr>
              <w:pStyle w:val="Compact"/>
              <w:jc w:val="left"/>
            </w:pPr>
            <w:r>
              <w:rPr>
                <w:b w:val="0"/>
              </w:rPr>
              <w:t>qwen2.5:14b_rag_enhanced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53.45</w:t>
            </w:r>
          </w:p>
        </w:tc>
        <w:tc>
          <w:tcPr>
            <w:tcW w:type="dxa" w:w="900"/>
          </w:tcPr>
          <w:p>
            <w:pPr>
              <w:pStyle w:val="Compact"/>
              <w:jc w:val="center"/>
            </w:pPr>
            <w:r>
              <w:rPr>
                <w:b w:val="0"/>
              </w:rPr>
              <w:t>51.28</w:t>
            </w:r>
          </w:p>
        </w:tc>
        <w:tc>
          <w:tcPr>
            <w:tcW w:type="dxa" w:w="900"/>
          </w:tcPr>
          <w:p>
            <w:pPr>
              <w:pStyle w:val="Compact"/>
              <w:jc w:val="center"/>
            </w:pPr>
            <w:r>
              <w:rPr>
                <w:b w:val="0"/>
              </w:rPr>
              <w:t>52.34</w:t>
            </w:r>
          </w:p>
        </w:tc>
        <w:tc>
          <w:tcPr>
            <w:tcW w:type="dxa" w:w="900"/>
          </w:tcPr>
          <w:p>
            <w:pPr>
              <w:pStyle w:val="Compact"/>
              <w:jc w:val="left"/>
            </w:pPr>
            <w:r>
              <w:rPr>
                <w:b w:val="0"/>
              </w:rPr>
              <w:t>86.97</w:t>
            </w:r>
          </w:p>
        </w:tc>
        <w:tc>
          <w:tcPr>
            <w:tcW w:type="dxa" w:w="900"/>
          </w:tcPr>
          <w:p>
            <w:pPr>
              <w:pStyle w:val="Compact"/>
              <w:jc w:val="left"/>
            </w:pPr>
            <w:r>
              <w:rPr>
                <w:b w:val="0"/>
              </w:rPr>
              <w:t>64.52</w:t>
            </w:r>
          </w:p>
        </w:tc>
        <w:tc>
          <w:tcPr>
            <w:tcW w:type="dxa" w:w="900"/>
          </w:tcPr>
          <w:p>
            <w:pPr>
              <w:pStyle w:val="Compact"/>
              <w:jc w:val="left"/>
            </w:pPr>
            <w:r>
              <w:rPr>
                <w:b w:val="0"/>
              </w:rPr>
              <w:t>+12.18</w:t>
            </w:r>
          </w:p>
        </w:tc>
      </w:tr>
      <w:tr>
        <w:tc>
          <w:tcPr>
            <w:tcW w:type="dxa" w:w="944"/>
          </w:tcPr>
          <w:p>
            <w:pPr>
              <w:pStyle w:val="Compact"/>
              <w:jc w:val="left"/>
            </w:pPr>
            <w:r>
              <w:rPr>
                <w:b w:val="0"/>
              </w:rPr>
              <w:t>llama3.2:latest_kb_rag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49.62</w:t>
            </w:r>
          </w:p>
        </w:tc>
        <w:tc>
          <w:tcPr>
            <w:tcW w:type="dxa" w:w="900"/>
          </w:tcPr>
          <w:p>
            <w:pPr>
              <w:pStyle w:val="Compact"/>
              <w:jc w:val="center"/>
            </w:pPr>
            <w:r>
              <w:rPr>
                <w:b w:val="0"/>
              </w:rPr>
              <w:t>54.84</w:t>
            </w:r>
          </w:p>
        </w:tc>
        <w:tc>
          <w:tcPr>
            <w:tcW w:type="dxa" w:w="900"/>
          </w:tcPr>
          <w:p>
            <w:pPr>
              <w:pStyle w:val="Compact"/>
              <w:jc w:val="center"/>
            </w:pPr>
            <w:r>
              <w:rPr>
                <w:b w:val="0"/>
              </w:rPr>
              <w:t>52.10</w:t>
            </w:r>
          </w:p>
        </w:tc>
        <w:tc>
          <w:tcPr>
            <w:tcW w:type="dxa" w:w="900"/>
          </w:tcPr>
          <w:p>
            <w:pPr>
              <w:pStyle w:val="Compact"/>
              <w:jc w:val="left"/>
            </w:pPr>
            <w:r>
              <w:rPr>
                <w:b w:val="0"/>
              </w:rPr>
              <w:t>76.30</w:t>
            </w:r>
          </w:p>
        </w:tc>
        <w:tc>
          <w:tcPr>
            <w:tcW w:type="dxa" w:w="900"/>
          </w:tcPr>
          <w:p>
            <w:pPr>
              <w:pStyle w:val="Compact"/>
              <w:jc w:val="left"/>
            </w:pPr>
            <w:r>
              <w:rPr>
                <w:b w:val="0"/>
              </w:rPr>
              <w:t>63.82</w:t>
            </w:r>
          </w:p>
        </w:tc>
        <w:tc>
          <w:tcPr>
            <w:tcW w:type="dxa" w:w="900"/>
          </w:tcPr>
          <w:p>
            <w:pPr>
              <w:pStyle w:val="Compact"/>
              <w:jc w:val="left"/>
            </w:pPr>
            <w:r>
              <w:rPr>
                <w:b w:val="0"/>
              </w:rPr>
              <w:t>+11.72</w:t>
            </w:r>
          </w:p>
        </w:tc>
      </w:tr>
      <w:tr>
        <w:tc>
          <w:tcPr>
            <w:tcW w:type="dxa" w:w="944"/>
          </w:tcPr>
          <w:p>
            <w:pPr>
              <w:pStyle w:val="Compact"/>
              <w:jc w:val="left"/>
            </w:pPr>
            <w:r>
              <w:rPr>
                <w:b w:val="0"/>
              </w:rPr>
              <w:t>llama3.1:8b_rag_enhanced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52.17</w:t>
            </w:r>
          </w:p>
        </w:tc>
        <w:tc>
          <w:tcPr>
            <w:tcW w:type="dxa" w:w="900"/>
          </w:tcPr>
          <w:p>
            <w:pPr>
              <w:pStyle w:val="Compact"/>
              <w:jc w:val="center"/>
            </w:pPr>
            <w:r>
              <w:rPr>
                <w:b w:val="0"/>
              </w:rPr>
              <w:t>49.72</w:t>
            </w:r>
          </w:p>
        </w:tc>
        <w:tc>
          <w:tcPr>
            <w:tcW w:type="dxa" w:w="900"/>
          </w:tcPr>
          <w:p>
            <w:pPr>
              <w:pStyle w:val="Compact"/>
              <w:jc w:val="center"/>
            </w:pPr>
            <w:r>
              <w:rPr>
                <w:b w:val="0"/>
              </w:rPr>
              <w:t>50.92</w:t>
            </w:r>
          </w:p>
        </w:tc>
        <w:tc>
          <w:tcPr>
            <w:tcW w:type="dxa" w:w="900"/>
          </w:tcPr>
          <w:p>
            <w:pPr>
              <w:pStyle w:val="Compact"/>
              <w:jc w:val="left"/>
            </w:pPr>
            <w:r>
              <w:rPr>
                <w:b w:val="0"/>
              </w:rPr>
              <w:t>87.30</w:t>
            </w:r>
          </w:p>
        </w:tc>
        <w:tc>
          <w:tcPr>
            <w:tcW w:type="dxa" w:w="900"/>
          </w:tcPr>
          <w:p>
            <w:pPr>
              <w:pStyle w:val="Compact"/>
              <w:jc w:val="left"/>
            </w:pPr>
            <w:r>
              <w:rPr>
                <w:b w:val="0"/>
              </w:rPr>
              <w:t>63.36</w:t>
            </w:r>
          </w:p>
        </w:tc>
        <w:tc>
          <w:tcPr>
            <w:tcW w:type="dxa" w:w="900"/>
          </w:tcPr>
          <w:p>
            <w:pPr>
              <w:pStyle w:val="Compact"/>
              <w:jc w:val="left"/>
            </w:pPr>
            <w:r>
              <w:rPr>
                <w:b w:val="0"/>
              </w:rPr>
              <w:t>+12.44</w:t>
            </w:r>
          </w:p>
        </w:tc>
      </w:tr>
      <w:tr>
        <w:tc>
          <w:tcPr>
            <w:tcW w:type="dxa" w:w="944"/>
          </w:tcPr>
          <w:p>
            <w:pPr>
              <w:pStyle w:val="Compact"/>
              <w:jc w:val="left"/>
            </w:pPr>
            <w:r>
              <w:rPr>
                <w:b w:val="0"/>
              </w:rPr>
              <w:t>gemma:latest_kb_rag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53.14</w:t>
            </w:r>
          </w:p>
        </w:tc>
        <w:tc>
          <w:tcPr>
            <w:tcW w:type="dxa" w:w="900"/>
          </w:tcPr>
          <w:p>
            <w:pPr>
              <w:pStyle w:val="Compact"/>
              <w:jc w:val="center"/>
            </w:pPr>
            <w:r>
              <w:rPr>
                <w:b w:val="0"/>
              </w:rPr>
              <w:t>57.59</w:t>
            </w:r>
          </w:p>
        </w:tc>
        <w:tc>
          <w:tcPr>
            <w:tcW w:type="dxa" w:w="900"/>
          </w:tcPr>
          <w:p>
            <w:pPr>
              <w:pStyle w:val="Compact"/>
              <w:jc w:val="center"/>
            </w:pPr>
            <w:r>
              <w:rPr>
                <w:b w:val="0"/>
              </w:rPr>
              <w:t>55.28</w:t>
            </w:r>
          </w:p>
        </w:tc>
        <w:tc>
          <w:tcPr>
            <w:tcW w:type="dxa" w:w="900"/>
          </w:tcPr>
          <w:p>
            <w:pPr>
              <w:pStyle w:val="Compact"/>
              <w:jc w:val="left"/>
            </w:pPr>
            <w:r>
              <w:rPr>
                <w:b w:val="0"/>
              </w:rPr>
              <w:t>64.04</w:t>
            </w:r>
          </w:p>
        </w:tc>
        <w:tc>
          <w:tcPr>
            <w:tcW w:type="dxa" w:w="900"/>
          </w:tcPr>
          <w:p>
            <w:pPr>
              <w:pStyle w:val="Compact"/>
              <w:jc w:val="left"/>
            </w:pPr>
            <w:r>
              <w:rPr>
                <w:b w:val="0"/>
              </w:rPr>
              <w:t>60.64</w:t>
            </w:r>
          </w:p>
        </w:tc>
        <w:tc>
          <w:tcPr>
            <w:tcW w:type="dxa" w:w="900"/>
          </w:tcPr>
          <w:p>
            <w:pPr>
              <w:pStyle w:val="Compact"/>
              <w:jc w:val="left"/>
            </w:pPr>
            <w:r>
              <w:rPr>
                <w:b w:val="0"/>
              </w:rPr>
              <w:t>+5.37</w:t>
            </w:r>
          </w:p>
        </w:tc>
      </w:tr>
      <w:tr>
        <w:tc>
          <w:tcPr>
            <w:tcW w:type="dxa" w:w="944"/>
          </w:tcPr>
          <w:p>
            <w:pPr>
              <w:pStyle w:val="Compact"/>
              <w:jc w:val="left"/>
            </w:pPr>
            <w:r>
              <w:rPr>
                <w:b w:val="0"/>
              </w:rPr>
              <w:t>mistral-nemo:latest_baseline</w:t>
            </w:r>
          </w:p>
        </w:tc>
        <w:tc>
          <w:tcPr>
            <w:tcW w:type="dxa" w:w="2494"/>
          </w:tcPr>
          <w:p>
            <w:pPr>
              <w:pStyle w:val="Compact"/>
              <w:jc w:val="left"/>
            </w:pPr>
            <w:r>
              <w:rPr>
                <w:b w:val="0"/>
              </w:rPr>
              <w:t>benchmark_n120_REMOTO</w:t>
            </w:r>
          </w:p>
        </w:tc>
        <w:tc>
          <w:tcPr>
            <w:tcW w:type="dxa" w:w="900"/>
          </w:tcPr>
          <w:p>
            <w:pPr>
              <w:pStyle w:val="Compact"/>
              <w:jc w:val="left"/>
            </w:pPr>
            <w:r>
              <w:rPr>
                <w:b w:val="0"/>
              </w:rPr>
              <w:t>56.28</w:t>
            </w:r>
          </w:p>
        </w:tc>
        <w:tc>
          <w:tcPr>
            <w:tcW w:type="dxa" w:w="900"/>
          </w:tcPr>
          <w:p>
            <w:pPr>
              <w:pStyle w:val="Compact"/>
              <w:jc w:val="center"/>
            </w:pPr>
            <w:r>
              <w:rPr>
                <w:b w:val="0"/>
              </w:rPr>
              <w:t>43.58</w:t>
            </w:r>
          </w:p>
        </w:tc>
        <w:tc>
          <w:tcPr>
            <w:tcW w:type="dxa" w:w="900"/>
          </w:tcPr>
          <w:p>
            <w:pPr>
              <w:pStyle w:val="Compact"/>
              <w:jc w:val="center"/>
            </w:pPr>
            <w:r>
              <w:rPr>
                <w:b w:val="0"/>
              </w:rPr>
              <w:t>49.12</w:t>
            </w:r>
          </w:p>
        </w:tc>
        <w:tc>
          <w:tcPr>
            <w:tcW w:type="dxa" w:w="900"/>
          </w:tcPr>
          <w:p>
            <w:pPr>
              <w:pStyle w:val="Compact"/>
              <w:jc w:val="left"/>
            </w:pPr>
            <w:r>
              <w:rPr>
                <w:b w:val="0"/>
              </w:rPr>
              <w:t>84.92</w:t>
            </w:r>
          </w:p>
        </w:tc>
        <w:tc>
          <w:tcPr>
            <w:tcW w:type="dxa" w:w="900"/>
          </w:tcPr>
          <w:p>
            <w:pPr>
              <w:pStyle w:val="Compact"/>
              <w:jc w:val="left"/>
            </w:pPr>
            <w:r>
              <w:rPr>
                <w:b w:val="0"/>
              </w:rPr>
              <w:t>57.60</w:t>
            </w:r>
          </w:p>
        </w:tc>
        <w:tc>
          <w:tcPr>
            <w:tcW w:type="dxa" w:w="900"/>
          </w:tcPr>
          <w:p>
            <w:pPr>
              <w:pStyle w:val="Compact"/>
              <w:jc w:val="left"/>
            </w:pPr>
            <w:r>
              <w:rPr>
                <w:b w:val="0"/>
              </w:rPr>
              <w:t>+8.48</w:t>
            </w:r>
          </w:p>
        </w:tc>
      </w:tr>
      <w:tr>
        <w:tc>
          <w:tcPr>
            <w:tcW w:type="dxa" w:w="944"/>
          </w:tcPr>
          <w:p>
            <w:pPr>
              <w:pStyle w:val="Compact"/>
              <w:jc w:val="left"/>
            </w:pPr>
            <w:r>
              <w:rPr>
                <w:b w:val="0"/>
              </w:rPr>
              <w:t>nuextract:latest_baseline</w:t>
            </w:r>
          </w:p>
        </w:tc>
        <w:tc>
          <w:tcPr>
            <w:tcW w:type="dxa" w:w="2494"/>
          </w:tcPr>
          <w:p>
            <w:pPr>
              <w:pStyle w:val="Compact"/>
              <w:jc w:val="left"/>
            </w:pPr>
            <w:r>
              <w:rPr>
                <w:b w:val="0"/>
              </w:rPr>
              <w:t>benchmark_n120_REMOTO</w:t>
            </w:r>
          </w:p>
        </w:tc>
        <w:tc>
          <w:tcPr>
            <w:tcW w:type="dxa" w:w="900"/>
          </w:tcPr>
          <w:p>
            <w:pPr>
              <w:pStyle w:val="Compact"/>
              <w:jc w:val="left"/>
            </w:pPr>
            <w:r>
              <w:rPr>
                <w:b w:val="0"/>
              </w:rPr>
              <w:t>49.92</w:t>
            </w:r>
          </w:p>
        </w:tc>
        <w:tc>
          <w:tcPr>
            <w:tcW w:type="dxa" w:w="900"/>
          </w:tcPr>
          <w:p>
            <w:pPr>
              <w:pStyle w:val="Compact"/>
              <w:jc w:val="center"/>
            </w:pPr>
            <w:r>
              <w:rPr>
                <w:b w:val="0"/>
              </w:rPr>
              <w:t>45.30</w:t>
            </w:r>
          </w:p>
        </w:tc>
        <w:tc>
          <w:tcPr>
            <w:tcW w:type="dxa" w:w="900"/>
          </w:tcPr>
          <w:p>
            <w:pPr>
              <w:pStyle w:val="Compact"/>
              <w:jc w:val="center"/>
            </w:pPr>
            <w:r>
              <w:rPr>
                <w:b w:val="0"/>
              </w:rPr>
              <w:t>47.50</w:t>
            </w:r>
          </w:p>
        </w:tc>
        <w:tc>
          <w:tcPr>
            <w:tcW w:type="dxa" w:w="900"/>
          </w:tcPr>
          <w:p>
            <w:pPr>
              <w:pStyle w:val="Compact"/>
              <w:jc w:val="left"/>
            </w:pPr>
            <w:r>
              <w:rPr>
                <w:b w:val="0"/>
              </w:rPr>
              <w:t>78.35</w:t>
            </w:r>
          </w:p>
        </w:tc>
        <w:tc>
          <w:tcPr>
            <w:tcW w:type="dxa" w:w="900"/>
          </w:tcPr>
          <w:p>
            <w:pPr>
              <w:pStyle w:val="Compact"/>
              <w:jc w:val="left"/>
            </w:pPr>
            <w:r>
              <w:rPr>
                <w:b w:val="0"/>
              </w:rPr>
              <w:t>57.41</w:t>
            </w:r>
          </w:p>
        </w:tc>
        <w:tc>
          <w:tcPr>
            <w:tcW w:type="dxa" w:w="900"/>
          </w:tcPr>
          <w:p>
            <w:pPr>
              <w:pStyle w:val="Compact"/>
              <w:jc w:val="left"/>
            </w:pPr>
            <w:r>
              <w:rPr>
                <w:b w:val="0"/>
              </w:rPr>
              <w:t>+9.91</w:t>
            </w:r>
          </w:p>
        </w:tc>
      </w:tr>
      <w:tr>
        <w:tc>
          <w:tcPr>
            <w:tcW w:type="dxa" w:w="944"/>
          </w:tcPr>
          <w:p>
            <w:pPr>
              <w:pStyle w:val="Compact"/>
              <w:jc w:val="left"/>
            </w:pPr>
            <w:r>
              <w:rPr>
                <w:b w:val="0"/>
              </w:rPr>
              <w:t>qwen3:8b_rag_enhanced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51.98</w:t>
            </w:r>
          </w:p>
        </w:tc>
        <w:tc>
          <w:tcPr>
            <w:tcW w:type="dxa" w:w="900"/>
          </w:tcPr>
          <w:p>
            <w:pPr>
              <w:pStyle w:val="Compact"/>
              <w:jc w:val="center"/>
            </w:pPr>
            <w:r>
              <w:rPr>
                <w:b w:val="0"/>
              </w:rPr>
              <w:t>43.71</w:t>
            </w:r>
          </w:p>
        </w:tc>
        <w:tc>
          <w:tcPr>
            <w:tcW w:type="dxa" w:w="900"/>
          </w:tcPr>
          <w:p>
            <w:pPr>
              <w:pStyle w:val="Compact"/>
              <w:jc w:val="center"/>
            </w:pPr>
            <w:r>
              <w:rPr>
                <w:b w:val="0"/>
              </w:rPr>
              <w:t>47.48</w:t>
            </w:r>
          </w:p>
        </w:tc>
        <w:tc>
          <w:tcPr>
            <w:tcW w:type="dxa" w:w="900"/>
          </w:tcPr>
          <w:p>
            <w:pPr>
              <w:pStyle w:val="Compact"/>
              <w:jc w:val="left"/>
            </w:pPr>
            <w:r>
              <w:rPr>
                <w:b w:val="0"/>
              </w:rPr>
              <w:t>82.62</w:t>
            </w:r>
          </w:p>
        </w:tc>
        <w:tc>
          <w:tcPr>
            <w:tcW w:type="dxa" w:w="900"/>
          </w:tcPr>
          <w:p>
            <w:pPr>
              <w:pStyle w:val="Compact"/>
              <w:jc w:val="left"/>
            </w:pPr>
            <w:r>
              <w:rPr>
                <w:b w:val="0"/>
              </w:rPr>
              <w:t>57.17</w:t>
            </w:r>
          </w:p>
        </w:tc>
        <w:tc>
          <w:tcPr>
            <w:tcW w:type="dxa" w:w="900"/>
          </w:tcPr>
          <w:p>
            <w:pPr>
              <w:pStyle w:val="Compact"/>
              <w:jc w:val="left"/>
            </w:pPr>
            <w:r>
              <w:rPr>
                <w:b w:val="0"/>
              </w:rPr>
              <w:t>+9.69</w:t>
            </w:r>
          </w:p>
        </w:tc>
      </w:tr>
      <w:tr>
        <w:tc>
          <w:tcPr>
            <w:tcW w:type="dxa" w:w="944"/>
          </w:tcPr>
          <w:p>
            <w:pPr>
              <w:pStyle w:val="Compact"/>
              <w:jc w:val="left"/>
            </w:pPr>
            <w:r>
              <w:rPr>
                <w:b w:val="0"/>
              </w:rPr>
              <w:t>mistral-nemo:latest_kb_rag</w:t>
            </w:r>
          </w:p>
        </w:tc>
        <w:tc>
          <w:tcPr>
            <w:tcW w:type="dxa" w:w="2494"/>
          </w:tcPr>
          <w:p>
            <w:pPr>
              <w:pStyle w:val="Compact"/>
              <w:jc w:val="left"/>
            </w:pPr>
            <w:r>
              <w:rPr>
                <w:b w:val="0"/>
              </w:rPr>
              <w:t>benchmark_n120_REMOTO</w:t>
            </w:r>
          </w:p>
        </w:tc>
        <w:tc>
          <w:tcPr>
            <w:tcW w:type="dxa" w:w="900"/>
          </w:tcPr>
          <w:p>
            <w:pPr>
              <w:pStyle w:val="Compact"/>
              <w:jc w:val="left"/>
            </w:pPr>
            <w:r>
              <w:rPr>
                <w:b w:val="0"/>
              </w:rPr>
              <w:t>60.16</w:t>
            </w:r>
          </w:p>
        </w:tc>
        <w:tc>
          <w:tcPr>
            <w:tcW w:type="dxa" w:w="900"/>
          </w:tcPr>
          <w:p>
            <w:pPr>
              <w:pStyle w:val="Compact"/>
              <w:jc w:val="center"/>
            </w:pPr>
            <w:r>
              <w:rPr>
                <w:b w:val="0"/>
              </w:rPr>
              <w:t>43.14</w:t>
            </w:r>
          </w:p>
        </w:tc>
        <w:tc>
          <w:tcPr>
            <w:tcW w:type="dxa" w:w="900"/>
          </w:tcPr>
          <w:p>
            <w:pPr>
              <w:pStyle w:val="Compact"/>
              <w:jc w:val="center"/>
            </w:pPr>
            <w:r>
              <w:rPr>
                <w:b w:val="0"/>
              </w:rPr>
              <w:t>50.25</w:t>
            </w:r>
          </w:p>
        </w:tc>
        <w:tc>
          <w:tcPr>
            <w:tcW w:type="dxa" w:w="900"/>
          </w:tcPr>
          <w:p>
            <w:pPr>
              <w:pStyle w:val="Compact"/>
              <w:jc w:val="left"/>
            </w:pPr>
            <w:r>
              <w:rPr>
                <w:b w:val="0"/>
              </w:rPr>
              <w:t>83.61</w:t>
            </w:r>
          </w:p>
        </w:tc>
        <w:tc>
          <w:tcPr>
            <w:tcW w:type="dxa" w:w="900"/>
          </w:tcPr>
          <w:p>
            <w:pPr>
              <w:pStyle w:val="Compact"/>
              <w:jc w:val="left"/>
            </w:pPr>
            <w:r>
              <w:rPr>
                <w:b w:val="0"/>
              </w:rPr>
              <w:t>56.92</w:t>
            </w:r>
          </w:p>
        </w:tc>
        <w:tc>
          <w:tcPr>
            <w:tcW w:type="dxa" w:w="900"/>
          </w:tcPr>
          <w:p>
            <w:pPr>
              <w:pStyle w:val="Compact"/>
              <w:jc w:val="left"/>
            </w:pPr>
            <w:r>
              <w:rPr>
                <w:b w:val="0"/>
              </w:rPr>
              <w:t>+6.67</w:t>
            </w:r>
          </w:p>
        </w:tc>
      </w:tr>
      <w:tr>
        <w:tc>
          <w:tcPr>
            <w:tcW w:type="dxa" w:w="944"/>
          </w:tcPr>
          <w:p>
            <w:pPr>
              <w:pStyle w:val="Compact"/>
              <w:jc w:val="left"/>
            </w:pPr>
            <w:r>
              <w:rPr>
                <w:b w:val="0"/>
              </w:rPr>
              <w:t>gemma:latest_baseline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49.51</w:t>
            </w:r>
          </w:p>
        </w:tc>
        <w:tc>
          <w:tcPr>
            <w:tcW w:type="dxa" w:w="900"/>
          </w:tcPr>
          <w:p>
            <w:pPr>
              <w:pStyle w:val="Compact"/>
              <w:jc w:val="center"/>
            </w:pPr>
            <w:r>
              <w:rPr>
                <w:b w:val="0"/>
              </w:rPr>
              <w:t>46.42</w:t>
            </w:r>
          </w:p>
        </w:tc>
        <w:tc>
          <w:tcPr>
            <w:tcW w:type="dxa" w:w="900"/>
          </w:tcPr>
          <w:p>
            <w:pPr>
              <w:pStyle w:val="Compact"/>
              <w:jc w:val="center"/>
            </w:pPr>
            <w:r>
              <w:rPr>
                <w:b w:val="0"/>
              </w:rPr>
              <w:t>47.91</w:t>
            </w:r>
          </w:p>
        </w:tc>
        <w:tc>
          <w:tcPr>
            <w:tcW w:type="dxa" w:w="900"/>
          </w:tcPr>
          <w:p>
            <w:pPr>
              <w:pStyle w:val="Compact"/>
              <w:jc w:val="left"/>
            </w:pPr>
            <w:r>
              <w:rPr>
                <w:b w:val="0"/>
              </w:rPr>
              <w:t>68.63</w:t>
            </w:r>
          </w:p>
        </w:tc>
        <w:tc>
          <w:tcPr>
            <w:tcW w:type="dxa" w:w="900"/>
          </w:tcPr>
          <w:p>
            <w:pPr>
              <w:pStyle w:val="Compact"/>
              <w:jc w:val="left"/>
            </w:pPr>
            <w:r>
              <w:rPr>
                <w:b w:val="0"/>
              </w:rPr>
              <w:t>55.38</w:t>
            </w:r>
          </w:p>
        </w:tc>
        <w:tc>
          <w:tcPr>
            <w:tcW w:type="dxa" w:w="900"/>
          </w:tcPr>
          <w:p>
            <w:pPr>
              <w:pStyle w:val="Compact"/>
              <w:jc w:val="left"/>
            </w:pPr>
            <w:r>
              <w:rPr>
                <w:b w:val="0"/>
              </w:rPr>
              <w:t>+7.46</w:t>
            </w:r>
          </w:p>
        </w:tc>
      </w:tr>
      <w:tr>
        <w:tc>
          <w:tcPr>
            <w:tcW w:type="dxa" w:w="944"/>
          </w:tcPr>
          <w:p>
            <w:pPr>
              <w:pStyle w:val="Compact"/>
              <w:jc w:val="left"/>
            </w:pPr>
            <w:r>
              <w:rPr>
                <w:b w:val="0"/>
              </w:rPr>
              <w:t>llama3.2:latest_baseline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43.29</w:t>
            </w:r>
          </w:p>
        </w:tc>
        <w:tc>
          <w:tcPr>
            <w:tcW w:type="dxa" w:w="900"/>
          </w:tcPr>
          <w:p>
            <w:pPr>
              <w:pStyle w:val="Compact"/>
              <w:jc w:val="center"/>
            </w:pPr>
            <w:r>
              <w:rPr>
                <w:b w:val="0"/>
              </w:rPr>
              <w:t>38.91</w:t>
            </w:r>
          </w:p>
        </w:tc>
        <w:tc>
          <w:tcPr>
            <w:tcW w:type="dxa" w:w="900"/>
          </w:tcPr>
          <w:p>
            <w:pPr>
              <w:pStyle w:val="Compact"/>
              <w:jc w:val="center"/>
            </w:pPr>
            <w:r>
              <w:rPr>
                <w:b w:val="0"/>
              </w:rPr>
              <w:t>40.98</w:t>
            </w:r>
          </w:p>
        </w:tc>
        <w:tc>
          <w:tcPr>
            <w:tcW w:type="dxa" w:w="900"/>
          </w:tcPr>
          <w:p>
            <w:pPr>
              <w:pStyle w:val="Compact"/>
              <w:jc w:val="left"/>
            </w:pPr>
            <w:r>
              <w:rPr>
                <w:b w:val="0"/>
              </w:rPr>
              <w:t>82.54</w:t>
            </w:r>
          </w:p>
        </w:tc>
        <w:tc>
          <w:tcPr>
            <w:tcW w:type="dxa" w:w="900"/>
          </w:tcPr>
          <w:p>
            <w:pPr>
              <w:pStyle w:val="Compact"/>
              <w:jc w:val="left"/>
            </w:pPr>
            <w:r>
              <w:rPr>
                <w:b w:val="0"/>
              </w:rPr>
              <w:t>52.89</w:t>
            </w:r>
          </w:p>
        </w:tc>
        <w:tc>
          <w:tcPr>
            <w:tcW w:type="dxa" w:w="900"/>
          </w:tcPr>
          <w:p>
            <w:pPr>
              <w:pStyle w:val="Compact"/>
              <w:jc w:val="left"/>
            </w:pPr>
            <w:r>
              <w:rPr>
                <w:b w:val="0"/>
              </w:rPr>
              <w:t>+11.91</w:t>
            </w:r>
          </w:p>
        </w:tc>
      </w:tr>
      <w:tr>
        <w:tc>
          <w:tcPr>
            <w:tcW w:type="dxa" w:w="944"/>
          </w:tcPr>
          <w:p>
            <w:pPr>
              <w:pStyle w:val="Compact"/>
              <w:jc w:val="left"/>
            </w:pPr>
            <w:r>
              <w:rPr>
                <w:b w:val="0"/>
              </w:rPr>
              <w:t>llama3.2:latest</w:t>
            </w:r>
          </w:p>
        </w:tc>
        <w:tc>
          <w:tcPr>
            <w:tcW w:type="dxa" w:w="2494"/>
          </w:tcPr>
          <w:p>
            <w:pPr>
              <w:pStyle w:val="Compact"/>
              <w:jc w:val="left"/>
            </w:pPr>
            <w:r>
              <w:rPr>
                <w:b w:val="0"/>
              </w:rPr>
              <w:t>benchmark_balanced_120_20260824_173017</w:t>
            </w:r>
          </w:p>
        </w:tc>
        <w:tc>
          <w:tcPr>
            <w:tcW w:type="dxa" w:w="900"/>
          </w:tcPr>
          <w:p>
            <w:pPr>
              <w:pStyle w:val="Compact"/>
              <w:jc w:val="left"/>
            </w:pPr>
            <w:r>
              <w:rPr>
                <w:b w:val="0"/>
              </w:rPr>
              <w:t>43.29</w:t>
            </w:r>
          </w:p>
        </w:tc>
        <w:tc>
          <w:tcPr>
            <w:tcW w:type="dxa" w:w="900"/>
          </w:tcPr>
          <w:p>
            <w:pPr>
              <w:pStyle w:val="Compact"/>
              <w:jc w:val="center"/>
            </w:pPr>
            <w:r>
              <w:rPr>
                <w:b w:val="0"/>
              </w:rPr>
              <w:t>38.91</w:t>
            </w:r>
          </w:p>
        </w:tc>
        <w:tc>
          <w:tcPr>
            <w:tcW w:type="dxa" w:w="900"/>
          </w:tcPr>
          <w:p>
            <w:pPr>
              <w:pStyle w:val="Compact"/>
              <w:jc w:val="center"/>
            </w:pPr>
            <w:r>
              <w:rPr>
                <w:b w:val="0"/>
              </w:rPr>
              <w:t>40.98</w:t>
            </w:r>
          </w:p>
        </w:tc>
        <w:tc>
          <w:tcPr>
            <w:tcW w:type="dxa" w:w="900"/>
          </w:tcPr>
          <w:p>
            <w:pPr>
              <w:pStyle w:val="Compact"/>
              <w:jc w:val="left"/>
            </w:pPr>
            <w:r>
              <w:rPr>
                <w:b w:val="0"/>
              </w:rPr>
              <w:t>82.54</w:t>
            </w:r>
          </w:p>
        </w:tc>
        <w:tc>
          <w:tcPr>
            <w:tcW w:type="dxa" w:w="900"/>
          </w:tcPr>
          <w:p>
            <w:pPr>
              <w:pStyle w:val="Compact"/>
              <w:jc w:val="left"/>
            </w:pPr>
            <w:r>
              <w:rPr>
                <w:b w:val="0"/>
              </w:rPr>
              <w:t>52.89</w:t>
            </w:r>
          </w:p>
        </w:tc>
        <w:tc>
          <w:tcPr>
            <w:tcW w:type="dxa" w:w="900"/>
          </w:tcPr>
          <w:p>
            <w:pPr>
              <w:pStyle w:val="Compact"/>
              <w:jc w:val="left"/>
            </w:pPr>
            <w:r>
              <w:rPr>
                <w:b w:val="0"/>
              </w:rPr>
              <w:t>+11.91</w:t>
            </w:r>
          </w:p>
        </w:tc>
      </w:tr>
      <w:tr>
        <w:tc>
          <w:tcPr>
            <w:tcW w:type="dxa" w:w="944"/>
          </w:tcPr>
          <w:p>
            <w:pPr>
              <w:pStyle w:val="Compact"/>
              <w:jc w:val="left"/>
            </w:pPr>
            <w:r>
              <w:rPr>
                <w:b w:val="0"/>
              </w:rPr>
              <w:t>gemma:latest_rag_enhanced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49.87</w:t>
            </w:r>
          </w:p>
        </w:tc>
        <w:tc>
          <w:tcPr>
            <w:tcW w:type="dxa" w:w="900"/>
          </w:tcPr>
          <w:p>
            <w:pPr>
              <w:pStyle w:val="Compact"/>
              <w:jc w:val="center"/>
            </w:pPr>
            <w:r>
              <w:rPr>
                <w:b w:val="0"/>
              </w:rPr>
              <w:t>40.04</w:t>
            </w:r>
          </w:p>
        </w:tc>
        <w:tc>
          <w:tcPr>
            <w:tcW w:type="dxa" w:w="900"/>
          </w:tcPr>
          <w:p>
            <w:pPr>
              <w:pStyle w:val="Compact"/>
              <w:jc w:val="center"/>
            </w:pPr>
            <w:r>
              <w:rPr>
                <w:b w:val="0"/>
              </w:rPr>
              <w:t>44.42</w:t>
            </w:r>
          </w:p>
        </w:tc>
        <w:tc>
          <w:tcPr>
            <w:tcW w:type="dxa" w:w="900"/>
          </w:tcPr>
          <w:p>
            <w:pPr>
              <w:pStyle w:val="Compact"/>
              <w:jc w:val="left"/>
            </w:pPr>
            <w:r>
              <w:rPr>
                <w:b w:val="0"/>
              </w:rPr>
              <w:t>71.36</w:t>
            </w:r>
          </w:p>
        </w:tc>
        <w:tc>
          <w:tcPr>
            <w:tcW w:type="dxa" w:w="900"/>
          </w:tcPr>
          <w:p>
            <w:pPr>
              <w:pStyle w:val="Compact"/>
              <w:jc w:val="left"/>
            </w:pPr>
            <w:r>
              <w:rPr>
                <w:b w:val="0"/>
              </w:rPr>
              <w:t>51.30</w:t>
            </w:r>
          </w:p>
        </w:tc>
        <w:tc>
          <w:tcPr>
            <w:tcW w:type="dxa" w:w="900"/>
          </w:tcPr>
          <w:p>
            <w:pPr>
              <w:pStyle w:val="Compact"/>
              <w:jc w:val="left"/>
            </w:pPr>
            <w:r>
              <w:rPr>
                <w:b w:val="0"/>
              </w:rPr>
              <w:t>+6.88</w:t>
            </w:r>
          </w:p>
        </w:tc>
      </w:tr>
      <w:tr>
        <w:tc>
          <w:tcPr>
            <w:tcW w:type="dxa" w:w="944"/>
          </w:tcPr>
          <w:p>
            <w:pPr>
              <w:pStyle w:val="Compact"/>
              <w:jc w:val="left"/>
            </w:pPr>
            <w:r>
              <w:rPr>
                <w:b w:val="0"/>
              </w:rPr>
              <w:t>gemma4-12b-mlx-q8-64k:latest_baseline</w:t>
            </w:r>
          </w:p>
        </w:tc>
        <w:tc>
          <w:tcPr>
            <w:tcW w:type="dxa" w:w="2494"/>
          </w:tcPr>
          <w:p>
            <w:pPr>
              <w:pStyle w:val="Compact"/>
              <w:jc w:val="left"/>
            </w:pPr>
            <w:r>
              <w:rPr>
                <w:b w:val="0"/>
              </w:rPr>
              <w:t>benchmark_balanced_120_20260824_173036</w:t>
            </w:r>
          </w:p>
        </w:tc>
        <w:tc>
          <w:tcPr>
            <w:tcW w:type="dxa" w:w="900"/>
          </w:tcPr>
          <w:p>
            <w:pPr>
              <w:pStyle w:val="Compact"/>
              <w:jc w:val="left"/>
            </w:pPr>
            <w:r>
              <w:rPr>
                <w:b w:val="0"/>
              </w:rPr>
              <w:t>58.14</w:t>
            </w:r>
          </w:p>
        </w:tc>
        <w:tc>
          <w:tcPr>
            <w:tcW w:type="dxa" w:w="900"/>
          </w:tcPr>
          <w:p>
            <w:pPr>
              <w:pStyle w:val="Compact"/>
              <w:jc w:val="center"/>
            </w:pPr>
            <w:r>
              <w:rPr>
                <w:b w:val="0"/>
              </w:rPr>
              <w:t>30.98</w:t>
            </w:r>
          </w:p>
        </w:tc>
        <w:tc>
          <w:tcPr>
            <w:tcW w:type="dxa" w:w="900"/>
          </w:tcPr>
          <w:p>
            <w:pPr>
              <w:pStyle w:val="Compact"/>
              <w:jc w:val="center"/>
            </w:pPr>
            <w:r>
              <w:rPr>
                <w:b w:val="0"/>
              </w:rPr>
              <w:t>40.42</w:t>
            </w:r>
          </w:p>
        </w:tc>
        <w:tc>
          <w:tcPr>
            <w:tcW w:type="dxa" w:w="900"/>
          </w:tcPr>
          <w:p>
            <w:pPr>
              <w:pStyle w:val="Compact"/>
              <w:jc w:val="left"/>
            </w:pPr>
            <w:r>
              <w:rPr>
                <w:b w:val="0"/>
              </w:rPr>
              <w:t>85.52</w:t>
            </w:r>
          </w:p>
        </w:tc>
        <w:tc>
          <w:tcPr>
            <w:tcW w:type="dxa" w:w="900"/>
          </w:tcPr>
          <w:p>
            <w:pPr>
              <w:pStyle w:val="Compact"/>
              <w:jc w:val="left"/>
            </w:pPr>
            <w:r>
              <w:rPr>
                <w:b w:val="0"/>
              </w:rPr>
              <w:t>45.48</w:t>
            </w:r>
          </w:p>
        </w:tc>
        <w:tc>
          <w:tcPr>
            <w:tcW w:type="dxa" w:w="900"/>
          </w:tcPr>
          <w:p>
            <w:pPr>
              <w:pStyle w:val="Compact"/>
              <w:jc w:val="left"/>
            </w:pPr>
            <w:r>
              <w:rPr>
                <w:b w:val="0"/>
              </w:rPr>
              <w:t>+5.06</w:t>
            </w:r>
          </w:p>
        </w:tc>
      </w:tr>
      <w:tr>
        <w:tc>
          <w:tcPr>
            <w:tcW w:type="dxa" w:w="944"/>
          </w:tcPr>
          <w:p>
            <w:pPr>
              <w:pStyle w:val="Compact"/>
              <w:jc w:val="left"/>
            </w:pPr>
            <w:r>
              <w:rPr>
                <w:b w:val="0"/>
              </w:rPr>
              <w:t>nemotron-mini:4b_kb_rag</w:t>
            </w:r>
          </w:p>
        </w:tc>
        <w:tc>
          <w:tcPr>
            <w:tcW w:type="dxa" w:w="2494"/>
          </w:tcPr>
          <w:p>
            <w:pPr>
              <w:pStyle w:val="Compact"/>
              <w:jc w:val="left"/>
            </w:pPr>
            <w:r>
              <w:rPr>
                <w:b w:val="0"/>
              </w:rPr>
              <w:t>nemotron_rerun_n120_REMOTO</w:t>
            </w:r>
          </w:p>
        </w:tc>
        <w:tc>
          <w:tcPr>
            <w:tcW w:type="dxa" w:w="900"/>
          </w:tcPr>
          <w:p>
            <w:pPr>
              <w:pStyle w:val="Compact"/>
              <w:jc w:val="left"/>
            </w:pPr>
            <w:r>
              <w:rPr>
                <w:b w:val="0"/>
              </w:rPr>
              <w:t>41.06</w:t>
            </w:r>
          </w:p>
        </w:tc>
        <w:tc>
          <w:tcPr>
            <w:tcW w:type="dxa" w:w="900"/>
          </w:tcPr>
          <w:p>
            <w:pPr>
              <w:pStyle w:val="Compact"/>
              <w:jc w:val="center"/>
            </w:pPr>
            <w:r>
              <w:rPr>
                <w:b w:val="0"/>
              </w:rPr>
              <w:t>36.90</w:t>
            </w:r>
          </w:p>
        </w:tc>
        <w:tc>
          <w:tcPr>
            <w:tcW w:type="dxa" w:w="900"/>
          </w:tcPr>
          <w:p>
            <w:pPr>
              <w:pStyle w:val="Compact"/>
              <w:jc w:val="center"/>
            </w:pPr>
            <w:r>
              <w:rPr>
                <w:b w:val="0"/>
              </w:rPr>
              <w:t>38.87</w:t>
            </w:r>
          </w:p>
        </w:tc>
        <w:tc>
          <w:tcPr>
            <w:tcW w:type="dxa" w:w="900"/>
          </w:tcPr>
          <w:p>
            <w:pPr>
              <w:pStyle w:val="Compact"/>
              <w:jc w:val="left"/>
            </w:pPr>
            <w:r>
              <w:rPr>
                <w:b w:val="0"/>
              </w:rPr>
              <w:t>55.48</w:t>
            </w:r>
          </w:p>
        </w:tc>
        <w:tc>
          <w:tcPr>
            <w:tcW w:type="dxa" w:w="900"/>
          </w:tcPr>
          <w:p>
            <w:pPr>
              <w:pStyle w:val="Compact"/>
              <w:jc w:val="left"/>
            </w:pPr>
            <w:r>
              <w:rPr>
                <w:b w:val="0"/>
              </w:rPr>
              <w:t>44.32</w:t>
            </w:r>
          </w:p>
        </w:tc>
        <w:tc>
          <w:tcPr>
            <w:tcW w:type="dxa" w:w="900"/>
          </w:tcPr>
          <w:p>
            <w:pPr>
              <w:pStyle w:val="Compact"/>
              <w:jc w:val="left"/>
            </w:pPr>
            <w:r>
              <w:rPr>
                <w:b w:val="0"/>
              </w:rPr>
              <w:t>+5.46</w:t>
            </w:r>
          </w:p>
        </w:tc>
      </w:tr>
      <w:tr>
        <w:tc>
          <w:tcPr>
            <w:tcW w:type="dxa" w:w="944"/>
          </w:tcPr>
          <w:p>
            <w:pPr>
              <w:pStyle w:val="Compact"/>
              <w:jc w:val="left"/>
            </w:pPr>
            <w:r>
              <w:rPr>
                <w:b w:val="0"/>
              </w:rPr>
              <w:t>llama3.2:latest_rag_enhanced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41.63</w:t>
            </w:r>
          </w:p>
        </w:tc>
        <w:tc>
          <w:tcPr>
            <w:tcW w:type="dxa" w:w="900"/>
          </w:tcPr>
          <w:p>
            <w:pPr>
              <w:pStyle w:val="Compact"/>
              <w:jc w:val="center"/>
            </w:pPr>
            <w:r>
              <w:rPr>
                <w:b w:val="0"/>
              </w:rPr>
              <w:t>30.46</w:t>
            </w:r>
          </w:p>
        </w:tc>
        <w:tc>
          <w:tcPr>
            <w:tcW w:type="dxa" w:w="900"/>
          </w:tcPr>
          <w:p>
            <w:pPr>
              <w:pStyle w:val="Compact"/>
              <w:jc w:val="center"/>
            </w:pPr>
            <w:r>
              <w:rPr>
                <w:b w:val="0"/>
              </w:rPr>
              <w:t>35.18</w:t>
            </w:r>
          </w:p>
        </w:tc>
        <w:tc>
          <w:tcPr>
            <w:tcW w:type="dxa" w:w="900"/>
          </w:tcPr>
          <w:p>
            <w:pPr>
              <w:pStyle w:val="Compact"/>
              <w:jc w:val="left"/>
            </w:pPr>
            <w:r>
              <w:rPr>
                <w:b w:val="0"/>
              </w:rPr>
              <w:t>78.10</w:t>
            </w:r>
          </w:p>
        </w:tc>
        <w:tc>
          <w:tcPr>
            <w:tcW w:type="dxa" w:w="900"/>
          </w:tcPr>
          <w:p>
            <w:pPr>
              <w:pStyle w:val="Compact"/>
              <w:jc w:val="left"/>
            </w:pPr>
            <w:r>
              <w:rPr>
                <w:b w:val="0"/>
              </w:rPr>
              <w:t>43.83</w:t>
            </w:r>
          </w:p>
        </w:tc>
        <w:tc>
          <w:tcPr>
            <w:tcW w:type="dxa" w:w="900"/>
          </w:tcPr>
          <w:p>
            <w:pPr>
              <w:pStyle w:val="Compact"/>
              <w:jc w:val="left"/>
            </w:pPr>
            <w:r>
              <w:rPr>
                <w:b w:val="0"/>
              </w:rPr>
              <w:t>+8.65</w:t>
            </w:r>
          </w:p>
        </w:tc>
      </w:tr>
      <w:tr>
        <w:tc>
          <w:tcPr>
            <w:tcW w:type="dxa" w:w="944"/>
          </w:tcPr>
          <w:p>
            <w:pPr>
              <w:pStyle w:val="Compact"/>
              <w:jc w:val="left"/>
            </w:pPr>
            <w:r>
              <w:rPr>
                <w:b w:val="0"/>
              </w:rPr>
              <w:t>gemma4:12b-mlx_baseline</w:t>
            </w:r>
          </w:p>
        </w:tc>
        <w:tc>
          <w:tcPr>
            <w:tcW w:type="dxa" w:w="2494"/>
          </w:tcPr>
          <w:p>
            <w:pPr>
              <w:pStyle w:val="Compact"/>
              <w:jc w:val="left"/>
            </w:pPr>
            <w:r>
              <w:rPr>
                <w:b w:val="0"/>
              </w:rPr>
              <w:t>benchmark_n120_REMOTO</w:t>
            </w:r>
          </w:p>
        </w:tc>
        <w:tc>
          <w:tcPr>
            <w:tcW w:type="dxa" w:w="900"/>
          </w:tcPr>
          <w:p>
            <w:pPr>
              <w:pStyle w:val="Compact"/>
              <w:jc w:val="left"/>
            </w:pPr>
            <w:r>
              <w:rPr>
                <w:b w:val="0"/>
              </w:rPr>
              <w:t>57.66</w:t>
            </w:r>
          </w:p>
        </w:tc>
        <w:tc>
          <w:tcPr>
            <w:tcW w:type="dxa" w:w="900"/>
          </w:tcPr>
          <w:p>
            <w:pPr>
              <w:pStyle w:val="Compact"/>
              <w:jc w:val="center"/>
            </w:pPr>
            <w:r>
              <w:rPr>
                <w:b w:val="0"/>
              </w:rPr>
              <w:t>26.08</w:t>
            </w:r>
          </w:p>
        </w:tc>
        <w:tc>
          <w:tcPr>
            <w:tcW w:type="dxa" w:w="900"/>
          </w:tcPr>
          <w:p>
            <w:pPr>
              <w:pStyle w:val="Compact"/>
              <w:jc w:val="center"/>
            </w:pPr>
            <w:r>
              <w:rPr>
                <w:b w:val="0"/>
              </w:rPr>
              <w:t>35.91</w:t>
            </w:r>
          </w:p>
        </w:tc>
        <w:tc>
          <w:tcPr>
            <w:tcW w:type="dxa" w:w="900"/>
          </w:tcPr>
          <w:p>
            <w:pPr>
              <w:pStyle w:val="Compact"/>
              <w:jc w:val="left"/>
            </w:pPr>
            <w:r>
              <w:rPr>
                <w:b w:val="0"/>
              </w:rPr>
              <w:t>86.21</w:t>
            </w:r>
          </w:p>
        </w:tc>
        <w:tc>
          <w:tcPr>
            <w:tcW w:type="dxa" w:w="900"/>
          </w:tcPr>
          <w:p>
            <w:pPr>
              <w:pStyle w:val="Compact"/>
              <w:jc w:val="left"/>
            </w:pPr>
            <w:r>
              <w:rPr>
                <w:b w:val="0"/>
              </w:rPr>
              <w:t>40.04</w:t>
            </w:r>
          </w:p>
        </w:tc>
        <w:tc>
          <w:tcPr>
            <w:tcW w:type="dxa" w:w="900"/>
          </w:tcPr>
          <w:p>
            <w:pPr>
              <w:pStyle w:val="Compact"/>
              <w:jc w:val="left"/>
            </w:pPr>
            <w:r>
              <w:rPr>
                <w:b w:val="0"/>
              </w:rPr>
              <w:t>+4.13</w:t>
            </w:r>
          </w:p>
        </w:tc>
      </w:tr>
      <w:tr>
        <w:tc>
          <w:tcPr>
            <w:tcW w:type="dxa" w:w="944"/>
          </w:tcPr>
          <w:p>
            <w:pPr>
              <w:pStyle w:val="Compact"/>
              <w:jc w:val="left"/>
            </w:pPr>
            <w:r>
              <w:rPr>
                <w:b w:val="0"/>
              </w:rPr>
              <w:t>mistral-nemo:latest_rag_enhanced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48.59</w:t>
            </w:r>
          </w:p>
        </w:tc>
        <w:tc>
          <w:tcPr>
            <w:tcW w:type="dxa" w:w="900"/>
          </w:tcPr>
          <w:p>
            <w:pPr>
              <w:pStyle w:val="Compact"/>
              <w:jc w:val="center"/>
            </w:pPr>
            <w:r>
              <w:rPr>
                <w:b w:val="0"/>
              </w:rPr>
              <w:t>25.82</w:t>
            </w:r>
          </w:p>
        </w:tc>
        <w:tc>
          <w:tcPr>
            <w:tcW w:type="dxa" w:w="900"/>
          </w:tcPr>
          <w:p>
            <w:pPr>
              <w:pStyle w:val="Compact"/>
              <w:jc w:val="center"/>
            </w:pPr>
            <w:r>
              <w:rPr>
                <w:b w:val="0"/>
              </w:rPr>
              <w:t>33.72</w:t>
            </w:r>
          </w:p>
        </w:tc>
        <w:tc>
          <w:tcPr>
            <w:tcW w:type="dxa" w:w="900"/>
          </w:tcPr>
          <w:p>
            <w:pPr>
              <w:pStyle w:val="Compact"/>
              <w:jc w:val="left"/>
            </w:pPr>
            <w:r>
              <w:rPr>
                <w:b w:val="0"/>
              </w:rPr>
              <w:t>87.05</w:t>
            </w:r>
          </w:p>
        </w:tc>
        <w:tc>
          <w:tcPr>
            <w:tcW w:type="dxa" w:w="900"/>
          </w:tcPr>
          <w:p>
            <w:pPr>
              <w:pStyle w:val="Compact"/>
              <w:jc w:val="left"/>
            </w:pPr>
            <w:r>
              <w:rPr>
                <w:b w:val="0"/>
              </w:rPr>
              <w:t>39.82</w:t>
            </w:r>
          </w:p>
        </w:tc>
        <w:tc>
          <w:tcPr>
            <w:tcW w:type="dxa" w:w="900"/>
          </w:tcPr>
          <w:p>
            <w:pPr>
              <w:pStyle w:val="Compact"/>
              <w:jc w:val="left"/>
            </w:pPr>
            <w:r>
              <w:rPr>
                <w:b w:val="0"/>
              </w:rPr>
              <w:t>+6.10</w:t>
            </w:r>
          </w:p>
        </w:tc>
      </w:tr>
      <w:tr>
        <w:tc>
          <w:tcPr>
            <w:tcW w:type="dxa" w:w="944"/>
          </w:tcPr>
          <w:p>
            <w:pPr>
              <w:pStyle w:val="Compact"/>
              <w:jc w:val="left"/>
            </w:pPr>
            <w:r>
              <w:rPr>
                <w:b w:val="0"/>
              </w:rPr>
              <w:t>gemma4:31b-cloud_rag_enhanced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62.47</w:t>
            </w:r>
          </w:p>
        </w:tc>
        <w:tc>
          <w:tcPr>
            <w:tcW w:type="dxa" w:w="900"/>
          </w:tcPr>
          <w:p>
            <w:pPr>
              <w:pStyle w:val="Compact"/>
              <w:jc w:val="center"/>
            </w:pPr>
            <w:r>
              <w:rPr>
                <w:b w:val="0"/>
              </w:rPr>
              <w:t>20.78</w:t>
            </w:r>
          </w:p>
        </w:tc>
        <w:tc>
          <w:tcPr>
            <w:tcW w:type="dxa" w:w="900"/>
          </w:tcPr>
          <w:p>
            <w:pPr>
              <w:pStyle w:val="Compact"/>
              <w:jc w:val="center"/>
            </w:pPr>
            <w:r>
              <w:rPr>
                <w:b w:val="0"/>
              </w:rPr>
              <w:t>31.19</w:t>
            </w:r>
          </w:p>
        </w:tc>
        <w:tc>
          <w:tcPr>
            <w:tcW w:type="dxa" w:w="900"/>
          </w:tcPr>
          <w:p>
            <w:pPr>
              <w:pStyle w:val="Compact"/>
              <w:jc w:val="left"/>
            </w:pPr>
            <w:r>
              <w:rPr>
                <w:b w:val="0"/>
              </w:rPr>
              <w:t>92.14</w:t>
            </w:r>
          </w:p>
        </w:tc>
        <w:tc>
          <w:tcPr>
            <w:tcW w:type="dxa" w:w="900"/>
          </w:tcPr>
          <w:p>
            <w:pPr>
              <w:pStyle w:val="Compact"/>
              <w:jc w:val="left"/>
            </w:pPr>
            <w:r>
              <w:rPr>
                <w:b w:val="0"/>
              </w:rPr>
              <w:t>33.91</w:t>
            </w:r>
          </w:p>
        </w:tc>
        <w:tc>
          <w:tcPr>
            <w:tcW w:type="dxa" w:w="900"/>
          </w:tcPr>
          <w:p>
            <w:pPr>
              <w:pStyle w:val="Compact"/>
              <w:jc w:val="left"/>
            </w:pPr>
            <w:r>
              <w:rPr>
                <w:b w:val="0"/>
              </w:rPr>
              <w:t>+2.73</w:t>
            </w:r>
          </w:p>
        </w:tc>
      </w:tr>
      <w:tr>
        <w:tc>
          <w:tcPr>
            <w:tcW w:type="dxa" w:w="944"/>
          </w:tcPr>
          <w:p>
            <w:pPr>
              <w:pStyle w:val="Compact"/>
              <w:jc w:val="left"/>
            </w:pPr>
            <w:r>
              <w:rPr>
                <w:b w:val="0"/>
              </w:rPr>
              <w:t>deepseek-r1:1.5b_baseline</w:t>
            </w:r>
          </w:p>
        </w:tc>
        <w:tc>
          <w:tcPr>
            <w:tcW w:type="dxa" w:w="2494"/>
          </w:tcPr>
          <w:p>
            <w:pPr>
              <w:pStyle w:val="Compact"/>
              <w:jc w:val="left"/>
            </w:pPr>
            <w:r>
              <w:rPr>
                <w:b w:val="0"/>
              </w:rPr>
              <w:t>benchmark_n120_REMOTO</w:t>
            </w:r>
          </w:p>
        </w:tc>
        <w:tc>
          <w:tcPr>
            <w:tcW w:type="dxa" w:w="900"/>
          </w:tcPr>
          <w:p>
            <w:pPr>
              <w:pStyle w:val="Compact"/>
              <w:jc w:val="left"/>
            </w:pPr>
            <w:r>
              <w:rPr>
                <w:b w:val="0"/>
              </w:rPr>
              <w:t>28.78</w:t>
            </w:r>
          </w:p>
        </w:tc>
        <w:tc>
          <w:tcPr>
            <w:tcW w:type="dxa" w:w="900"/>
          </w:tcPr>
          <w:p>
            <w:pPr>
              <w:pStyle w:val="Compact"/>
              <w:jc w:val="center"/>
            </w:pPr>
            <w:r>
              <w:rPr>
                <w:b w:val="0"/>
              </w:rPr>
              <w:t>21.82</w:t>
            </w:r>
          </w:p>
        </w:tc>
        <w:tc>
          <w:tcPr>
            <w:tcW w:type="dxa" w:w="900"/>
          </w:tcPr>
          <w:p>
            <w:pPr>
              <w:pStyle w:val="Compact"/>
              <w:jc w:val="center"/>
            </w:pPr>
            <w:r>
              <w:rPr>
                <w:b w:val="0"/>
              </w:rPr>
              <w:t>24.82</w:t>
            </w:r>
          </w:p>
        </w:tc>
        <w:tc>
          <w:tcPr>
            <w:tcW w:type="dxa" w:w="900"/>
          </w:tcPr>
          <w:p>
            <w:pPr>
              <w:pStyle w:val="Compact"/>
              <w:jc w:val="left"/>
            </w:pPr>
            <w:r>
              <w:rPr>
                <w:b w:val="0"/>
              </w:rPr>
              <w:t>39.29</w:t>
            </w:r>
          </w:p>
        </w:tc>
        <w:tc>
          <w:tcPr>
            <w:tcW w:type="dxa" w:w="900"/>
          </w:tcPr>
          <w:p>
            <w:pPr>
              <w:pStyle w:val="Compact"/>
              <w:jc w:val="left"/>
            </w:pPr>
            <w:r>
              <w:rPr>
                <w:b w:val="0"/>
              </w:rPr>
              <w:t>28.05</w:t>
            </w:r>
          </w:p>
        </w:tc>
        <w:tc>
          <w:tcPr>
            <w:tcW w:type="dxa" w:w="900"/>
          </w:tcPr>
          <w:p>
            <w:pPr>
              <w:pStyle w:val="Compact"/>
              <w:jc w:val="left"/>
            </w:pPr>
            <w:r>
              <w:rPr>
                <w:b w:val="0"/>
              </w:rPr>
              <w:t>+3.23</w:t>
            </w:r>
          </w:p>
        </w:tc>
      </w:tr>
      <w:tr>
        <w:tc>
          <w:tcPr>
            <w:tcW w:type="dxa" w:w="944"/>
          </w:tcPr>
          <w:p>
            <w:pPr>
              <w:pStyle w:val="Compact"/>
              <w:jc w:val="left"/>
            </w:pPr>
            <w:r>
              <w:rPr>
                <w:b w:val="0"/>
              </w:rPr>
              <w:t>gemma4-12b-mlx-q8-64k:latest_rag_enhanced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51.42</w:t>
            </w:r>
          </w:p>
        </w:tc>
        <w:tc>
          <w:tcPr>
            <w:tcW w:type="dxa" w:w="900"/>
          </w:tcPr>
          <w:p>
            <w:pPr>
              <w:pStyle w:val="Compact"/>
              <w:jc w:val="center"/>
            </w:pPr>
            <w:r>
              <w:rPr>
                <w:b w:val="0"/>
              </w:rPr>
              <w:t>16.64</w:t>
            </w:r>
          </w:p>
        </w:tc>
        <w:tc>
          <w:tcPr>
            <w:tcW w:type="dxa" w:w="900"/>
          </w:tcPr>
          <w:p>
            <w:pPr>
              <w:pStyle w:val="Compact"/>
              <w:jc w:val="center"/>
            </w:pPr>
            <w:r>
              <w:rPr>
                <w:b w:val="0"/>
              </w:rPr>
              <w:t>25.15</w:t>
            </w:r>
          </w:p>
        </w:tc>
        <w:tc>
          <w:tcPr>
            <w:tcW w:type="dxa" w:w="900"/>
          </w:tcPr>
          <w:p>
            <w:pPr>
              <w:pStyle w:val="Compact"/>
              <w:jc w:val="left"/>
            </w:pPr>
            <w:r>
              <w:rPr>
                <w:b w:val="0"/>
              </w:rPr>
              <w:t>83.99</w:t>
            </w:r>
          </w:p>
        </w:tc>
        <w:tc>
          <w:tcPr>
            <w:tcW w:type="dxa" w:w="900"/>
          </w:tcPr>
          <w:p>
            <w:pPr>
              <w:pStyle w:val="Compact"/>
              <w:jc w:val="left"/>
            </w:pPr>
            <w:r>
              <w:rPr>
                <w:b w:val="0"/>
              </w:rPr>
              <w:t>27.78</w:t>
            </w:r>
          </w:p>
        </w:tc>
        <w:tc>
          <w:tcPr>
            <w:tcW w:type="dxa" w:w="900"/>
          </w:tcPr>
          <w:p>
            <w:pPr>
              <w:pStyle w:val="Compact"/>
              <w:jc w:val="left"/>
            </w:pPr>
            <w:r>
              <w:rPr>
                <w:b w:val="0"/>
              </w:rPr>
              <w:t>+2.63</w:t>
            </w:r>
          </w:p>
        </w:tc>
      </w:tr>
      <w:tr>
        <w:tc>
          <w:tcPr>
            <w:tcW w:type="dxa" w:w="944"/>
          </w:tcPr>
          <w:p>
            <w:pPr>
              <w:pStyle w:val="Compact"/>
              <w:jc w:val="left"/>
            </w:pPr>
            <w:r>
              <w:rPr>
                <w:b w:val="0"/>
              </w:rPr>
              <w:t>deepseek-r1:1.5b_kb_rag</w:t>
            </w:r>
          </w:p>
        </w:tc>
        <w:tc>
          <w:tcPr>
            <w:tcW w:type="dxa" w:w="2494"/>
          </w:tcPr>
          <w:p>
            <w:pPr>
              <w:pStyle w:val="Compact"/>
              <w:jc w:val="left"/>
            </w:pPr>
            <w:r>
              <w:rPr>
                <w:b w:val="0"/>
              </w:rPr>
              <w:t>benchmark_n120_REMOTO</w:t>
            </w:r>
          </w:p>
        </w:tc>
        <w:tc>
          <w:tcPr>
            <w:tcW w:type="dxa" w:w="900"/>
          </w:tcPr>
          <w:p>
            <w:pPr>
              <w:pStyle w:val="Compact"/>
              <w:jc w:val="left"/>
            </w:pPr>
            <w:r>
              <w:rPr>
                <w:b w:val="0"/>
              </w:rPr>
              <w:t>27.63</w:t>
            </w:r>
          </w:p>
        </w:tc>
        <w:tc>
          <w:tcPr>
            <w:tcW w:type="dxa" w:w="900"/>
          </w:tcPr>
          <w:p>
            <w:pPr>
              <w:pStyle w:val="Compact"/>
              <w:jc w:val="center"/>
            </w:pPr>
            <w:r>
              <w:rPr>
                <w:b w:val="0"/>
              </w:rPr>
              <w:t>22.15</w:t>
            </w:r>
          </w:p>
        </w:tc>
        <w:tc>
          <w:tcPr>
            <w:tcW w:type="dxa" w:w="900"/>
          </w:tcPr>
          <w:p>
            <w:pPr>
              <w:pStyle w:val="Compact"/>
              <w:jc w:val="center"/>
            </w:pPr>
            <w:r>
              <w:rPr>
                <w:b w:val="0"/>
              </w:rPr>
              <w:t>24.59</w:t>
            </w:r>
          </w:p>
        </w:tc>
        <w:tc>
          <w:tcPr>
            <w:tcW w:type="dxa" w:w="900"/>
          </w:tcPr>
          <w:p>
            <w:pPr>
              <w:pStyle w:val="Compact"/>
              <w:jc w:val="left"/>
            </w:pPr>
            <w:r>
              <w:rPr>
                <w:b w:val="0"/>
              </w:rPr>
              <w:t>37.06</w:t>
            </w:r>
          </w:p>
        </w:tc>
        <w:tc>
          <w:tcPr>
            <w:tcW w:type="dxa" w:w="900"/>
          </w:tcPr>
          <w:p>
            <w:pPr>
              <w:pStyle w:val="Compact"/>
              <w:jc w:val="left"/>
            </w:pPr>
            <w:r>
              <w:rPr>
                <w:b w:val="0"/>
              </w:rPr>
              <w:t>27.73</w:t>
            </w:r>
          </w:p>
        </w:tc>
        <w:tc>
          <w:tcPr>
            <w:tcW w:type="dxa" w:w="900"/>
          </w:tcPr>
          <w:p>
            <w:pPr>
              <w:pStyle w:val="Compact"/>
              <w:jc w:val="left"/>
            </w:pPr>
            <w:r>
              <w:rPr>
                <w:b w:val="0"/>
              </w:rPr>
              <w:t>+3.14</w:t>
            </w:r>
          </w:p>
        </w:tc>
      </w:tr>
      <w:tr>
        <w:tc>
          <w:tcPr>
            <w:tcW w:type="dxa" w:w="944"/>
          </w:tcPr>
          <w:p>
            <w:pPr>
              <w:pStyle w:val="Compact"/>
              <w:jc w:val="left"/>
            </w:pPr>
            <w:r>
              <w:rPr>
                <w:b w:val="0"/>
              </w:rPr>
              <w:t>nemotron-mini:4b_baseline</w:t>
            </w:r>
          </w:p>
        </w:tc>
        <w:tc>
          <w:tcPr>
            <w:tcW w:type="dxa" w:w="2494"/>
          </w:tcPr>
          <w:p>
            <w:pPr>
              <w:pStyle w:val="Compact"/>
              <w:jc w:val="left"/>
            </w:pPr>
            <w:r>
              <w:rPr>
                <w:b w:val="0"/>
              </w:rPr>
              <w:t>nemotron_rerun_n120_REMOTO</w:t>
            </w:r>
          </w:p>
        </w:tc>
        <w:tc>
          <w:tcPr>
            <w:tcW w:type="dxa" w:w="900"/>
          </w:tcPr>
          <w:p>
            <w:pPr>
              <w:pStyle w:val="Compact"/>
              <w:jc w:val="left"/>
            </w:pPr>
            <w:r>
              <w:rPr>
                <w:b w:val="0"/>
              </w:rPr>
              <w:t>26.69</w:t>
            </w:r>
          </w:p>
        </w:tc>
        <w:tc>
          <w:tcPr>
            <w:tcW w:type="dxa" w:w="900"/>
          </w:tcPr>
          <w:p>
            <w:pPr>
              <w:pStyle w:val="Compact"/>
              <w:jc w:val="center"/>
            </w:pPr>
            <w:r>
              <w:rPr>
                <w:b w:val="0"/>
              </w:rPr>
              <w:t>18.21</w:t>
            </w:r>
          </w:p>
        </w:tc>
        <w:tc>
          <w:tcPr>
            <w:tcW w:type="dxa" w:w="900"/>
          </w:tcPr>
          <w:p>
            <w:pPr>
              <w:pStyle w:val="Compact"/>
              <w:jc w:val="center"/>
            </w:pPr>
            <w:r>
              <w:rPr>
                <w:b w:val="0"/>
              </w:rPr>
              <w:t>21.65</w:t>
            </w:r>
          </w:p>
        </w:tc>
        <w:tc>
          <w:tcPr>
            <w:tcW w:type="dxa" w:w="900"/>
          </w:tcPr>
          <w:p>
            <w:pPr>
              <w:pStyle w:val="Compact"/>
              <w:jc w:val="left"/>
            </w:pPr>
            <w:r>
              <w:rPr>
                <w:b w:val="0"/>
              </w:rPr>
              <w:t>44.85</w:t>
            </w:r>
          </w:p>
        </w:tc>
        <w:tc>
          <w:tcPr>
            <w:tcW w:type="dxa" w:w="900"/>
          </w:tcPr>
          <w:p>
            <w:pPr>
              <w:pStyle w:val="Compact"/>
              <w:jc w:val="left"/>
            </w:pPr>
            <w:r>
              <w:rPr>
                <w:b w:val="0"/>
              </w:rPr>
              <w:t>25.91</w:t>
            </w:r>
          </w:p>
        </w:tc>
        <w:tc>
          <w:tcPr>
            <w:tcW w:type="dxa" w:w="900"/>
          </w:tcPr>
          <w:p>
            <w:pPr>
              <w:pStyle w:val="Compact"/>
              <w:jc w:val="left"/>
            </w:pPr>
            <w:r>
              <w:rPr>
                <w:b w:val="0"/>
              </w:rPr>
              <w:t>+4.26</w:t>
            </w:r>
          </w:p>
        </w:tc>
      </w:tr>
      <w:tr>
        <w:tc>
          <w:tcPr>
            <w:tcW w:type="dxa" w:w="944"/>
          </w:tcPr>
          <w:p>
            <w:pPr>
              <w:pStyle w:val="Compact"/>
              <w:jc w:val="left"/>
            </w:pPr>
            <w:r>
              <w:rPr>
                <w:b w:val="0"/>
              </w:rPr>
              <w:t>nuextract:latest_kb_rag</w:t>
            </w:r>
          </w:p>
        </w:tc>
        <w:tc>
          <w:tcPr>
            <w:tcW w:type="dxa" w:w="2494"/>
          </w:tcPr>
          <w:p>
            <w:pPr>
              <w:pStyle w:val="Compact"/>
              <w:jc w:val="left"/>
            </w:pPr>
            <w:r>
              <w:rPr>
                <w:b w:val="0"/>
              </w:rPr>
              <w:t>benchmark_n120_REMOTO</w:t>
            </w:r>
          </w:p>
        </w:tc>
        <w:tc>
          <w:tcPr>
            <w:tcW w:type="dxa" w:w="900"/>
          </w:tcPr>
          <w:p>
            <w:pPr>
              <w:pStyle w:val="Compact"/>
              <w:jc w:val="left"/>
            </w:pPr>
            <w:r>
              <w:rPr>
                <w:b w:val="0"/>
              </w:rPr>
              <w:t>19.85</w:t>
            </w:r>
          </w:p>
        </w:tc>
        <w:tc>
          <w:tcPr>
            <w:tcW w:type="dxa" w:w="900"/>
          </w:tcPr>
          <w:p>
            <w:pPr>
              <w:pStyle w:val="Compact"/>
              <w:jc w:val="center"/>
            </w:pPr>
            <w:r>
              <w:rPr>
                <w:b w:val="0"/>
              </w:rPr>
              <w:t>26.22</w:t>
            </w:r>
          </w:p>
        </w:tc>
        <w:tc>
          <w:tcPr>
            <w:tcW w:type="dxa" w:w="900"/>
          </w:tcPr>
          <w:p>
            <w:pPr>
              <w:pStyle w:val="Compact"/>
              <w:jc w:val="center"/>
            </w:pPr>
            <w:r>
              <w:rPr>
                <w:b w:val="0"/>
              </w:rPr>
              <w:t>22.59</w:t>
            </w:r>
          </w:p>
        </w:tc>
        <w:tc>
          <w:tcPr>
            <w:tcW w:type="dxa" w:w="900"/>
          </w:tcPr>
          <w:p>
            <w:pPr>
              <w:pStyle w:val="Compact"/>
              <w:jc w:val="left"/>
            </w:pPr>
            <w:r>
              <w:rPr>
                <w:b w:val="0"/>
              </w:rPr>
              <w:t>24.92</w:t>
            </w:r>
          </w:p>
        </w:tc>
        <w:tc>
          <w:tcPr>
            <w:tcW w:type="dxa" w:w="900"/>
          </w:tcPr>
          <w:p>
            <w:pPr>
              <w:pStyle w:val="Compact"/>
              <w:jc w:val="left"/>
            </w:pPr>
            <w:r>
              <w:rPr>
                <w:b w:val="0"/>
              </w:rPr>
              <w:t>25.55</w:t>
            </w:r>
          </w:p>
        </w:tc>
        <w:tc>
          <w:tcPr>
            <w:tcW w:type="dxa" w:w="900"/>
          </w:tcPr>
          <w:p>
            <w:pPr>
              <w:pStyle w:val="Compact"/>
              <w:jc w:val="left"/>
            </w:pPr>
            <w:r>
              <w:rPr>
                <w:b w:val="0"/>
              </w:rPr>
              <w:t>+2.96</w:t>
            </w:r>
          </w:p>
        </w:tc>
      </w:tr>
      <w:tr>
        <w:tc>
          <w:tcPr>
            <w:tcW w:type="dxa" w:w="944"/>
          </w:tcPr>
          <w:p>
            <w:pPr>
              <w:pStyle w:val="Compact"/>
              <w:jc w:val="left"/>
            </w:pPr>
            <w:r>
              <w:rPr>
                <w:b w:val="0"/>
              </w:rPr>
              <w:t>nemotron-mini:4b_rag_enhanced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28.71</w:t>
            </w:r>
          </w:p>
        </w:tc>
        <w:tc>
          <w:tcPr>
            <w:tcW w:type="dxa" w:w="900"/>
          </w:tcPr>
          <w:p>
            <w:pPr>
              <w:pStyle w:val="Compact"/>
              <w:jc w:val="center"/>
            </w:pPr>
            <w:r>
              <w:rPr>
                <w:b w:val="0"/>
              </w:rPr>
              <w:t>14.72</w:t>
            </w:r>
          </w:p>
        </w:tc>
        <w:tc>
          <w:tcPr>
            <w:tcW w:type="dxa" w:w="900"/>
          </w:tcPr>
          <w:p>
            <w:pPr>
              <w:pStyle w:val="Compact"/>
              <w:jc w:val="center"/>
            </w:pPr>
            <w:r>
              <w:rPr>
                <w:b w:val="0"/>
              </w:rPr>
              <w:t>19.46</w:t>
            </w:r>
          </w:p>
        </w:tc>
        <w:tc>
          <w:tcPr>
            <w:tcW w:type="dxa" w:w="900"/>
          </w:tcPr>
          <w:p>
            <w:pPr>
              <w:pStyle w:val="Compact"/>
              <w:jc w:val="left"/>
            </w:pPr>
            <w:r>
              <w:rPr>
                <w:b w:val="0"/>
              </w:rPr>
              <w:t>41.15</w:t>
            </w:r>
          </w:p>
        </w:tc>
        <w:tc>
          <w:tcPr>
            <w:tcW w:type="dxa" w:w="900"/>
          </w:tcPr>
          <w:p>
            <w:pPr>
              <w:pStyle w:val="Compact"/>
              <w:jc w:val="left"/>
            </w:pPr>
            <w:r>
              <w:rPr>
                <w:b w:val="0"/>
              </w:rPr>
              <w:t>21.69</w:t>
            </w:r>
          </w:p>
        </w:tc>
        <w:tc>
          <w:tcPr>
            <w:tcW w:type="dxa" w:w="900"/>
          </w:tcPr>
          <w:p>
            <w:pPr>
              <w:pStyle w:val="Compact"/>
              <w:jc w:val="left"/>
            </w:pPr>
            <w:r>
              <w:rPr>
                <w:b w:val="0"/>
              </w:rPr>
              <w:t>+2.22</w:t>
            </w:r>
          </w:p>
        </w:tc>
      </w:tr>
      <w:tr>
        <w:tc>
          <w:tcPr>
            <w:tcW w:type="dxa" w:w="944"/>
          </w:tcPr>
          <w:p>
            <w:pPr>
              <w:pStyle w:val="Compact"/>
              <w:jc w:val="left"/>
            </w:pPr>
            <w:r>
              <w:rPr>
                <w:b w:val="0"/>
              </w:rPr>
              <w:t>nuextract:latest_rag_enhanced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21.20</w:t>
            </w:r>
          </w:p>
        </w:tc>
        <w:tc>
          <w:tcPr>
            <w:tcW w:type="dxa" w:w="900"/>
          </w:tcPr>
          <w:p>
            <w:pPr>
              <w:pStyle w:val="Compact"/>
              <w:jc w:val="center"/>
            </w:pPr>
            <w:r>
              <w:rPr>
                <w:b w:val="0"/>
              </w:rPr>
              <w:t>16.68</w:t>
            </w:r>
          </w:p>
        </w:tc>
        <w:tc>
          <w:tcPr>
            <w:tcW w:type="dxa" w:w="900"/>
          </w:tcPr>
          <w:p>
            <w:pPr>
              <w:pStyle w:val="Compact"/>
              <w:jc w:val="center"/>
            </w:pPr>
            <w:r>
              <w:rPr>
                <w:b w:val="0"/>
              </w:rPr>
              <w:t>18.67</w:t>
            </w:r>
          </w:p>
        </w:tc>
        <w:tc>
          <w:tcPr>
            <w:tcW w:type="dxa" w:w="900"/>
          </w:tcPr>
          <w:p>
            <w:pPr>
              <w:pStyle w:val="Compact"/>
              <w:jc w:val="left"/>
            </w:pPr>
            <w:r>
              <w:rPr>
                <w:b w:val="0"/>
              </w:rPr>
              <w:t>30.10</w:t>
            </w:r>
          </w:p>
        </w:tc>
        <w:tc>
          <w:tcPr>
            <w:tcW w:type="dxa" w:w="900"/>
          </w:tcPr>
          <w:p>
            <w:pPr>
              <w:pStyle w:val="Compact"/>
              <w:jc w:val="left"/>
            </w:pPr>
            <w:r>
              <w:rPr>
                <w:b w:val="0"/>
              </w:rPr>
              <w:t>21.46</w:t>
            </w:r>
          </w:p>
        </w:tc>
        <w:tc>
          <w:tcPr>
            <w:tcW w:type="dxa" w:w="900"/>
          </w:tcPr>
          <w:p>
            <w:pPr>
              <w:pStyle w:val="Compact"/>
              <w:jc w:val="left"/>
            </w:pPr>
            <w:r>
              <w:rPr>
                <w:b w:val="0"/>
              </w:rPr>
              <w:t>+2.79</w:t>
            </w:r>
          </w:p>
        </w:tc>
      </w:tr>
      <w:tr>
        <w:tc>
          <w:tcPr>
            <w:tcW w:type="dxa" w:w="944"/>
          </w:tcPr>
          <w:p>
            <w:pPr>
              <w:pStyle w:val="Compact"/>
              <w:jc w:val="left"/>
            </w:pPr>
            <w:r>
              <w:rPr>
                <w:b w:val="0"/>
              </w:rPr>
              <w:t>deepseek-r1:1.5b_rag_enhanced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21.48</w:t>
            </w:r>
          </w:p>
        </w:tc>
        <w:tc>
          <w:tcPr>
            <w:tcW w:type="dxa" w:w="900"/>
          </w:tcPr>
          <w:p>
            <w:pPr>
              <w:pStyle w:val="Compact"/>
              <w:jc w:val="center"/>
            </w:pPr>
            <w:r>
              <w:rPr>
                <w:b w:val="0"/>
              </w:rPr>
              <w:t>14.74</w:t>
            </w:r>
          </w:p>
        </w:tc>
        <w:tc>
          <w:tcPr>
            <w:tcW w:type="dxa" w:w="900"/>
          </w:tcPr>
          <w:p>
            <w:pPr>
              <w:pStyle w:val="Compact"/>
              <w:jc w:val="center"/>
            </w:pPr>
            <w:r>
              <w:rPr>
                <w:b w:val="0"/>
              </w:rPr>
              <w:t>17.48</w:t>
            </w:r>
          </w:p>
        </w:tc>
        <w:tc>
          <w:tcPr>
            <w:tcW w:type="dxa" w:w="900"/>
          </w:tcPr>
          <w:p>
            <w:pPr>
              <w:pStyle w:val="Compact"/>
              <w:jc w:val="left"/>
            </w:pPr>
            <w:r>
              <w:rPr>
                <w:b w:val="0"/>
              </w:rPr>
              <w:t>29.07</w:t>
            </w:r>
          </w:p>
        </w:tc>
        <w:tc>
          <w:tcPr>
            <w:tcW w:type="dxa" w:w="900"/>
          </w:tcPr>
          <w:p>
            <w:pPr>
              <w:pStyle w:val="Compact"/>
              <w:jc w:val="left"/>
            </w:pPr>
            <w:r>
              <w:rPr>
                <w:b w:val="0"/>
              </w:rPr>
              <w:t>19.56</w:t>
            </w:r>
          </w:p>
        </w:tc>
        <w:tc>
          <w:tcPr>
            <w:tcW w:type="dxa" w:w="900"/>
          </w:tcPr>
          <w:p>
            <w:pPr>
              <w:pStyle w:val="Compact"/>
              <w:jc w:val="left"/>
            </w:pPr>
            <w:r>
              <w:rPr>
                <w:b w:val="0"/>
              </w:rPr>
              <w:t>+2.08</w:t>
            </w:r>
          </w:p>
        </w:tc>
      </w:tr>
      <w:tr>
        <w:tc>
          <w:tcPr>
            <w:tcW w:type="dxa" w:w="944"/>
          </w:tcPr>
          <w:p>
            <w:pPr>
              <w:pStyle w:val="Compact"/>
              <w:jc w:val="left"/>
            </w:pPr>
            <w:r>
              <w:rPr>
                <w:b w:val="0"/>
              </w:rPr>
              <w:t>minimax-m3:cloud_baseline</w:t>
            </w:r>
          </w:p>
        </w:tc>
        <w:tc>
          <w:tcPr>
            <w:tcW w:type="dxa" w:w="2494"/>
          </w:tcPr>
          <w:p>
            <w:pPr>
              <w:pStyle w:val="Compact"/>
              <w:jc w:val="left"/>
            </w:pPr>
            <w:r>
              <w:rPr>
                <w:b w:val="0"/>
              </w:rPr>
              <w:t>benchmark_balanced_120_20260824_173036</w:t>
            </w:r>
          </w:p>
        </w:tc>
        <w:tc>
          <w:tcPr>
            <w:tcW w:type="dxa" w:w="900"/>
          </w:tcPr>
          <w:p>
            <w:pPr>
              <w:pStyle w:val="Compact"/>
              <w:jc w:val="left"/>
            </w:pPr>
            <w:r>
              <w:rPr>
                <w:b w:val="0"/>
              </w:rPr>
              <w:t>48.44</w:t>
            </w:r>
          </w:p>
        </w:tc>
        <w:tc>
          <w:tcPr>
            <w:tcW w:type="dxa" w:w="900"/>
          </w:tcPr>
          <w:p>
            <w:pPr>
              <w:pStyle w:val="Compact"/>
              <w:jc w:val="center"/>
            </w:pPr>
            <w:r>
              <w:rPr>
                <w:b w:val="0"/>
              </w:rPr>
              <w:t>8.63</w:t>
            </w:r>
          </w:p>
        </w:tc>
        <w:tc>
          <w:tcPr>
            <w:tcW w:type="dxa" w:w="900"/>
          </w:tcPr>
          <w:p>
            <w:pPr>
              <w:pStyle w:val="Compact"/>
              <w:jc w:val="center"/>
            </w:pPr>
            <w:r>
              <w:rPr>
                <w:b w:val="0"/>
              </w:rPr>
              <w:t>14.65</w:t>
            </w:r>
          </w:p>
        </w:tc>
        <w:tc>
          <w:tcPr>
            <w:tcW w:type="dxa" w:w="900"/>
          </w:tcPr>
          <w:p>
            <w:pPr>
              <w:pStyle w:val="Compact"/>
              <w:jc w:val="left"/>
            </w:pPr>
            <w:r>
              <w:rPr>
                <w:b w:val="0"/>
              </w:rPr>
              <w:t>76.54</w:t>
            </w:r>
          </w:p>
        </w:tc>
        <w:tc>
          <w:tcPr>
            <w:tcW w:type="dxa" w:w="900"/>
          </w:tcPr>
          <w:p>
            <w:pPr>
              <w:pStyle w:val="Compact"/>
              <w:jc w:val="left"/>
            </w:pPr>
            <w:r>
              <w:rPr>
                <w:b w:val="0"/>
              </w:rPr>
              <w:t>15.51</w:t>
            </w:r>
          </w:p>
        </w:tc>
        <w:tc>
          <w:tcPr>
            <w:tcW w:type="dxa" w:w="900"/>
          </w:tcPr>
          <w:p>
            <w:pPr>
              <w:pStyle w:val="Compact"/>
              <w:jc w:val="left"/>
            </w:pPr>
            <w:r>
              <w:rPr>
                <w:b w:val="0"/>
              </w:rPr>
              <w:t>+0.86</w:t>
            </w:r>
          </w:p>
        </w:tc>
      </w:tr>
      <w:tr>
        <w:tc>
          <w:tcPr>
            <w:tcW w:type="dxa" w:w="944"/>
          </w:tcPr>
          <w:p>
            <w:pPr>
              <w:pStyle w:val="Compact"/>
              <w:jc w:val="left"/>
            </w:pPr>
            <w:r>
              <w:rPr>
                <w:b w:val="0"/>
              </w:rPr>
              <w:t>gemma4:12b-mlx_kb_rag</w:t>
            </w:r>
          </w:p>
        </w:tc>
        <w:tc>
          <w:tcPr>
            <w:tcW w:type="dxa" w:w="2494"/>
          </w:tcPr>
          <w:p>
            <w:pPr>
              <w:pStyle w:val="Compact"/>
              <w:jc w:val="left"/>
            </w:pPr>
            <w:r>
              <w:rPr>
                <w:b w:val="0"/>
              </w:rPr>
              <w:t>benchmark_n120_REMOTO</w:t>
            </w:r>
          </w:p>
        </w:tc>
        <w:tc>
          <w:tcPr>
            <w:tcW w:type="dxa" w:w="900"/>
          </w:tcPr>
          <w:p>
            <w:pPr>
              <w:pStyle w:val="Compact"/>
              <w:jc w:val="left"/>
            </w:pPr>
            <w:r>
              <w:rPr>
                <w:b w:val="0"/>
              </w:rPr>
              <w:t>51.72</w:t>
            </w:r>
          </w:p>
        </w:tc>
        <w:tc>
          <w:tcPr>
            <w:tcW w:type="dxa" w:w="900"/>
          </w:tcPr>
          <w:p>
            <w:pPr>
              <w:pStyle w:val="Compact"/>
              <w:jc w:val="center"/>
            </w:pPr>
            <w:r>
              <w:rPr>
                <w:b w:val="0"/>
              </w:rPr>
              <w:t>8.50</w:t>
            </w:r>
          </w:p>
        </w:tc>
        <w:tc>
          <w:tcPr>
            <w:tcW w:type="dxa" w:w="900"/>
          </w:tcPr>
          <w:p>
            <w:pPr>
              <w:pStyle w:val="Compact"/>
              <w:jc w:val="center"/>
            </w:pPr>
            <w:r>
              <w:rPr>
                <w:b w:val="0"/>
              </w:rPr>
              <w:t>14.60</w:t>
            </w:r>
          </w:p>
        </w:tc>
        <w:tc>
          <w:tcPr>
            <w:tcW w:type="dxa" w:w="900"/>
          </w:tcPr>
          <w:p>
            <w:pPr>
              <w:pStyle w:val="Compact"/>
              <w:jc w:val="left"/>
            </w:pPr>
            <w:r>
              <w:rPr>
                <w:b w:val="0"/>
              </w:rPr>
              <w:t>83.92</w:t>
            </w:r>
          </w:p>
        </w:tc>
        <w:tc>
          <w:tcPr>
            <w:tcW w:type="dxa" w:w="900"/>
          </w:tcPr>
          <w:p>
            <w:pPr>
              <w:pStyle w:val="Compact"/>
              <w:jc w:val="left"/>
            </w:pPr>
            <w:r>
              <w:rPr>
                <w:b w:val="0"/>
              </w:rPr>
              <w:t>15.43</w:t>
            </w:r>
          </w:p>
        </w:tc>
        <w:tc>
          <w:tcPr>
            <w:tcW w:type="dxa" w:w="900"/>
          </w:tcPr>
          <w:p>
            <w:pPr>
              <w:pStyle w:val="Compact"/>
              <w:jc w:val="left"/>
            </w:pPr>
            <w:r>
              <w:rPr>
                <w:b w:val="0"/>
              </w:rPr>
              <w:t>+0.84</w:t>
            </w:r>
          </w:p>
        </w:tc>
      </w:tr>
      <w:tr>
        <w:tc>
          <w:tcPr>
            <w:tcW w:type="dxa" w:w="944"/>
          </w:tcPr>
          <w:p>
            <w:pPr>
              <w:pStyle w:val="Compact"/>
              <w:jc w:val="left"/>
            </w:pPr>
            <w:r>
              <w:rPr>
                <w:b w:val="0"/>
              </w:rPr>
              <w:t>minimax-m3:cloud_rag_enhanced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51.93</w:t>
            </w:r>
          </w:p>
        </w:tc>
        <w:tc>
          <w:tcPr>
            <w:tcW w:type="dxa" w:w="900"/>
          </w:tcPr>
          <w:p>
            <w:pPr>
              <w:pStyle w:val="Compact"/>
              <w:jc w:val="center"/>
            </w:pPr>
            <w:r>
              <w:rPr>
                <w:b w:val="0"/>
              </w:rPr>
              <w:t>6.65</w:t>
            </w:r>
          </w:p>
        </w:tc>
        <w:tc>
          <w:tcPr>
            <w:tcW w:type="dxa" w:w="900"/>
          </w:tcPr>
          <w:p>
            <w:pPr>
              <w:pStyle w:val="Compact"/>
              <w:jc w:val="center"/>
            </w:pPr>
            <w:r>
              <w:rPr>
                <w:b w:val="0"/>
              </w:rPr>
              <w:t>11.79</w:t>
            </w:r>
          </w:p>
        </w:tc>
        <w:tc>
          <w:tcPr>
            <w:tcW w:type="dxa" w:w="900"/>
          </w:tcPr>
          <w:p>
            <w:pPr>
              <w:pStyle w:val="Compact"/>
              <w:jc w:val="left"/>
            </w:pPr>
            <w:r>
              <w:rPr>
                <w:b w:val="0"/>
              </w:rPr>
              <w:t>81.74</w:t>
            </w:r>
          </w:p>
        </w:tc>
        <w:tc>
          <w:tcPr>
            <w:tcW w:type="dxa" w:w="900"/>
          </w:tcPr>
          <w:p>
            <w:pPr>
              <w:pStyle w:val="Compact"/>
              <w:jc w:val="left"/>
            </w:pPr>
            <w:r>
              <w:rPr>
                <w:b w:val="0"/>
              </w:rPr>
              <w:t>12.30</w:t>
            </w:r>
          </w:p>
        </w:tc>
        <w:tc>
          <w:tcPr>
            <w:tcW w:type="dxa" w:w="900"/>
          </w:tcPr>
          <w:p>
            <w:pPr>
              <w:pStyle w:val="Compact"/>
              <w:jc w:val="left"/>
            </w:pPr>
            <w:r>
              <w:rPr>
                <w:b w:val="0"/>
              </w:rPr>
              <w:t>+0.51</w:t>
            </w:r>
          </w:p>
        </w:tc>
      </w:tr>
    </w:tbl>
    <w:p>
      <w:pPr>
        <w:numPr>
          <w:ilvl w:val="0"/>
          <w:numId w:val="0"/>
        </w:numPr>
        <w:pStyle w:val="Normal"/>
      </w:pPr>
      <w:r>
        <w:t xml:space="preserve">En conjunto, 20946 de los 32201 falsos positivos del estudio (65.0 %) proceden de la categoría no anotada. El mejor modelo local sobre este corpus, </w:t>
      </w:r>
      <w:r>
        <w:t>gemma4:31b-mlx</w:t>
      </w:r>
      <w:r>
        <w:t xml:space="preserve">, pasa de 62,67 % a </w:t>
      </w:r>
      <w:r>
        <w:rPr>
          <w:b/>
        </w:rPr>
        <w:t>76,85 %</w:t>
      </w:r>
      <w:r>
        <w:t xml:space="preserve"> de F1 y supera el umbral de 70 % que fija la hipótesis sobre material periodístico mayoritariamente en español. La variante en la nube del mismo modelo conserva su ventaja (81,45 % frente a 76,85 %), de modo que la corrección </w:t>
      </w:r>
      <w:r>
        <w:rPr>
          <w:b/>
        </w:rPr>
        <w:t>no</w:t>
      </w:r>
      <w:r>
        <w:t xml:space="preserve"> altera la conclusión sobre la comparación entre ejecución local y alojada.</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28"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220" w:after="11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160" w:after="80"/>
      <w:outlineLvl w:val="1"/>
    </w:pPr>
    <w:rPr>
      <w:b/>
    </w:rPr>
  </w:style>
  <w:style w:type="paragraph" w:styleId="Ttulo3">
    <w:name w:val="heading 3"/>
    <w:basedOn w:val="Normal"/>
    <w:next w:val="Normal"/>
    <w:qFormat/>
    <w:rsid w:val="002B66F5"/>
    <w:pPr>
      <w:keepNext/>
      <w:keepLines/>
      <w:numPr>
        <w:ilvl w:val="2"/>
        <w:numId w:val="38"/>
      </w:numPr>
      <w:suppressAutoHyphens/>
      <w:spacing w:before="140" w:after="7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00" w:after="6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184"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