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few-shot</w:t>
      </w:r>
      <w:r>
        <w:t xml:space="preserve"> aporta +10,4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few-shot</w:t>
      </w:r>
      <w:r>
        <w:t xml:space="preserve"> examples yields +10.4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se estima en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Normal"/>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Ahora bien, ese parámetro evita retener varios modelos a la vez, pero no reduce el footprint de uno solo, y esa distinción resultó decisiva. macOS asigna a la GPU un techo de memoria equivalente al 75 % de la memoria unificada del equipo (</w:t>
      </w:r>
      <w:r>
        <w:t>recommendedMaxWorkingSetSize</w:t>
      </w:r>
      <w:r>
        <w:t xml:space="preserve">):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Corpus 1 — Kleptotrace/CoNLL-2002 (N=15, Gold Standard):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Normal"/>
      </w:pPr>
      <w:r>
        <w:t>Corpus 2 — Kleptotrace/CoNLL-2002 Augmented (N=30, Corpus de Validación Estadística):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con 105 artículos reales del corpus público CoNLL-2002 en español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4.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5.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t xml:space="preserve">Localización lingüística como factor crítico: el idioma del prompt y los ejemplos </w:t>
      </w:r>
      <w:r>
        <w:rPr>
          <w:i/>
        </w:rPr>
        <w:t>few-shot</w:t>
      </w:r>
      <w:r>
        <w:t xml:space="preserve"> </w:t>
      </w:r>
      <w:r>
        <w:rPr>
          <w:b/>
        </w:rPr>
        <w:t>interactúan</w:t>
      </w:r>
      <w:r>
        <w:t xml:space="preserve">: por separado aportan +4.38 pp y −0.72 pp de F1 respectivamente, pero combinados alcanzan </w:t>
      </w:r>
      <w:r>
        <w:rPr>
          <w:b/>
        </w:rPr>
        <w:t>+10.40 pp</w:t>
      </w:r>
      <w:r>
        <w:t>. Los ejemplos solo resultan productivos redactados en el idioma del corpus, lo que tiene implicaciones directas para despliegues en mercados hispanohablantes.</w:t>
      </w:r>
    </w:p>
    <w:p>
      <w:pPr>
        <w:numPr>
          <w:ilvl w:val="0"/>
          <w:numId w:val="0"/>
        </w:numPr>
        <w:pStyle w:val="BodyText"/>
      </w:pPr>
      <w:r>
        <w:t>Soberanía de datos sin costo de rendimiento: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exploratorio N=5 sobre el mismo modelo, no persistido en </w:t>
      </w:r>
      <w:r>
        <w:t>results/</w:t>
      </w:r>
      <w:r>
        <w:t>, degradó el F1 hasta 0.2367 (−57.8% respecto de su propio baseline), degradación confirmada después en la corrida reproducible N=120, donde ese mismo modelo cae de 0.3611 a 0.3113.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que oscila entre −0.070 y +0.025 de F1 según el modelo. La implicación metodológica excede a este trabajo: en una evaluación de NER, un defecto de codificación no es ruido de fondo sino una variable que interactúa con el comportamiento del modelo,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Resultados Completos del Benchmark General (13 Configuraciones,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18.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 xml:space="preserve">Δ F1 (con </w:t>
            </w:r>
            <w:r>
              <w:rPr>
                <w:b/>
                <w:i/>
              </w:rPr>
              <w:t>mojibake</w:t>
            </w:r>
            <w:r>
              <w:rPr>
                <w:b/>
              </w:rPr>
              <w:t xml:space="preserv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Normal"/>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