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ejecutados en local mediante Ollama sobre Apple Silicon, sobre una arquitectura pub/sub multihilo con concurrencia adaptativa (AIMD) y capa Factory/Facade. La validación comparó trece modelos sobre 120 artículos reales en español y 30 del dominio; contrastó la extracción directa con la generación aumentada por recuperación (RAG) contextual y midió las diferencias con ANOVA y Tukey HSD. El beneficio del RAG resulta inversamente proporcional a la capacidad del modelo: solo es significativo en los dos más débiles (+14,5 y +10,8 puntos de F1) y es nulo o adverso en los mayores. Redactar el prompt en español e incorporar ejemplos </w:t>
      </w:r>
      <w:r>
        <w:rPr>
          <w:i/>
        </w:rPr>
        <w:t>few-shot</w:t>
      </w:r>
      <w:r>
        <w:t xml:space="preserve"> aporta +10,4 puntos sobre el baseline en inglés, mejora que ninguno de ambos factores logra por separado. El mejor modelo alcanza 80,57 % de F1 sin extracciones fallidas en el corpus del dominio, reduce el costo unitario de revisión y preserva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executed locally through Ollama on Apple Silicon hardware, on a multithreaded pub/sub architecture with adaptive concurrency control (AIMD) and a Factory/Facade layer. Validation compared thirteen models on 120 real Spanish-language articles and 30 domain ones; contrasted direct extraction with contextual retrieval-augmented generation (RAG) and measured the differences with ANOVA and Tukey HSD. The benefit of RAG is inversely proportional to model capacity: it is significant only in the two weakest models (+14.5 and +10.8 F1 points) and is null or adverse in the larger ones. Writing the prompt in Spanish and adding </w:t>
      </w:r>
      <w:r>
        <w:rPr>
          <w:i/>
        </w:rPr>
        <w:t>few-shot</w:t>
      </w:r>
      <w:r>
        <w:t xml:space="preserve"> examples yields +10.4 points over the English baseline, an improvement neither factor achieves alone. The best model reaches 80.57 % F1 with no failed extractions on the domain corpus, lowers the unit cost of review and preserves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se estima en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El problema y las familias de técnicas disponibles</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0"/>
        <w:tblLook w:firstRow="1"/>
      </w:tblPr>
      <w:tblGrid>
        <w:gridCol w:w="2092"/>
        <w:gridCol w:w="2964"/>
        <w:gridCol w:w="1394"/>
        <w:gridCol w:w="670"/>
        <w:gridCol w:w="1046"/>
        <w:gridCol w:w="672"/>
      </w:tblGrid>
      <w:tr>
        <w:trPr>
          <w:cnfStyle w:firstRow="1"/>
        </w:trPr>
        <w:tc>
          <w:tcPr>
            <w:tcW w:type="dxa" w:w="2092"/>
            <w:tcBorders>
              <w:bottom w:val="single"/>
            </w:tcBorders>
            <w:vAlign w:val="bottom"/>
          </w:tcPr>
          <w:p>
            <w:pPr>
              <w:pStyle w:val="Compact"/>
              <w:jc w:val="left"/>
            </w:pPr>
            <w:r>
              <w:rPr>
                <w:b/>
              </w:rPr>
              <w:t>Trabajo</w:t>
            </w:r>
          </w:p>
        </w:tc>
        <w:tc>
          <w:tcPr>
            <w:tcW w:type="dxa" w:w="2964"/>
            <w:tcBorders>
              <w:bottom w:val="single"/>
            </w:tcBorders>
            <w:vAlign w:val="bottom"/>
          </w:tcPr>
          <w:p>
            <w:pPr>
              <w:pStyle w:val="Compact"/>
              <w:jc w:val="left"/>
            </w:pPr>
            <w:r>
              <w:rPr>
                <w:b/>
              </w:rPr>
              <w:t>Dataset</w:t>
            </w:r>
          </w:p>
        </w:tc>
        <w:tc>
          <w:tcPr>
            <w:tcW w:type="dxa" w:w="1394"/>
            <w:tcBorders>
              <w:bottom w:val="single"/>
            </w:tcBorders>
            <w:vAlign w:val="bottom"/>
          </w:tcPr>
          <w:p>
            <w:pPr>
              <w:pStyle w:val="Compact"/>
              <w:jc w:val="left"/>
            </w:pPr>
            <w:r>
              <w:rPr>
                <w:b/>
              </w:rPr>
              <w:t>Modelo</w:t>
            </w:r>
          </w:p>
        </w:tc>
        <w:tc>
          <w:tcPr>
            <w:tcW w:type="dxa" w:w="670"/>
            <w:tcBorders>
              <w:bottom w:val="single"/>
            </w:tcBorders>
            <w:vAlign w:val="bottom"/>
          </w:tcPr>
          <w:p>
            <w:pPr>
              <w:pStyle w:val="Compact"/>
              <w:jc w:val="center"/>
            </w:pPr>
            <w:r>
              <w:rPr>
                <w:b/>
              </w:rPr>
              <w:t>F1</w:t>
            </w:r>
          </w:p>
        </w:tc>
        <w:tc>
          <w:tcPr>
            <w:tcW w:type="dxa" w:w="1046"/>
            <w:tcBorders>
              <w:bottom w:val="single"/>
            </w:tcBorders>
            <w:vAlign w:val="bottom"/>
          </w:tcPr>
          <w:p>
            <w:pPr>
              <w:pStyle w:val="Compact"/>
              <w:jc w:val="center"/>
            </w:pPr>
            <w:r>
              <w:rPr>
                <w:b/>
              </w:rPr>
              <w:t>Privacidad</w:t>
            </w:r>
          </w:p>
        </w:tc>
        <w:tc>
          <w:tcPr>
            <w:tcW w:type="dxa" w:w="672"/>
            <w:tcBorders>
              <w:bottom w:val="single"/>
            </w:tcBorders>
            <w:vAlign w:val="bottom"/>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Normal"/>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proveedores y orquestación</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Ahora bien, ese parámetro evita retener varios modelos a la vez, pero no reduce el footprint de uno solo, y esa distinción resultó decisiva. macOS asigna a la GPU un techo de memoria equivalente al 75 % de la memoria unificada del equipo (</w:t>
      </w:r>
      <w:r>
        <w:t>recommendedMaxWorkingSetSize</w:t>
      </w:r>
      <w:r>
        <w:t xml:space="preserve">):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Corpus 1 — Kleptotrace/CoNLL-2002 (N=15, Gold Standard):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Normal"/>
      </w:pPr>
      <w:r>
        <w:t>Corpus 2 — Kleptotrace/CoNLL-2002 Augmented (N=30, Corpus de Validación Estadística):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a partir de treinta observaciones independientes, la media muestral se aproxima a una distribución normal,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con 105 artículos reales del corpus público CoNLL-2002 en español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2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2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procedimiento que la literatura anglosajona denomina </w:t>
      </w:r>
      <w:r>
        <w:rPr>
          <w:i/>
        </w:rPr>
        <w:t>ablation study</w:t>
      </w:r>
      <w:r>
        <w:t>.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scikit-learn, statsmodels,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4. Benchmark General — 12 Modelos en 13 Configuraciones sobre Kleptotrace/CoNLL-2002 (N=15)</w:t>
      </w:r>
    </w:p>
    <w:tbl>
      <w:tblPr>
        <w:tblStyle w:val="Table"/>
        <w:tblW w:type="pct" w:w="5000.0"/>
        <w:tblLook w:firstRow="1"/>
      </w:tblPr>
      <w:tblGrid>
        <w:gridCol w:w="1991"/>
        <w:gridCol w:w="668"/>
        <w:gridCol w:w="948"/>
        <w:gridCol w:w="668"/>
        <w:gridCol w:w="853"/>
        <w:gridCol w:w="668"/>
        <w:gridCol w:w="1232"/>
        <w:gridCol w:w="1137"/>
        <w:gridCol w:w="673"/>
      </w:tblGrid>
      <w:tr>
        <w:trPr>
          <w:cnfStyle w:firstRow="1"/>
        </w:trPr>
        <w:tc>
          <w:tcPr>
            <w:tcW w:type="dxa" w:w="1991"/>
            <w:tcBorders>
              <w:bottom w:val="single"/>
            </w:tcBorders>
            <w:vAlign w:val="bottom"/>
          </w:tcPr>
          <w:p>
            <w:pPr>
              <w:pStyle w:val="Compact"/>
              <w:jc w:val="left"/>
            </w:pPr>
            <w:r>
              <w:rPr>
                <w:b/>
              </w:rPr>
              <w:t>Modelo</w:t>
            </w:r>
          </w:p>
        </w:tc>
        <w:tc>
          <w:tcPr>
            <w:tcW w:type="dxa" w:w="668"/>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668"/>
            <w:tcBorders>
              <w:bottom w:val="single"/>
            </w:tcBorders>
            <w:vAlign w:val="bottom"/>
          </w:tcPr>
          <w:p>
            <w:pPr>
              <w:pStyle w:val="Compact"/>
              <w:jc w:val="center"/>
            </w:pPr>
            <w:r>
              <w:rPr>
                <w:b/>
              </w:rPr>
              <w:t>F1</w:t>
            </w:r>
          </w:p>
        </w:tc>
        <w:tc>
          <w:tcPr>
            <w:tcW w:type="dxa" w:w="853"/>
            <w:tcBorders>
              <w:bottom w:val="single"/>
            </w:tcBorders>
            <w:vAlign w:val="bottom"/>
          </w:tcPr>
          <w:p>
            <w:pPr>
              <w:pStyle w:val="Compact"/>
              <w:jc w:val="center"/>
            </w:pPr>
            <w:r>
              <w:rPr>
                <w:b/>
              </w:rPr>
              <w:t>Precisión</w:t>
            </w:r>
          </w:p>
        </w:tc>
        <w:tc>
          <w:tcPr>
            <w:tcW w:type="dxa" w:w="668"/>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673"/>
            <w:tcBorders>
              <w:bottom w:val="single"/>
            </w:tcBorders>
            <w:vAlign w:val="bottom"/>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 xml:space="preserve">).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5. Análisis de Variantes de Prompts (gemma4:latest, N=15)</w:t>
      </w:r>
    </w:p>
    <w:tbl>
      <w:tblPr>
        <w:tblStyle w:val="Table"/>
        <w:tblW w:type="pct" w:w="5000.0"/>
        <w:tblLook w:firstRow="1"/>
      </w:tblPr>
      <w:tblGrid>
        <w:gridCol w:w="2687"/>
        <w:gridCol w:w="686"/>
        <w:gridCol w:w="895"/>
        <w:gridCol w:w="686"/>
        <w:gridCol w:w="1293"/>
        <w:gridCol w:w="1194"/>
        <w:gridCol w:w="1397"/>
      </w:tblGrid>
      <w:tr>
        <w:trPr>
          <w:cnfStyle w:firstRow="1"/>
        </w:trPr>
        <w:tc>
          <w:tcPr>
            <w:tcW w:type="dxa" w:w="2687"/>
            <w:tcBorders>
              <w:bottom w:val="single"/>
            </w:tcBorders>
            <w:vAlign w:val="bottom"/>
          </w:tcPr>
          <w:p>
            <w:pPr>
              <w:pStyle w:val="Compact"/>
              <w:jc w:val="left"/>
            </w:pPr>
            <w:r>
              <w:rPr>
                <w:b/>
              </w:rPr>
              <w:t>Configuración</w:t>
            </w:r>
          </w:p>
        </w:tc>
        <w:tc>
          <w:tcPr>
            <w:tcW w:type="dxa" w:w="686"/>
            <w:tcBorders>
              <w:bottom w:val="single"/>
            </w:tcBorders>
            <w:vAlign w:val="bottom"/>
          </w:tcPr>
          <w:p>
            <w:pPr>
              <w:pStyle w:val="Compact"/>
              <w:jc w:val="left"/>
            </w:pPr>
            <w:r>
              <w:rPr>
                <w:b/>
              </w:rPr>
              <w:t>F1</w:t>
            </w:r>
          </w:p>
        </w:tc>
        <w:tc>
          <w:tcPr>
            <w:tcW w:type="dxa" w:w="895"/>
            <w:tcBorders>
              <w:bottom w:val="single"/>
            </w:tcBorders>
            <w:vAlign w:val="bottom"/>
          </w:tcPr>
          <w:p>
            <w:pPr>
              <w:pStyle w:val="Compact"/>
              <w:jc w:val="left"/>
            </w:pPr>
            <w:r>
              <w:rPr>
                <w:b/>
              </w:rPr>
              <w:t>Precisión</w:t>
            </w:r>
          </w:p>
        </w:tc>
        <w:tc>
          <w:tcPr>
            <w:tcW w:type="dxa" w:w="686"/>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w:t>
      </w:r>
    </w:p>
    <w:tbl>
      <w:tblPr>
        <w:tblStyle w:val="Table"/>
        <w:tblW w:type="pct" w:w="5000.0"/>
        <w:tblLook w:firstRow="1"/>
      </w:tblPr>
      <w:tblGrid>
        <w:gridCol w:w="2028"/>
        <w:gridCol w:w="1014"/>
        <w:gridCol w:w="1303"/>
        <w:gridCol w:w="1014"/>
        <w:gridCol w:w="2607"/>
        <w:gridCol w:w="872"/>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607"/>
            <w:tcBorders>
              <w:bottom w:val="single"/>
            </w:tcBorders>
            <w:vAlign w:val="bottom"/>
          </w:tcPr>
          <w:p>
            <w:pPr>
              <w:pStyle w:val="Compact"/>
              <w:jc w:val="center"/>
            </w:pPr>
            <w:r>
              <w:rPr>
                <w:b/>
              </w:rPr>
              <w:t>IC 95 % del F1</w:t>
            </w:r>
          </w:p>
        </w:tc>
        <w:tc>
          <w:tcPr>
            <w:tcW w:type="dxa" w:w="872"/>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Validación Estadística sobre Corpus Real N=120 (estudio completo)</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Análisis de Eficiencia en Hardware Soberano</w:t>
      </w:r>
    </w:p>
    <w:tbl>
      <w:tblPr>
        <w:tblStyle w:val="Table"/>
        <w:tblW w:type="pct" w:w="5000.0"/>
        <w:tblLook w:firstRow="1"/>
      </w:tblPr>
      <w:tblGrid>
        <w:gridCol w:w="1753"/>
        <w:gridCol w:w="1127"/>
        <w:gridCol w:w="694"/>
        <w:gridCol w:w="1753"/>
        <w:gridCol w:w="1753"/>
        <w:gridCol w:w="1758"/>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694"/>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758"/>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t xml:space="preserve">Localización lingüística como factor crítico: el idioma del prompt y los ejemplos </w:t>
      </w:r>
      <w:r>
        <w:rPr>
          <w:i/>
        </w:rPr>
        <w:t>few-shot</w:t>
      </w:r>
      <w:r>
        <w:t xml:space="preserve"> </w:t>
      </w:r>
      <w:r>
        <w:rPr>
          <w:b/>
        </w:rPr>
        <w:t>interactúan</w:t>
      </w:r>
      <w:r>
        <w:t xml:space="preserve">: por separado aportan +4.38 pp y −0.72 pp de F1 respectivamente, pero combinados alcanzan </w:t>
      </w:r>
      <w:r>
        <w:rPr>
          <w:b/>
        </w:rPr>
        <w:t>+10.40 pp</w:t>
      </w:r>
      <w:r>
        <w:t>. Los ejemplos solo resultan productivos redactados en el idioma del corpus, lo que tiene implicaciones directas para despliegues en mercados hispanohablantes.</w:t>
      </w:r>
    </w:p>
    <w:p>
      <w:pPr>
        <w:numPr>
          <w:ilvl w:val="0"/>
          <w:numId w:val="0"/>
        </w:numPr>
        <w:pStyle w:val="BodyText"/>
      </w:pPr>
      <w:r>
        <w:t>Soberanía de datos sin costo de rendimiento: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(p=0.007)), con ganancias positivas pero no concluyentes en la franja intermedia y efecto nulo en los modelos de 31B, versus el dict-RAG (v1.0), que en un sondeo exploratorio N=5 sobre el mismo modelo, no persistido en </w:t>
      </w:r>
      <w:r>
        <w:t>results/</w:t>
      </w:r>
      <w:r>
        <w:t>, degradó el F1 hasta 0.2367 (−57.8% respecto de su propio baseline), degradación confirmada después en la corrida reproducible N=120, donde ese mismo modelo cae de 0.3611 a 0.3113.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que oscila entre −0.070 y +0.025 de F1 según el modelo. La implicación metodológica excede a este trabajo: en una evaluación de NER, un defecto de codificación no es ruido de fondo sino una variable que interactúa con el comportamiento del modelo,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 xml:space="preserve">El código, los corpus, los resultados por corrida y los documentos de trabajo están publicados en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Anexo A —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Anexo C —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693"/>
        <w:gridCol w:w="3421"/>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693"/>
            <w:tcBorders>
              <w:bottom w:val="single"/>
            </w:tcBorders>
            <w:vAlign w:val="bottom"/>
          </w:tcPr>
          <w:p>
            <w:pPr>
              <w:pStyle w:val="Compact"/>
              <w:jc w:val="left"/>
            </w:pPr>
            <w:r>
              <w:rPr>
                <w:b/>
              </w:rPr>
              <w:t>Idioma</w:t>
            </w:r>
          </w:p>
        </w:tc>
        <w:tc>
          <w:tcPr>
            <w:tcW w:type="dxa" w:w="3421"/>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Resultados Completos del Benchmark General (13 Configuraciones, N=15)</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5</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H.1 Naturaleza y alcance del defecto</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H.2 Alcance medido y consecuencia sobre la comparación</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18. H.3 Evidencia empírica del efecto diferencial</w:t>
      </w:r>
    </w:p>
    <w:tbl>
      <w:tblPr>
        <w:tblStyle w:val="Table"/>
        <w:tblW w:type="pct" w:w="5000.0"/>
        <w:tblLook w:firstRow="1"/>
      </w:tblPr>
      <w:tblGrid>
        <w:gridCol w:w="4499"/>
        <w:gridCol w:w="4339"/>
      </w:tblGrid>
      <w:tr>
        <w:trPr>
          <w:cnfStyle w:firstRow="1"/>
        </w:trPr>
        <w:tc>
          <w:tcPr>
            <w:tcW w:type="dxa" w:w="4499"/>
            <w:tcBorders>
              <w:bottom w:val="single"/>
            </w:tcBorders>
            <w:vAlign w:val="bottom"/>
          </w:tcPr>
          <w:p>
            <w:pPr>
              <w:pStyle w:val="Compact"/>
              <w:jc w:val="left"/>
            </w:pPr>
            <w:r>
              <w:rPr>
                <w:b/>
              </w:rPr>
              <w:t>Modelo</w:t>
            </w:r>
          </w:p>
        </w:tc>
        <w:tc>
          <w:tcPr>
            <w:tcW w:type="dxa" w:w="4339"/>
            <w:tcBorders>
              <w:bottom w:val="single"/>
            </w:tcBorders>
            <w:vAlign w:val="bottom"/>
          </w:tcPr>
          <w:p>
            <w:pPr>
              <w:pStyle w:val="Compact"/>
              <w:jc w:val="left"/>
            </w:pPr>
            <w:r>
              <w:rPr>
                <w:b/>
              </w:rPr>
              <w:t xml:space="preserve">Δ F1 (con </w:t>
            </w:r>
            <w:r>
              <w:rPr>
                <w:b/>
                <w:i/>
              </w:rPr>
              <w:t>mojibake</w:t>
            </w:r>
            <w:r>
              <w:rPr>
                <w:b/>
              </w:rPr>
              <w:t xml:space="preserv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Normal"/>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