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 xml:space="preserve">Kleptotrace/CoNLL-2002 JSON → validación contra el esquema FollowTheMoney [38]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solo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BodyText"/>
      </w:pPr>
      <w:r>
        <w:t xml:space="preserve">[38] OpenSanctions, </w:t>
      </w:r>
      <w:r>
        <w:rPr>
          <w:i/>
        </w:rPr>
        <w:t>FollowTheMoney: an ontology and data model for anti-corruption and due diligence data</w:t>
      </w:r>
      <w:r>
        <w:t xml:space="preserve"> [En línea]. Disponible: https://followthemoney.tech</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26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 xml:space="preserve">veintiuna de las veintiséis configuraciones puntúan mejor</w:t>
      </w:r>
      <w:r>
        <w:t xml:space="preserve"> en los artículos cuya anotación de referencia está corrompida, y veintitrés puntúan peor</w:t>
      </w:r>
      <w:r>
        <w:rPr>
          <w:b/>
        </w:rPr>
        <w:t xml:space="preserve"/>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 xml:space="preserve">José Bono</w:t>
      </w:r>
      <w:r>
        <w:t xml:space="preserve"> no casa con </w:t>
      </w:r>
      <w:r>
        <w:t xml:space="preserve">JosÃ© Bono</w:t>
      </w:r>
      <w:r>
        <w:t xml:space="preserve">.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