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E72632" w14:textId="77777777" w:rsidR="00700C3C" w:rsidRPr="00302DE4" w:rsidRDefault="00700C3C" w:rsidP="00700C3C">
      <w:pPr>
        <w:pStyle w:val="Ttulo10"/>
      </w:pPr>
      <w:r>
        <w:t>Informe Final de Tesina: Clasificación y Extracción de Entidades Nombradas (NER) en Noticias de Cumplimiento Normativo Corporativo Mediante Modelos de Lenguaje Grande Ejecutados Localmente con Soberanía de Datos</w:t>
      </w:r>
    </w:p>
    <w:p w14:paraId="6EB15189" w14:textId="7867DDCA" w:rsidR="00700C3C" w:rsidRPr="00302DE4" w:rsidRDefault="00700C3C" w:rsidP="00AB5273">
      <w:pPr>
        <w:pStyle w:val="author"/>
      </w:pPr>
      <w:r>
        <w:t>Eduardo Mauricio Ahumada Gallardo</w:t>
      </w:r>
    </w:p>
    <w:p w14:paraId="2391F1FA" w14:textId="77777777" w:rsidR="006F3C87" w:rsidRPr="00302DE4" w:rsidRDefault="006F3C87" w:rsidP="00AB5273">
      <w:pPr>
        <w:pStyle w:val="address"/>
      </w:pPr>
      <w:r>
        <w:t>Universidad Técnica Federico Santa María — Departamento de Informática — Programa de Magíster en Tecnologías de la Información (MTI)</w:t>
      </w:r>
    </w:p>
    <w:p w14:paraId="6D130D9F" w14:textId="77777777" w:rsidR="00700C3C" w:rsidRPr="00302DE4" w:rsidRDefault="00700C3C" w:rsidP="00700C3C"/>
    <w:p>
      <w:pPr>
        <w:pStyle w:val="tablecaption"/>
      </w:pPr>
      <w:r>
        <w:t xml:space="preserve">Tabla 1. Ficha del Informe</w:t>
      </w:r>
    </w:p>
    <w:tbl>
      <w:tblPr>
        <w:tblStyle w:val="Table"/>
        <w:tblW w:type="dxa" w:w="8838"/>
        <w:tblLayout w:type="fixed"/>
        <w:tblLook w:firstRow="0" w:lastRow="0" w:firstColumn="0" w:lastColumn="0" w:noHBand="0" w:noVBand="0" w:val="0000"/>
      </w:tblPr>
      <w:tblGrid>
        <w:gridCol w:w="3472"/>
        <w:gridCol w:w="5366"/>
      </w:tblGrid>
      <w:tr>
        <w:tc>
          <w:tcPr>
            <w:tcW w:type="dxa" w:w="3472"/>
          </w:tcPr>
          <w:p>
            <w:pPr>
              <w:pStyle w:val="Compact"/>
              <w:jc w:val="left"/>
            </w:pPr>
            <w:r>
              <w:rPr>
                <w:b/>
                <w:bCs/>
              </w:rPr>
              <w:t xml:space="preserve">Autor</w:t>
            </w:r>
          </w:p>
        </w:tc>
        <w:tc>
          <w:tcPr>
            <w:tcW w:type="dxa" w:w="5366"/>
          </w:tcPr>
          <w:p>
            <w:pPr>
              <w:pStyle w:val="Compact"/>
              <w:jc w:val="left"/>
            </w:pPr>
            <w:r>
              <w:t xml:space="preserve">Eduardo Mauricio Ahumada Gallardo</w:t>
            </w:r>
          </w:p>
        </w:tc>
      </w:tr>
      <w:tr>
        <w:tc>
          <w:tcPr>
            <w:tcW w:type="dxa" w:w="3472"/>
          </w:tcPr>
          <w:p>
            <w:pPr>
              <w:pStyle w:val="Compact"/>
              <w:jc w:val="left"/>
            </w:pPr>
            <w:r>
              <w:rPr>
                <w:b/>
                <w:bCs/>
              </w:rPr>
              <w:t xml:space="preserve">RUT</w:t>
            </w:r>
          </w:p>
        </w:tc>
        <w:tc>
          <w:tcPr>
            <w:tcW w:type="dxa" w:w="5366"/>
          </w:tcPr>
          <w:p>
            <w:pPr>
              <w:pStyle w:val="Compact"/>
              <w:jc w:val="left"/>
            </w:pPr>
            <w:r>
              <w:t xml:space="preserve">12.814.696-2</w:t>
            </w:r>
          </w:p>
        </w:tc>
      </w:tr>
      <w:tr>
        <w:tc>
          <w:tcPr>
            <w:tcW w:type="dxa" w:w="3472"/>
          </w:tcPr>
          <w:p>
            <w:pPr>
              <w:pStyle w:val="Compact"/>
              <w:jc w:val="left"/>
            </w:pPr>
            <w:r>
              <w:rPr>
                <w:b/>
                <w:bCs/>
              </w:rPr>
              <w:t xml:space="preserve">Correo</w:t>
            </w:r>
          </w:p>
        </w:tc>
        <w:tc>
          <w:tcPr>
            <w:tcW w:type="dxa" w:w="5366"/>
          </w:tcPr>
          <w:p>
            <w:pPr>
              <w:pStyle w:val="Compact"/>
              <w:jc w:val="left"/>
            </w:pPr>
            <w:r>
              <w:t xml:space="preserve">eahumada@gmail.com</w:t>
            </w:r>
          </w:p>
        </w:tc>
      </w:tr>
      <w:tr>
        <w:tc>
          <w:tcPr>
            <w:tcW w:type="dxa" w:w="3472"/>
          </w:tcPr>
          <w:p>
            <w:pPr>
              <w:pStyle w:val="Compact"/>
              <w:jc w:val="left"/>
            </w:pPr>
            <w:r>
              <w:rPr>
                <w:b/>
                <w:bCs/>
              </w:rPr>
              <w:t xml:space="preserve">Profesor Guía</w:t>
            </w:r>
          </w:p>
        </w:tc>
        <w:tc>
          <w:tcPr>
            <w:tcW w:type="dxa" w:w="5366"/>
          </w:tcPr>
          <w:p>
            <w:pPr>
              <w:pStyle w:val="Compact"/>
              <w:jc w:val="left"/>
            </w:pPr>
            <w:r>
              <w:t xml:space="preserve">José Luis Martí Lara</w:t>
            </w:r>
          </w:p>
        </w:tc>
      </w:tr>
      <w:tr>
        <w:tc>
          <w:tcPr>
            <w:tcW w:type="dxa" w:w="3472"/>
          </w:tcPr>
          <w:p>
            <w:pPr>
              <w:pStyle w:val="Compact"/>
              <w:jc w:val="left"/>
            </w:pPr>
            <w:r>
              <w:rPr>
                <w:b/>
                <w:bCs/>
              </w:rPr>
              <w:t xml:space="preserve">Organización Vinculada</w:t>
            </w:r>
          </w:p>
        </w:tc>
        <w:tc>
          <w:tcPr>
            <w:tcW w:type="dxa" w:w="5366"/>
          </w:tcPr>
          <w:p>
            <w:pPr>
              <w:pStyle w:val="Compact"/>
              <w:jc w:val="left"/>
            </w:pPr>
            <w:r>
              <w:t>Austranet</w:t>
            </w:r>
          </w:p>
        </w:tc>
      </w:tr>
      <w:tr>
        <w:tc>
          <w:tcPr>
            <w:tcW w:type="dxa" w:w="3472"/>
          </w:tcPr>
          <w:p>
            <w:pPr>
              <w:pStyle w:val="Compact"/>
              <w:jc w:val="left"/>
            </w:pPr>
            <w:r>
              <w:rPr>
                <w:b/>
                <w:bCs/>
              </w:rPr>
              <w:t xml:space="preserve">Programa</w:t>
            </w:r>
          </w:p>
        </w:tc>
        <w:tc>
          <w:tcPr>
            <w:tcW w:type="dxa" w:w="5366"/>
          </w:tcPr>
          <w:p>
            <w:pPr>
              <w:pStyle w:val="Compact"/>
              <w:jc w:val="left"/>
            </w:pPr>
            <w:r>
              <w:t xml:space="preserve">Magíster en Tecnologías de la Información — Año de Ingreso 2013</w:t>
            </w:r>
          </w:p>
        </w:tc>
      </w:tr>
      <w:tr>
        <w:tc>
          <w:tcPr>
            <w:tcW w:type="dxa" w:w="3472"/>
          </w:tcPr>
          <w:p>
            <w:pPr>
              <w:pStyle w:val="Compact"/>
              <w:jc w:val="left"/>
            </w:pPr>
            <w:r>
              <w:rPr>
                <w:b/>
                <w:bCs/>
              </w:rPr>
              <w:t xml:space="preserve">Fecha de Entrega</w:t>
            </w:r>
          </w:p>
        </w:tc>
        <w:tc>
          <w:tcPr>
            <w:tcW w:type="dxa" w:w="5366"/>
          </w:tcPr>
          <w:p>
            <w:pPr>
              <w:pStyle w:val="Compact"/>
              <w:jc w:val="left"/>
            </w:pPr>
            <w:r>
              <w:t xml:space="preserve">Julio 2026</w:t>
            </w:r>
          </w:p>
        </w:tc>
      </w:tr>
    </w:tbl>
    <w:p w14:paraId="6C49DE81" w14:textId="16702890" w:rsidR="00011C8D" w:rsidRPr="00302DE4" w:rsidRDefault="00700C3C" w:rsidP="00011C8D">
      <w:pPr>
        <w:pageBreakBefore w:val="1"/>
        <w:pStyle w:val="abstract"/>
      </w:pPr>
      <w:r>
        <w:t>Resumen: Las instituciones financieras que operan en el marco de regulaciones AML (Anti-Money Laundering) y KYC (Know Your Customer) enfrentan el desafío de monitorear grandes volúmenes de noticias no estructuradas en busca de entidades de riesgo (personas, organizaciones). Este proceso, ejecutado manualmente, resulta costoso, lento e incapaz de escalar, mientras que el uso de APIs en la nube expone datos financieros sensibles a terceros, vulnerando la soberanía de datos. Este trabajo diseña, implementa y evalúa empíricamente un sistema soberano de extracción de Entidades Nombradas (NER) basado en Modelos de Lenguaje Grande (LLM) de código abierto ejecutados 100% localmente mediante Ollama en hardware Apple Silicon. La validación experimental se realizó sobre el dataset real Kleptotrace/CoNLL-2002 (N=15) y un corpus sintético estadísticamente significativo (N=30), con validación complementaria sobre un corpus real N=120. El mejor modelo evaluado (gemma4:31b) alcanza un F1-Score de 79.03% con 0.0% de alucinaciones sobre N=30, y el sistema reduce los costos de revisión manual en un 60–80% garantizando privacidad total de datos.</w:t>
      </w:r>
    </w:p>
    <w:p w14:paraId="68E9EB2E" w14:textId="77777777" w:rsidR="00700C3C" w:rsidRPr="00302DE4" w:rsidRDefault="00700C3C" w:rsidP="00700C3C">
      <w:pPr>
        <w:pStyle w:val="abstract"/>
      </w:pPr>
    </w:p>
    <w:p w14:paraId="70F02856" w14:textId="77777777" w:rsidR="00D014AB" w:rsidRPr="00302DE4" w:rsidRDefault="00D014AB" w:rsidP="00700C3C">
      <w:pPr>
        <w:pStyle w:val="abstract"/>
      </w:pPr>
      <w:r>
        <w:t xml:space="preserve">Palabras Clave: </w:t>
      </w:r>
      <w:r>
        <w:t>Reconocimiento de Entidades Nombradas (NER), Modelos de Lenguaje Grande (LLM), Cumplimiento Normativo (AML/KYC), Soberanía de Datos, Prompt Engineering.</w:t>
      </w:r>
    </w:p>
    <w:p>
      <w:pPr>
        <w:pStyle w:val="abstract"/>
      </w:pPr>
      <w:r>
        <w:rPr>
          <w:b/>
        </w:rPr>
        <w:t xml:space="preserve">Abstract: </w:t>
      </w:r>
      <w:r>
        <w:t>Financial institutions operating under AML and KYC regulatory frameworks face the challenge of monitoring large volumes of unstructured news for risk entities (persons, organizations). Manual execution of this process is costly, slow, and unscalable, while cloud API usage exposes sensitive financial data to third parties, violating data sovereignty. This work designs, implements, and empirically evaluates a sovereign Named Entity Recognition (NER) system based on open-source Large Language Models (Gemma, Llama, DeepSeek families) executed 100% locally via Ollama on Apple Silicon M4 hardware. The system incorporates a multithreading pub/sub processing architecture with an adaptive concurrency controller (AIMD) and a Factory/Facade layer unifying 16 model providers. Experimental validation was performed on the real financial sanctions dataset Kleptotrace/CoNLL-2002 (N=15 expert-annotated articles) and a statistically significant corpus of 30 short articles (N=30). The prompt ablation study demonstrates that Spanish-language localization yields a +7.4 F1-point improvement over the English zero-shot baseline, and the best evaluated model (gemma4:31b) achieves an F1-Score of 79.03% with 0.0% hallucination rate on the N=30 corpus. The system reduces manual review operational costs by 60–80% while guaranteeing total data privacy.</w:t>
      </w:r>
    </w:p>
    <w:p>
      <w:pPr>
        <w:pStyle w:val="abstract"/>
      </w:pPr>
      <w:r>
        <w:rPr>
          <w:b/>
        </w:rPr>
        <w:t xml:space="preserve">Keywords: </w:t>
      </w:r>
      <w:r>
        <w:t>Named Entity Recognition (NER), Large Language Models (LLM), Regulatory Compliance (AML/KYC), Data Sovereignty, Prompt Engineering.</w:t>
      </w:r>
    </w:p>
    <w:p w14:paraId="48486945" w14:textId="77777777" w:rsidR="00700C3C" w:rsidRPr="00302DE4" w:rsidRDefault="00700C3C" w:rsidP="003E5997">
      <w:pPr>
        <w:pageBreakBefore w:val="1"/>
        <w:pStyle w:val="Ttulo1"/>
        <w:numPr>
          <w:ilvl w:val="0"/>
          <w:numId w:val="0"/>
        </w:numPr>
      </w:pPr>
      <w:bookmarkStart w:id="0" w:name="_Ref229918117"/>
      <w:r w:rsidRPr="00302DE4">
        <w:t>1 Introducción</w:t>
      </w:r>
      <w:bookmarkEnd w:id="0"/>
    </w:p>
    <w:p>
      <w:pPr>
        <w:pStyle w:val="heading2"/>
        <w:numPr>
          <w:ilvl w:val="0"/>
          <w:numId w:val="0"/>
        </w:numPr>
      </w:pPr>
      <w:r>
        <w:t>1.1 Contexto y Motivación</w:t>
      </w:r>
    </w:p>
    <w:p>
      <w:pPr>
        <w:pStyle w:val="p1a"/>
      </w:pPr>
      <w:r>
        <w:t xml:space="preserve">Las instituciones financieras operan bajo un marco regulatorio estricto que les obliga a identificar y gestionar entidades de riesgo en tiempo real. Las regulaciones internacionales Anti-Money Laundering (AML) y Know Your Customer (KYC), implementadas en Chile por la Unidad de Análisis Financiero (UAF) y la Comisión para el Mercado Financiero (CMF), exigen la detección de Personas Políticamente Expuestas (PEP), sujetos sancionados y vínculos con redes de lavado de activos en flujos continuos de información pública.</w:t>
      </w:r>
    </w:p>
    <w:p>
      <w:pPr>
        <w:pStyle w:val="p1a"/>
      </w:pPr>
      <w:r>
        <w:t>El proceso actual en instituciones como Austranet implica la revisión manual de cientos de artículos periodísticos diarios por analistas especializados, un proceso con un costo promedio estimado de USD 8.75 por artículo analizado. A nivel global, el mercado de RegTech alcanza los USD 12.3 billones en 2024, proyectándose a USD 87.2 billones en 2028, evidenciando la urgencia de soluciones automatizadas y escalables [referencia KPMG 2024].</w:t>
      </w:r>
    </w:p>
    <w:p>
      <w:pPr>
        <w:pStyle w:val="heading2"/>
        <w:numPr>
          <w:ilvl w:val="0"/>
          <w:numId w:val="0"/>
        </w:numPr>
      </w:pPr>
      <w:r>
        <w:t>1.2 Planteamiento del Problema</w:t>
      </w:r>
    </w:p>
    <w:p>
      <w:pPr>
        <w:pStyle w:val="p1a"/>
      </w:pPr>
      <w:r>
        <w:t xml:space="preserve">El problema central es de naturaleza técnico-operativa: la extracción automatizada de entidades nombradas (personas, organizaciones) desde noticias no estructuradas en español con alta precisión semántica, en contextos de ambigüedad regulatoria, sin exponer datos confidenciales a servicios externos en la nube.</w:t>
      </w:r>
    </w:p>
    <w:p>
      <w:pPr>
        <w:pStyle w:val="p1a"/>
      </w:pPr>
      <w:r>
        <w:t>Los enfoques existentes presentan limitaciones críticas:</w:t>
      </w:r>
    </w:p>
    <w:p>
      <w:pPr>
        <w:numPr>
          <w:ilvl w:val="0"/>
          <w:numId w:val="0"/>
        </w:numPr>
        <w:pStyle w:val="bulletitem"/>
      </w:pPr>
      <w:r>
        <w:rPr>
          <w:b/>
        </w:rPr>
        <w:t xml:space="preserve">Revisión manual:</w:t>
      </w:r>
      <w:r>
        <w:t xml:space="preserve"> altamente precisa pero no escalable ni rentable.</w:t>
      </w:r>
    </w:p>
    <w:p>
      <w:pPr>
        <w:numPr>
          <w:ilvl w:val="0"/>
          <w:numId w:val="0"/>
        </w:numPr>
        <w:pStyle w:val="bulletitem"/>
      </w:pPr>
      <w:r>
        <w:rPr>
          <w:b/>
        </w:rPr>
        <w:t xml:space="preserve">Sistemas basados en reglas (regex, CRF):</w:t>
      </w:r>
      <w:r>
        <w:t xml:space="preserve"> frágiles ante variaciones léxicas en español.</w:t>
      </w:r>
    </w:p>
    <w:p>
      <w:pPr>
        <w:numPr>
          <w:ilvl w:val="0"/>
          <w:numId w:val="0"/>
        </w:numPr>
        <w:pStyle w:val="bulletitem"/>
      </w:pPr>
      <w:r>
        <w:rPr>
          <w:b/>
        </w:rPr>
        <w:t xml:space="preserve">APIs en la nube (OpenAI, Google Cloud NLP):</w:t>
      </w:r>
      <w:r>
        <w:t xml:space="preserve"> violan la soberanía de datos y presentan costos prohibitivos en batch.</w:t>
      </w:r>
    </w:p>
    <w:p>
      <w:pPr>
        <w:numPr>
          <w:ilvl w:val="0"/>
          <w:numId w:val="0"/>
        </w:numPr>
        <w:pStyle w:val="bulletitem"/>
      </w:pPr>
      <w:r>
        <w:rPr>
          <w:b/>
        </w:rPr>
        <w:t xml:space="preserve">Modelos supervisados (BERT-NER):</w:t>
      </w:r>
      <w:r>
        <w:t xml:space="preserve"> requieren miles de ejemplos etiquetados en dominio específico, inexistentes en español para compliance.</w:t>
      </w:r>
    </w:p>
    <w:p>
      <w:pPr>
        <w:pStyle w:val="heading2"/>
        <w:numPr>
          <w:ilvl w:val="0"/>
          <w:numId w:val="0"/>
        </w:numPr>
      </w:pPr>
      <w:r>
        <w:t>1.3 Hipótesis de Trabajo</w:t>
      </w:r>
    </w:p>
    <w:p>
      <w:pPr>
        <w:pStyle w:val="p1a"/>
      </w:pPr>
      <w:r>
        <w:rPr>
          <w:b/>
          <w:bCs/>
        </w:rPr>
        <w:t xml:space="preserve">Hipótesis:</w:t>
      </w:r>
      <w:r>
        <w:t xml:space="preserve"> </w:t>
      </w:r>
      <w:r>
        <w:t xml:space="preserve">Es viable implementar un sistema soberano de extracción y clasificación de entidades financieras para cumplimiento corporativo (AML/KYC) utilizando modelos de lenguaje de código abierto de escala media-grande (8B–32B parámetros) ejecutados localmente, alcanzando un desempeño competitivo en español (F1-Score ≥ 70%) mediante técnicas sistemáticas de prompt engineering y few-shot learning, eliminando la fuga de datos confidenciales y reduciendo los costos operativos en más del 60%.</w:t>
      </w:r>
    </w:p>
    <w:p>
      <w:pPr>
        <w:pStyle w:val="p1a"/>
      </w:pPr>
      <w:r>
        <w:rPr>
          <w:b/>
        </w:rPr>
        <w:t>Variables independientes:</w:t>
      </w:r>
      <w:r>
        <w:rPr>
          <w:b w:val="0"/>
        </w:rPr>
        <w:t xml:space="preserve"> (1) Modelo LLM seleccionado; (2) Estrategia de prompt (zero-shot/few-shot, inglés/español).</w:t>
      </w:r>
    </w:p>
    <w:p>
      <w:pPr>
        <w:pStyle w:val="p1a"/>
      </w:pPr>
      <w:r>
        <w:rPr>
          <w:b/>
        </w:rPr>
        <w:t>Variables dependientes:</w:t>
      </w:r>
      <w:r>
        <w:rPr>
          <w:b w:val="0"/>
        </w:rPr>
        <w:t xml:space="preserve"> (1) F1-Score por tipo de entidad; (2) Tasa de alucinaciones; (3) Latencia de procesamiento; (4) Consumo de VRAM.</w:t>
      </w:r>
    </w:p>
    <w:p>
      <w:pPr>
        <w:pStyle w:val="heading2"/>
        <w:numPr>
          <w:ilvl w:val="0"/>
          <w:numId w:val="0"/>
        </w:numPr>
      </w:pPr>
      <w:r>
        <w:t>1.4 Objetivos</w:t>
      </w:r>
    </w:p>
    <w:p>
      <w:pPr>
        <w:pStyle w:val="p1a"/>
      </w:pPr>
      <w:r>
        <w:rPr>
          <w:b/>
          <w:bCs/>
        </w:rPr>
        <w:t xml:space="preserve">Objetivo General:</w:t>
      </w:r>
      <w:r>
        <w:t xml:space="preserve"> </w:t>
      </w:r>
      <w:r>
        <w:t xml:space="preserve">Diseñar, implementar y validar un sistema soberano de extracción de entidades nombradas para cumplimiento normativo (AML/KYC) basado en LLMs de código abierto ejecutados localmente.</w:t>
      </w:r>
    </w:p>
    <w:p>
      <w:pPr>
        <w:pStyle w:val="p1a"/>
      </w:pPr>
      <w:r>
        <w:rPr>
          <w:b/>
          <w:bCs/>
        </w:rPr>
        <w:t xml:space="preserve">Objetivos Específicos:</w:t>
      </w:r>
      <w:r>
        <w:t xml:space="preserve"> </w:t>
      </w:r>
      <w:r>
        <w:t xml:space="preserve">1. Diseñar e implementar una arquitectura pub/sub multithreading con control adaptativo de concurrencia para la ejecución segura de LLMs de gran escala en hardware Apple Silicon.</w:t>
      </w:r>
      <w:r>
        <w:t xml:space="preserve"> </w:t>
      </w:r>
      <w:r>
        <w:t xml:space="preserve">2. Evaluar y comparar el desempeño de 15 modelos de lenguaje de código abierto generativos (familias Gemma, Llama, DeepSeek, Qwen, Mistral, NuExtract) en la tarea de NER sobre corpus de sanciones financieras reales en español.</w:t>
      </w:r>
      <w:r>
        <w:t xml:space="preserve"> </w:t>
      </w:r>
      <w:r>
        <w:t xml:space="preserve">3. Ejecutar un estudio de ablación sistemático sobre cuatro configuraciones de prompt (zero-shot/few-shot × inglés/español) para cuantificar el impacto de la localización lingüística y el aprendizaje en contexto.</w:t>
      </w:r>
      <w:r>
        <w:t xml:space="preserve"> </w:t>
      </w:r>
      <w:r>
        <w:t xml:space="preserve">4. Validar estadísticamente los resultados mediante ANOVA de una vía y pruebas post-hoc de Tukey HSD (α=0.05) sobre un corpus estadísticamente significativo (N≥30).</w:t>
      </w:r>
      <w:r>
        <w:t xml:space="preserve"> </w:t>
      </w:r>
      <w:r>
        <w:t xml:space="preserve">5. Demostrar una reducción de costos operativos del 60–80% respecto a la revisión manual, manteniendo una tasa de alucinaciones inferior al 5%.</w:t>
      </w:r>
    </w:p>
    <w:p>
      <w:pPr>
        <w:pStyle w:val="heading2"/>
        <w:numPr>
          <w:ilvl w:val="0"/>
          <w:numId w:val="0"/>
        </w:numPr>
      </w:pPr>
      <w:r>
        <w:t>1.5 Estructura del Documento</w:t>
      </w:r>
    </w:p>
    <w:p>
      <w:pPr>
        <w:pStyle w:val="p1a"/>
      </w:pPr>
      <w:r>
        <w:t xml:space="preserve">El presente informe se organiza de la siguiente manera: la Sección 2 presenta el marco teórico y estado del arte. La Sección 3 describe el sistema propuesto. La Sección 4 detalla el diseño experimental. La Sección 5 presenta los resultados. La Sección 6 discute los hallazgos. La Sección 7 presenta las conclusiones y trabajo futuro. La Sección 8 lista las referencias, y la Sección 9 incluye los anexos técnicos.</w:t>
      </w:r>
    </w:p>
    <w:p>
      <w:pPr>
        <w:pStyle w:val="heading1"/>
        <w:pageBreakBefore w:val="1"/>
        <w:numPr>
          <w:ilvl w:val="0"/>
          <w:numId w:val="0"/>
        </w:numPr>
      </w:pPr>
      <w:r>
        <w:t>2 MARCO TEÓRICO Y ESTADO DEL ARTE</w:t>
      </w:r>
    </w:p>
    <w:p>
      <w:pPr>
        <w:pStyle w:val="heading2"/>
        <w:numPr>
          <w:ilvl w:val="0"/>
          <w:numId w:val="0"/>
        </w:numPr>
      </w:pPr>
      <w:r>
        <w:t>2.1 Reconocimiento de Entidades Nombradas (NER)</w:t>
      </w:r>
    </w:p>
    <w:p>
      <w:pPr>
        <w:pStyle w:val="p1a"/>
      </w:pPr>
      <w:r>
        <w:t xml:space="preserve">El Reconocimiento de Entidades Nombradas (NER) es una subtarea fundamental del Procesamiento de Lenguaje Natural (PLN) que busca localizar y clasificar fragmentos de texto en categorías semánticas predefinidas. En el contexto de cumplimiento normativo, las categorías de interés son:</w:t>
      </w:r>
      <w:r>
        <w:t xml:space="preserve"> </w:t>
      </w:r>
      <w:r>
        <w:rPr>
          <w:b/>
          <w:bCs/>
        </w:rPr>
        <w:t xml:space="preserve">Personas</w:t>
      </w:r>
      <w:r>
        <w:t xml:space="preserve"> </w:t>
      </w:r>
      <w:r>
        <w:t xml:space="preserve">(PER),</w:t>
      </w:r>
      <w:r>
        <w:t xml:space="preserve"> </w:t>
      </w:r>
      <w:r>
        <w:rPr>
          <w:b/>
          <w:bCs/>
        </w:rPr>
        <w:t xml:space="preserve">Organizaciones</w:t>
      </w:r>
      <w:r>
        <w:t xml:space="preserve"> </w:t>
      </w:r>
      <w:r>
        <w:t xml:space="preserve">(ORG) y</w:t>
      </w:r>
      <w:r>
        <w:t xml:space="preserve"> </w:t>
      </w:r>
      <w:r>
        <w:rPr>
          <w:b/>
          <w:bCs/>
        </w:rPr>
        <w:t xml:space="preserve">Ubicaciones Geográficas</w:t>
      </w:r>
      <w:r>
        <w:t xml:space="preserve"> </w:t>
      </w:r>
      <w:r>
        <w:t xml:space="preserve">(LOC). Formalmente, NER es un problema de etiquetado de secuencias donde cada token recibe una etiqueta según el esquema IOB2 (Inside-Outside-Beginning).</w:t>
      </w:r>
    </w:p>
    <w:p>
      <w:pPr>
        <w:pStyle w:val="p1a"/>
      </w:pPr>
      <w:r>
        <w:rPr>
          <w:b/>
        </w:rPr>
        <w:t>Los enfoques históricos para NER incluyen:</w:t>
      </w:r>
      <w:r>
        <w:rPr>
          <w:b w:val="0"/>
        </w:rPr>
        <w:t xml:space="preserve"> (1) Modelos estadísticos de Campos Aleatorios Condicionales (CRF) [Smith et al., 2019]; (2) Modelos neurales BiLSTM-CRF; y (3) Modelos Transformer pre-entrenados como BERT [Devlin et al., 2019]. El estado del arte en benchmarks académicos (CoNLL-2003, FiNER-139) supera el 90% de F1 con modelos BERT fine-tuned, pero estos requieren grandes volúmenes de datos etiquetados específicos del dominio, inexistentes en español para el dominio de compliance financiero.</w:t>
      </w:r>
    </w:p>
    <w:p>
      <w:pPr>
        <w:pStyle w:val="p1a"/>
      </w:pPr>
      <w:r>
        <w:t xml:space="preserve">El estado del arte en NER en español con Transformers alcanza 88–91% de F1 en benchmarks académicos controlados [García &amp; López, 2021; Devlin et al., 2019]. Sin embargo, estos modelos requieren corpus etiquetados extensos en el dominio objetivo, inexistentes en español para el ámbito de cumplimiento financiero AML/KYC. Esto motiva el uso de LLMs generativos con capacidades zero-shot y few-shot, que permiten adaptación inmediata al dominio sin reentrenamiento.</w:t>
      </w:r>
    </w:p>
    <w:p>
      <w:pPr>
        <w:pStyle w:val="heading2"/>
        <w:numPr>
          <w:ilvl w:val="0"/>
          <w:numId w:val="0"/>
        </w:numPr>
      </w:pPr>
      <w:r>
        <w:t>2.2 Modelos de Lenguaje Grande (LLMs) y Aprendizaje en Contexto</w:t>
      </w:r>
    </w:p>
    <w:p>
      <w:pPr>
        <w:pStyle w:val="p1a"/>
      </w:pPr>
      <w:r>
        <w:t xml:space="preserve">La arquitectura Transformer [Vaswani et al., 2017], basada en el mecanismo de atención multi-cabeza, es la base de todos los modelos evaluados en este trabajo. Los LLMs modernos generativos (decoder-only Transformers) son entrenados en corpus masivos de texto con el objetivo de predicción del siguiente token. Su capacidad de adaptación a nuevas tareas sin entrenamiento explícito, denominada aprendizaje en contexto (in-context learning), es crítica para dominios especializados con datos etiquetados escasos.</w:t>
      </w:r>
    </w:p>
    <w:p>
      <w:pPr>
        <w:pStyle w:val="p1a"/>
      </w:pPr>
      <w:r>
        <w:t xml:space="preserve">El aprendizaje few-shot [Brown et al., 2020] permite incluir ejemplos demorativos (shots) directamente en el prompt para guiar la salida del modelo. Este trabajo evalúa sistemáticamente el impacto de 0 (zero-shot) y 3 (few-shot) ejemplos en español e inglés sobre la calidad de extracción NER en cumplimiento financiero.</w:t>
      </w:r>
    </w:p>
    <w:p>
      <w:pPr>
        <w:pStyle w:val="p1a"/>
      </w:pPr>
      <w:r>
        <w:t xml:space="preserve">BloombergGPT [Wu et al., 2023] evidencia el beneficio del pre-entrenamiento específico al dominio financiero (+15% F1 promedio vs. modelos generales). Sin embargo, su ejecución requiere infraestructura propietaria en la nube. Este trabajo demuestra que modelos de código abierto de escala media-grande (8B–31B parámetros) ejecutados localmente pueden aproximar este rendimiento sin comprometer la soberanía de datos.</w:t>
      </w:r>
    </w:p>
    <w:p>
      <w:pPr>
        <w:pStyle w:val="heading2"/>
        <w:numPr>
          <w:ilvl w:val="0"/>
          <w:numId w:val="0"/>
        </w:numPr>
      </w:pPr>
      <w:r>
        <w:t>2.3 Generación Aumentada por Recuperación (RAG)</w:t>
      </w:r>
    </w:p>
    <w:p>
      <w:pPr>
        <w:pStyle w:val="p1a"/>
      </w:pPr>
      <w:r>
        <w:t xml:space="preserve">La Generación Aumentada por Recuperación (RAG) [Lewis et al., 2020] optimiza la salida de un LLM fundamentando la generación en documentos recuperados dinámicamente. En este trabajo se adopta una variante de RAG de</w:t>
      </w:r>
      <w:r>
        <w:t xml:space="preserve"> </w:t>
      </w:r>
      <w:r>
        <w:t xml:space="preserve">“contexto único”</w:t>
      </w:r>
      <w:r>
        <w:t xml:space="preserve">: cada artículo periodístico actúa como la única fuente de contexto inyectada al LLM en el prompt del sistema, forzando al modelo a extraer entidades únicamente desde el texto presente, mitigando alucinaciones extrínsecas.</w:t>
      </w:r>
    </w:p>
    <w:p>
      <w:pPr>
        <w:pStyle w:val="heading2"/>
        <w:numPr>
          <w:ilvl w:val="0"/>
          <w:numId w:val="0"/>
        </w:numPr>
      </w:pPr>
      <w:r>
        <w:t>2.4 Ejecución Soberana de LLMs con Ollama</w:t>
      </w:r>
    </w:p>
    <w:p>
      <w:pPr>
        <w:pStyle w:val="p1a"/>
      </w:pPr>
      <w:r>
        <w:t xml:space="preserve">Ollama es una plataforma de código abierto que permite ejecutar LLMs de gran escala localmente mediante cuantización (GGUF, Q4_K_M) optimizada para Apple Silicon Metal (MPS) y arquitecturas x86 con CUDA. La ejecución local garantiza soberanía de datos: ningún dato es transmitido a servicios externos. En este trabajo, Ollama gestiona la carga dinámica de pesos en VRAM (hasta 24.7 GB para gemma4:31b-mlx) y la liberación explícita de memoria GPU al completar cada modelo (keep_alive=0).</w:t>
      </w:r>
    </w:p>
    <w:p>
      <w:pPr>
        <w:pStyle w:val="heading2"/>
        <w:numPr>
          <w:ilvl w:val="0"/>
          <w:numId w:val="0"/>
        </w:numPr>
      </w:pPr>
      <w:r>
        <w:t>2.5 Estado del Arte Relacionado</w:t>
      </w:r>
    </w:p>
    <w:p>
      <w:pPr>
        <w:pStyle w:val="p1a"/>
      </w:pPr>
      <w:r>
        <w:t xml:space="preserve">La Tabla 1 posiciona este trabajo respecto a investigaciones recientes en NER para dominios financieros y regulatorios:</w:t>
      </w:r>
    </w:p>
    <w:p>
      <w:pPr>
        <w:pStyle w:val="tablecaption"/>
      </w:pPr>
      <w:r>
        <w:t xml:space="preserve">Tabla 2. Comparación con Trabajos Relacionados en NER para Dominios Financieros</w:t>
      </w:r>
    </w:p>
    <w:tbl>
      <w:tblPr>
        <w:tblStyle w:val="Table"/>
        <w:tblW w:type="dxa" w:w="8838"/>
        <w:tblLayout w:type="fixed"/>
        <w:tblLook w:firstRow="1" w:lastRow="0" w:firstColumn="0" w:lastColumn="0" w:noHBand="0" w:noVBand="0" w:val="0020"/>
      </w:tblPr>
      <w:tblGrid>
        <w:gridCol w:w="2834"/>
        <w:gridCol w:w="2334"/>
        <w:gridCol w:w="1334"/>
        <w:gridCol w:w="667"/>
        <w:gridCol w:w="1000"/>
        <w:gridCol w:w="669"/>
      </w:tblGrid>
      <w:tr>
        <w:trPr>
          <w:tblHeader w:val="on"/>
        </w:trPr>
        <w:tc>
          <w:tcPr>
            <w:tcW w:type="dxa" w:w="2834"/>
          </w:tcPr>
          <w:p>
            <w:pPr>
              <w:pStyle w:val="Compact"/>
              <w:jc w:val="left"/>
            </w:pPr>
            <w:r>
              <w:t xml:space="preserve">Trabajo</w:t>
            </w:r>
          </w:p>
        </w:tc>
        <w:tc>
          <w:tcPr>
            <w:tcW w:type="dxa" w:w="2334"/>
          </w:tcPr>
          <w:p>
            <w:pPr>
              <w:pStyle w:val="Compact"/>
              <w:jc w:val="left"/>
            </w:pPr>
            <w:r>
              <w:t xml:space="preserve">Dataset</w:t>
            </w:r>
          </w:p>
        </w:tc>
        <w:tc>
          <w:tcPr>
            <w:tcW w:type="dxa" w:w="1334"/>
          </w:tcPr>
          <w:p>
            <w:pPr>
              <w:pStyle w:val="Compact"/>
              <w:jc w:val="left"/>
            </w:pPr>
            <w:r>
              <w:t xml:space="preserve">Modelo</w:t>
            </w:r>
          </w:p>
        </w:tc>
        <w:tc>
          <w:tcPr>
            <w:tcW w:type="dxa" w:w="667"/>
          </w:tcPr>
          <w:p>
            <w:pPr>
              <w:pStyle w:val="Compact"/>
              <w:jc w:val="center"/>
            </w:pPr>
            <w:r>
              <w:t xml:space="preserve">F1</w:t>
            </w:r>
          </w:p>
        </w:tc>
        <w:tc>
          <w:tcPr>
            <w:tcW w:type="dxa" w:w="1000"/>
          </w:tcPr>
          <w:p>
            <w:pPr>
              <w:pStyle w:val="Compact"/>
              <w:jc w:val="center"/>
            </w:pPr>
            <w:r>
              <w:t xml:space="preserve">Privacidad</w:t>
            </w:r>
          </w:p>
        </w:tc>
        <w:tc>
          <w:tcPr>
            <w:tcW w:type="dxa" w:w="669"/>
          </w:tcPr>
          <w:p>
            <w:pPr>
              <w:pStyle w:val="Compact"/>
              <w:jc w:val="left"/>
            </w:pPr>
            <w:r>
              <w:t xml:space="preserve">Idioma</w:t>
            </w:r>
          </w:p>
        </w:tc>
      </w:tr>
      <w:tr>
        <w:tc>
          <w:tcPr>
            <w:tcW w:type="dxa" w:w="2834"/>
          </w:tcPr>
          <w:p>
            <w:pPr>
              <w:pStyle w:val="Compact"/>
              <w:jc w:val="left"/>
            </w:pPr>
            <w:r>
              <w:t xml:space="preserve">BloombergGPT [Wu et al., 2023]</w:t>
            </w:r>
          </w:p>
        </w:tc>
        <w:tc>
          <w:tcPr>
            <w:tcW w:type="dxa" w:w="2334"/>
          </w:tcPr>
          <w:p>
            <w:pPr>
              <w:pStyle w:val="Compact"/>
              <w:jc w:val="left"/>
            </w:pPr>
            <w:r>
              <w:t xml:space="preserve">Bloomberg corpus</w:t>
            </w:r>
          </w:p>
        </w:tc>
        <w:tc>
          <w:tcPr>
            <w:tcW w:type="dxa" w:w="1334"/>
          </w:tcPr>
          <w:p>
            <w:pPr>
              <w:pStyle w:val="Compact"/>
              <w:jc w:val="left"/>
            </w:pPr>
            <w:r>
              <w:t xml:space="preserve">GPT-J + dominio</w:t>
            </w:r>
          </w:p>
        </w:tc>
        <w:tc>
          <w:tcPr>
            <w:tcW w:type="dxa" w:w="667"/>
          </w:tcPr>
          <w:p>
            <w:pPr>
              <w:pStyle w:val="Compact"/>
              <w:jc w:val="center"/>
            </w:pPr>
            <w:r>
              <w:t xml:space="preserve">85%+</w:t>
            </w:r>
          </w:p>
        </w:tc>
        <w:tc>
          <w:tcPr>
            <w:tcW w:type="dxa" w:w="1000"/>
          </w:tcPr>
          <w:p>
            <w:pPr>
              <w:pStyle w:val="Compact"/>
              <w:jc w:val="center"/>
            </w:pPr>
            <w:r>
              <w:t xml:space="preserve">❌ Cloud</w:t>
            </w:r>
          </w:p>
        </w:tc>
        <w:tc>
          <w:tcPr>
            <w:tcW w:type="dxa" w:w="669"/>
          </w:tcPr>
          <w:p>
            <w:pPr>
              <w:pStyle w:val="Compact"/>
              <w:jc w:val="left"/>
            </w:pPr>
            <w:r>
              <w:t xml:space="preserve">Inglés</w:t>
            </w:r>
          </w:p>
        </w:tc>
      </w:tr>
      <w:tr>
        <w:tc>
          <w:tcPr>
            <w:tcW w:type="dxa" w:w="2834"/>
          </w:tcPr>
          <w:p>
            <w:pPr>
              <w:pStyle w:val="Compact"/>
              <w:jc w:val="left"/>
            </w:pPr>
            <w:r>
              <w:t xml:space="preserve">FiNER-139 Benchmark [Alvarado et al., 2023]</w:t>
            </w:r>
          </w:p>
        </w:tc>
        <w:tc>
          <w:tcPr>
            <w:tcW w:type="dxa" w:w="2334"/>
          </w:tcPr>
          <w:p>
            <w:pPr>
              <w:pStyle w:val="Compact"/>
              <w:jc w:val="left"/>
            </w:pPr>
            <w:r>
              <w:t xml:space="preserve">SEC 10-K/10-Q</w:t>
            </w:r>
          </w:p>
        </w:tc>
        <w:tc>
          <w:tcPr>
            <w:tcW w:type="dxa" w:w="1334"/>
          </w:tcPr>
          <w:p>
            <w:pPr>
              <w:pStyle w:val="Compact"/>
              <w:jc w:val="left"/>
            </w:pPr>
            <w:r>
              <w:t xml:space="preserve">BERT fine-tuned</w:t>
            </w:r>
          </w:p>
        </w:tc>
        <w:tc>
          <w:tcPr>
            <w:tcW w:type="dxa" w:w="667"/>
          </w:tcPr>
          <w:p>
            <w:pPr>
              <w:pStyle w:val="Compact"/>
              <w:jc w:val="center"/>
            </w:pPr>
            <w:r>
              <w:t xml:space="preserve">91%</w:t>
            </w:r>
          </w:p>
        </w:tc>
        <w:tc>
          <w:tcPr>
            <w:tcW w:type="dxa" w:w="1000"/>
          </w:tcPr>
          <w:p>
            <w:pPr>
              <w:pStyle w:val="Compact"/>
              <w:jc w:val="center"/>
            </w:pPr>
            <w:r>
              <w:t xml:space="preserve">❌ Cloud</w:t>
            </w:r>
          </w:p>
        </w:tc>
        <w:tc>
          <w:tcPr>
            <w:tcW w:type="dxa" w:w="669"/>
          </w:tcPr>
          <w:p>
            <w:pPr>
              <w:pStyle w:val="Compact"/>
              <w:jc w:val="left"/>
            </w:pPr>
            <w:r>
              <w:t xml:space="preserve">Inglés</w:t>
            </w:r>
          </w:p>
        </w:tc>
      </w:tr>
      <w:tr>
        <w:tc>
          <w:tcPr>
            <w:tcW w:type="dxa" w:w="2834"/>
          </w:tcPr>
          <w:p>
            <w:pPr>
              <w:pStyle w:val="Compact"/>
              <w:jc w:val="left"/>
            </w:pPr>
            <w:r>
              <w:t xml:space="preserve">García &amp; López (2021)</w:t>
            </w:r>
          </w:p>
        </w:tc>
        <w:tc>
          <w:tcPr>
            <w:tcW w:type="dxa" w:w="2334"/>
          </w:tcPr>
          <w:p>
            <w:pPr>
              <w:pStyle w:val="Compact"/>
              <w:jc w:val="left"/>
            </w:pPr>
            <w:r>
              <w:t xml:space="preserve">CoNLL-ES</w:t>
            </w:r>
          </w:p>
        </w:tc>
        <w:tc>
          <w:tcPr>
            <w:tcW w:type="dxa" w:w="1334"/>
          </w:tcPr>
          <w:p>
            <w:pPr>
              <w:pStyle w:val="Compact"/>
              <w:jc w:val="left"/>
            </w:pPr>
            <w:r>
              <w:t xml:space="preserve">XLM-R</w:t>
            </w:r>
          </w:p>
        </w:tc>
        <w:tc>
          <w:tcPr>
            <w:tcW w:type="dxa" w:w="667"/>
          </w:tcPr>
          <w:p>
            <w:pPr>
              <w:pStyle w:val="Compact"/>
              <w:jc w:val="center"/>
            </w:pPr>
            <w:r>
              <w:t xml:space="preserve">88%</w:t>
            </w:r>
          </w:p>
        </w:tc>
        <w:tc>
          <w:tcPr>
            <w:tcW w:type="dxa" w:w="1000"/>
          </w:tcPr>
          <w:p>
            <w:pPr>
              <w:pStyle w:val="Compact"/>
              <w:jc w:val="center"/>
            </w:pPr>
            <w:r>
              <w:t xml:space="preserve">✅ Local</w:t>
            </w:r>
          </w:p>
        </w:tc>
        <w:tc>
          <w:tcPr>
            <w:tcW w:type="dxa" w:w="669"/>
          </w:tcPr>
          <w:p>
            <w:pPr>
              <w:pStyle w:val="Compact"/>
              <w:jc w:val="left"/>
            </w:pPr>
            <w:r>
              <w:t xml:space="preserve">Español</w:t>
            </w:r>
          </w:p>
        </w:tc>
      </w:tr>
      <w:tr>
        <w:tc>
          <w:tcPr>
            <w:tcW w:type="dxa" w:w="2834"/>
          </w:tcPr>
          <w:p>
            <w:pPr>
              <w:pStyle w:val="Compact"/>
              <w:jc w:val="left"/>
            </w:pPr>
            <w:r>
              <w:t xml:space="preserve">Chang et al. (2024)</w:t>
            </w:r>
          </w:p>
        </w:tc>
        <w:tc>
          <w:tcPr>
            <w:tcW w:type="dxa" w:w="2334"/>
          </w:tcPr>
          <w:p>
            <w:pPr>
              <w:pStyle w:val="Compact"/>
              <w:jc w:val="left"/>
            </w:pPr>
            <w:r>
              <w:t xml:space="preserve">Docs bancarios</w:t>
            </w:r>
          </w:p>
        </w:tc>
        <w:tc>
          <w:tcPr>
            <w:tcW w:type="dxa" w:w="1334"/>
          </w:tcPr>
          <w:p>
            <w:pPr>
              <w:pStyle w:val="Compact"/>
              <w:jc w:val="left"/>
            </w:pPr>
            <w:r>
              <w:t xml:space="preserve">GPT-4 + RAG</w:t>
            </w:r>
          </w:p>
        </w:tc>
        <w:tc>
          <w:tcPr>
            <w:tcW w:type="dxa" w:w="667"/>
          </w:tcPr>
          <w:p>
            <w:pPr>
              <w:pStyle w:val="Compact"/>
              <w:jc w:val="center"/>
            </w:pPr>
            <w:r>
              <w:t xml:space="preserve">83%</w:t>
            </w:r>
          </w:p>
        </w:tc>
        <w:tc>
          <w:tcPr>
            <w:tcW w:type="dxa" w:w="1000"/>
          </w:tcPr>
          <w:p>
            <w:pPr>
              <w:pStyle w:val="Compact"/>
              <w:jc w:val="center"/>
            </w:pPr>
            <w:r>
              <w:t xml:space="preserve">❌ Cloud</w:t>
            </w:r>
          </w:p>
        </w:tc>
        <w:tc>
          <w:tcPr>
            <w:tcW w:type="dxa" w:w="669"/>
          </w:tcPr>
          <w:p>
            <w:pPr>
              <w:pStyle w:val="Compact"/>
              <w:jc w:val="left"/>
            </w:pPr>
            <w:r>
              <w:t xml:space="preserve">Inglés</w:t>
            </w:r>
          </w:p>
        </w:tc>
      </w:tr>
      <w:tr>
        <w:tc>
          <w:tcPr>
            <w:tcW w:type="dxa" w:w="2834"/>
          </w:tcPr>
          <w:p>
            <w:pPr>
              <w:pStyle w:val="Compact"/>
              <w:jc w:val="left"/>
            </w:pPr>
            <w:r>
              <w:rPr>
                <w:b/>
                <w:bCs/>
              </w:rPr>
              <w:t xml:space="preserve">Este trabajo</w:t>
            </w:r>
          </w:p>
        </w:tc>
        <w:tc>
          <w:tcPr>
            <w:tcW w:type="dxa" w:w="2334"/>
          </w:tcPr>
          <w:p>
            <w:pPr>
              <w:pStyle w:val="Compact"/>
              <w:jc w:val="left"/>
            </w:pPr>
            <w:r>
              <w:rPr>
                <w:b/>
                <w:bCs/>
              </w:rPr>
              <w:t xml:space="preserve">Kleptotrace/CoNLL-2002 (AML)</w:t>
            </w:r>
          </w:p>
        </w:tc>
        <w:tc>
          <w:tcPr>
            <w:tcW w:type="dxa" w:w="1334"/>
          </w:tcPr>
          <w:p>
            <w:pPr>
              <w:pStyle w:val="Compact"/>
              <w:jc w:val="left"/>
            </w:pPr>
            <w:r>
              <w:rPr>
                <w:b/>
                <w:bCs/>
              </w:rPr>
              <w:t xml:space="preserve">gemma4:31b local</w:t>
            </w:r>
          </w:p>
        </w:tc>
        <w:tc>
          <w:tcPr>
            <w:tcW w:type="dxa" w:w="667"/>
          </w:tcPr>
          <w:p>
            <w:pPr>
              <w:pStyle w:val="Compact"/>
              <w:jc w:val="center"/>
            </w:pPr>
            <w:r>
              <w:rPr>
                <w:b/>
                <w:bCs/>
              </w:rPr>
              <w:t xml:space="preserve">79%</w:t>
            </w:r>
          </w:p>
        </w:tc>
        <w:tc>
          <w:tcPr>
            <w:tcW w:type="dxa" w:w="1000"/>
          </w:tcPr>
          <w:p>
            <w:pPr>
              <w:pStyle w:val="Compact"/>
              <w:jc w:val="center"/>
            </w:pPr>
            <w:r>
              <w:rPr>
                <w:b/>
                <w:bCs/>
              </w:rPr>
              <w:t xml:space="preserve">✅ 100% Local</w:t>
            </w:r>
          </w:p>
        </w:tc>
        <w:tc>
          <w:tcPr>
            <w:tcW w:type="dxa" w:w="669"/>
          </w:tcPr>
          <w:p>
            <w:pPr>
              <w:pStyle w:val="Compact"/>
              <w:jc w:val="left"/>
            </w:pPr>
            <w:r>
              <w:rPr>
                <w:b/>
                <w:bCs/>
              </w:rPr>
              <w:t xml:space="preserve">Español</w:t>
            </w:r>
          </w:p>
        </w:tc>
      </w:tr>
    </w:tbl>
    <w:p>
      <w:pPr>
        <w:pStyle w:val="p1a"/>
      </w:pPr>
      <w:r>
        <w:rPr>
          <w:b/>
        </w:rPr>
        <w:t>El aporte original de este trabajo reside en:</w:t>
      </w:r>
      <w:r>
        <w:rPr>
          <w:b w:val="0"/>
        </w:rPr>
        <w:t xml:space="preserve"> (1) evaluación comparativa de 16 modelos sobre corpus real de sanciones en español; (2) estudio de ablación lingüística (ES vs. EN); (3) sistema soberano reproducible sobre hardware comercial; y (4) validación estadística formal (ANOVA, Tukey HSD) sobre corpus N≥30.</w:t>
      </w:r>
    </w:p>
    <w:p>
      <w:pPr>
        <w:pStyle w:val="heading1"/>
        <w:pageBreakBefore w:val="1"/>
        <w:numPr>
          <w:ilvl w:val="0"/>
          <w:numId w:val="0"/>
        </w:numPr>
      </w:pPr>
      <w:r>
        <w:t>3 DESCRIPCIÓN DEL SISTEMA PROPUESTO</w:t>
      </w:r>
    </w:p>
    <w:p>
      <w:pPr>
        <w:pStyle w:val="heading2"/>
        <w:numPr>
          <w:ilvl w:val="0"/>
          <w:numId w:val="0"/>
        </w:numPr>
      </w:pPr>
      <w:r>
        <w:t>3.1 Arquitectura General</w:t>
      </w:r>
    </w:p>
    <w:p>
      <w:pPr>
        <w:pStyle w:val="p1a"/>
      </w:pPr>
      <w:r>
        <w:t xml:space="preserve">El sistema se estructura en cinco capas funcionales:</w:t>
      </w:r>
    </w:p>
    <w:p>
      <w:pPr>
        <w:pStyle w:val="programcode"/>
      </w:pPr>
      <w:r>
        <w:t>La Tabla 1 resume la arquitectura de cinco capas del sistema.</w:t>
      </w:r>
    </w:p>
    <w:p>
      <w:pPr>
        <w:pStyle w:val="tablecaption"/>
      </w:pPr>
      <w:r>
        <w:t xml:space="preserve">Tabla 3. Arquitectura de Cinco Capas del Sistema</w:t>
      </w:r>
    </w:p>
    <w:tbl>
      <w:tblPr>
        <w:tblW w:type="dxa" w:w="8838"/>
        <w:jc w:val="center"/>
        <w:tblLayout w:type="fixed"/>
        <w:tblLook w:firstColumn="1" w:firstRow="1" w:lastColumn="0" w:lastRow="0" w:noHBand="0" w:noVBand="1" w:val="04A0"/>
      </w:tblPr>
      <w:tblGrid>
        <w:gridCol w:w="2093"/>
        <w:gridCol w:w="2790"/>
        <w:gridCol w:w="3955"/>
      </w:tblGrid>
      <w:tr>
        <w:tc>
          <w:tcPr>
            <w:tcW w:type="dxa" w:w="2093"/>
            <w:tcBorders>
              <w:top w:val="single" w:sz="4" w:space="0" w:color="999999"/>
              <w:left w:val="single" w:sz="4" w:space="0" w:color="999999"/>
              <w:bottom w:val="single" w:sz="4" w:space="0" w:color="999999"/>
              <w:right w:val="single" w:sz="4" w:space="0" w:color="999999"/>
            </w:tcBorders>
            <w:shd w:val="clear" w:color="auto" w:fill="D9E2F3"/>
          </w:tcPr>
          <w:p>
            <w:pPr>
              <w:spacing w:after="40" w:before="40"/>
            </w:pPr>
            <w:r>
              <w:rPr>
                <w:b/>
                <w:sz w:val="18"/>
              </w:rPr>
            </w:r>
            <w:r>
              <w:rPr>
                <w:b/>
                <w:sz w:val="18"/>
              </w:rPr>
              <w:t>Capa</w:t>
            </w:r>
          </w:p>
        </w:tc>
        <w:tc>
          <w:tcPr>
            <w:tcW w:type="dxa" w:w="2790"/>
            <w:tcBorders>
              <w:top w:val="single" w:sz="4" w:space="0" w:color="999999"/>
              <w:left w:val="single" w:sz="4" w:space="0" w:color="999999"/>
              <w:bottom w:val="single" w:sz="4" w:space="0" w:color="999999"/>
              <w:right w:val="single" w:sz="4" w:space="0" w:color="999999"/>
            </w:tcBorders>
            <w:shd w:val="clear" w:color="auto" w:fill="D9E2F3"/>
          </w:tcPr>
          <w:p>
            <w:pPr>
              <w:spacing w:after="40" w:before="40"/>
            </w:pPr>
            <w:r>
              <w:rPr>
                <w:b/>
                <w:sz w:val="18"/>
              </w:rPr>
            </w:r>
            <w:r>
              <w:rPr>
                <w:b/>
                <w:sz w:val="18"/>
              </w:rPr>
              <w:t>Módulo(s)</w:t>
            </w:r>
          </w:p>
        </w:tc>
        <w:tc>
          <w:tcPr>
            <w:tcW w:type="dxa" w:w="3955"/>
            <w:tcBorders>
              <w:top w:val="single" w:sz="4" w:space="0" w:color="999999"/>
              <w:left w:val="single" w:sz="4" w:space="0" w:color="999999"/>
              <w:bottom w:val="single" w:sz="4" w:space="0" w:color="999999"/>
              <w:right w:val="single" w:sz="4" w:space="0" w:color="999999"/>
            </w:tcBorders>
            <w:shd w:val="clear" w:color="auto" w:fill="D9E2F3"/>
          </w:tcPr>
          <w:p>
            <w:pPr>
              <w:spacing w:after="40" w:before="40"/>
            </w:pPr>
            <w:r>
              <w:rPr>
                <w:b/>
                <w:sz w:val="18"/>
              </w:rPr>
            </w:r>
            <w:r>
              <w:rPr>
                <w:b/>
                <w:sz w:val="18"/>
              </w:rPr>
              <w:t>Detalle técnico</w:t>
            </w:r>
          </w:p>
        </w:tc>
      </w:tr>
      <w:tr>
        <w:tc>
          <w:tcPr>
            <w:tcW w:type="dxa" w:w="2093"/>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1. Capa de Datos</w:t>
            </w:r>
          </w:p>
        </w:tc>
        <w:tc>
          <w:tcPr>
            <w:tcW w:type="dxa" w:w="2790"/>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DataLoader + Validator</w:t>
            </w:r>
          </w:p>
        </w:tc>
        <w:tc>
          <w:tcPr>
            <w:tcW w:type="dxa" w:w="3955"/>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Kleptotrace/CoNLL-2002 JSON → Schema Validation → Records</w:t>
            </w:r>
          </w:p>
        </w:tc>
      </w:tr>
      <w:tr>
        <w:tc>
          <w:tcPr>
            <w:tcW w:type="dxa" w:w="2093"/>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2. Orquestación</w:t>
            </w:r>
          </w:p>
        </w:tc>
        <w:tc>
          <w:tcPr>
            <w:tcW w:type="dxa" w:w="2790"/>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main.py + pub_sub.py</w:t>
            </w:r>
          </w:p>
        </w:tc>
        <w:tc>
          <w:tcPr>
            <w:tcW w:type="dxa" w:w="3955"/>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Pub/Sub Queue → AIMD Controller → Batch Mgr</w:t>
            </w:r>
          </w:p>
        </w:tc>
      </w:tr>
      <w:tr>
        <w:tc>
          <w:tcPr>
            <w:tcW w:type="dxa" w:w="2093"/>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3. Proveedores LLM</w:t>
            </w:r>
          </w:p>
        </w:tc>
        <w:tc>
          <w:tcPr>
            <w:tcW w:type="dxa" w:w="2790"/>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Factory / Facade</w:t>
            </w:r>
          </w:p>
        </w:tc>
        <w:tc>
          <w:tcPr>
            <w:tcW w:type="dxa" w:w="3955"/>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OllamaProvider, OpenAIProvider, AnthropicProvider, VertexAIProvider</w:t>
            </w:r>
          </w:p>
        </w:tc>
      </w:tr>
      <w:tr>
        <w:tc>
          <w:tcPr>
            <w:tcW w:type="dxa" w:w="2093"/>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4. Evaluación</w:t>
            </w:r>
          </w:p>
        </w:tc>
        <w:tc>
          <w:tcPr>
            <w:tcW w:type="dxa" w:w="2790"/>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evaluator.py + stats</w:t>
            </w:r>
          </w:p>
        </w:tc>
        <w:tc>
          <w:tcPr>
            <w:tcW w:type="dxa" w:w="3955"/>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F1 / Precision / Recall / ANOVA / Tukey HSD</w:t>
            </w:r>
          </w:p>
        </w:tc>
      </w:tr>
      <w:tr>
        <w:tc>
          <w:tcPr>
            <w:tcW w:type="dxa" w:w="2093"/>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5. Visualización</w:t>
            </w:r>
          </w:p>
        </w:tc>
        <w:tc>
          <w:tcPr>
            <w:tcW w:type="dxa" w:w="2790"/>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dashboard.py (Streamlit)</w:t>
            </w:r>
          </w:p>
        </w:tc>
        <w:tc>
          <w:tcPr>
            <w:tcW w:type="dxa" w:w="3955"/>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7 pestañas: métricas, alucinaciones, ANOVA...</w:t>
            </w:r>
          </w:p>
        </w:tc>
      </w:tr>
    </w:tbl>
    <w:p>
      <w:pPr>
        <w:pStyle w:val="heading2"/>
        <w:numPr>
          <w:ilvl w:val="0"/>
          <w:numId w:val="0"/>
        </w:numPr>
      </w:pPr>
      <w:r>
        <w:t>3.2 Pipeline Pub/Sub y Control Adaptativo AIMD</w:t>
      </w:r>
    </w:p>
    <w:p>
      <w:pPr>
        <w:pStyle w:val="p1a"/>
      </w:pPr>
      <w:r>
        <w:t xml:space="preserve">El núcleo del sistema es un pipeline pub/sub multithreading implementado en</w:t>
      </w:r>
      <w:r>
        <w:t xml:space="preserve"> </w:t>
      </w:r>
      <w:r>
        <w:rPr>
          <w:rFonts w:ascii="Consolas" w:hAnsi="Consolas"/>
        </w:rPr>
        <w:t xml:space="preserve">pub_sub.py</w:t>
      </w:r>
      <w:r>
        <w:t xml:space="preserve">. El productor publica las tareas de procesamiento (lotes de artículos por modelo) en una cola en memoria (Redis-ready). Los consumidores (workers) consumen tareas de forma paralela, con un número de workers dinámicamente ajustado por el controlador AIMD (</w:t>
      </w:r>
      <w:r>
        <w:rPr>
          <w:rFonts w:ascii="Consolas" w:hAnsi="Consolas"/>
        </w:rPr>
        <w:t xml:space="preserve">adaptive_workers.py</w:t>
      </w:r>
      <w:r>
        <w:t xml:space="preserve">).</w:t>
      </w:r>
    </w:p>
    <w:p>
      <w:pPr>
        <w:pStyle w:val="p1a"/>
      </w:pPr>
      <w:r>
        <w:t>El controlador AIMD (Additive Increase Multiplicative Decrease) implementa la siguiente política:</w:t>
      </w:r>
    </w:p>
    <w:p>
      <w:pPr>
        <w:numPr>
          <w:ilvl w:val="0"/>
          <w:numId w:val="0"/>
        </w:numPr>
        <w:pStyle w:val="bulletitem"/>
      </w:pPr>
      <w:r>
        <w:rPr>
          <w:b/>
        </w:rPr>
        <w:t xml:space="preserve">Aumento aditivo:</w:t>
      </w:r>
      <w:r>
        <w:t xml:space="preserve"> Si el sistema permanece estable (sin errores HTTP 429 ni excepciones) durante una ventana de 600 segundos, incrementa los workers en +1 cada 120 segundos, hasta un techo del 75% del máximo.</w:t>
      </w:r>
    </w:p>
    <w:p>
      <w:pPr>
        <w:numPr>
          <w:ilvl w:val="0"/>
          <w:numId w:val="0"/>
        </w:numPr>
        <w:pStyle w:val="bulletitem"/>
      </w:pPr>
      <w:r>
        <w:rPr>
          <w:b/>
        </w:rPr>
        <w:t xml:space="preserve">Decremento multiplicativo:</w:t>
      </w:r>
      <w:r>
        <w:t xml:space="preserve"> Ante cualquier error de rate-limiting, reduce los workers a la mitad.</w:t>
      </w:r>
    </w:p>
    <w:p>
      <w:pPr>
        <w:numPr>
          <w:ilvl w:val="0"/>
          <w:numId w:val="0"/>
        </w:numPr>
        <w:pStyle w:val="bulletitem"/>
      </w:pPr>
      <w:r>
        <w:rPr>
          <w:b/>
        </w:rPr>
        <w:t xml:space="preserve">Circuit breaker:</w:t>
      </w:r>
      <w:r>
        <w:t xml:space="preserve"> Si se detectan 5 fallos consecutivos, el circuito se abre (OPEN) y suspende el procesamiento durante 60 segundos.</w:t>
      </w:r>
    </w:p>
    <w:p>
      <w:pPr>
        <w:pStyle w:val="p1a"/>
      </w:pPr>
      <w:r>
        <w:t xml:space="preserve">En pruebas sobre hardware Apple Silicon M4 (16 GB Metal), el sistema escaló de forma estable hasta 9 workers concurrentes para modelos de 8B parámetros.</w:t>
      </w:r>
    </w:p>
    <w:p>
      <w:pPr>
        <w:pStyle w:val="heading2"/>
        <w:numPr>
          <w:ilvl w:val="0"/>
          <w:numId w:val="0"/>
        </w:numPr>
      </w:pPr>
      <w:r>
        <w:t>3.3 Capa Factory/Facade de Proveedores LLM</w:t>
      </w:r>
    </w:p>
    <w:p>
      <w:pPr>
        <w:pStyle w:val="p1a"/>
      </w:pPr>
      <w:r>
        <w:t>La capa de proveedores implementa el patrón Factory + Facade, abstrayendo la heterogeneidad de las APIs de los diferentes modelos detrás de una interfaz común (LLMProvider), documentada en el Anexo A.</w:t>
      </w:r>
    </w:p>
    <w:p>
      <w:pPr>
        <w:pStyle w:val="p1a"/>
      </w:pPr>
      <w:r>
        <w:t xml:space="preserve">Los proveedores implementados son:</w:t>
      </w:r>
      <w:r>
        <w:t xml:space="preserve"> </w:t>
      </w:r>
      <w:r>
        <w:rPr>
          <w:rFonts w:ascii="Consolas" w:hAnsi="Consolas"/>
        </w:rPr>
        <w:t xml:space="preserve">OllamaProvider</w:t>
      </w:r>
      <w:r>
        <w:t xml:space="preserve"> </w:t>
      </w:r>
      <w:r>
        <w:t xml:space="preserve">(modelos locales vía API REST),</w:t>
      </w:r>
      <w:r>
        <w:t xml:space="preserve"> </w:t>
      </w:r>
      <w:r>
        <w:rPr>
          <w:rFonts w:ascii="Consolas" w:hAnsi="Consolas"/>
        </w:rPr>
        <w:t xml:space="preserve">OpenAIProvider</w:t>
      </w:r>
      <w:r>
        <w:t xml:space="preserve">,</w:t>
      </w:r>
      <w:r>
        <w:t xml:space="preserve"> </w:t>
      </w:r>
      <w:r>
        <w:rPr>
          <w:rFonts w:ascii="Consolas" w:hAnsi="Consolas"/>
        </w:rPr>
        <w:t xml:space="preserve">AnthropicProvider</w:t>
      </w:r>
      <w:r>
        <w:t xml:space="preserve"> </w:t>
      </w:r>
      <w:r>
        <w:t xml:space="preserve">y</w:t>
      </w:r>
      <w:r>
        <w:t xml:space="preserve"> </w:t>
      </w:r>
      <w:r>
        <w:rPr>
          <w:rFonts w:ascii="Consolas" w:hAnsi="Consolas"/>
        </w:rPr>
        <w:t xml:space="preserve">VertexAIProvider</w:t>
      </w:r>
      <w:r>
        <w:t xml:space="preserve">. La detección automática del proveedor se realiza por prefijo del nombre del modelo (</w:t>
      </w:r>
      <w:r>
        <w:rPr>
          <w:rFonts w:ascii="Consolas" w:hAnsi="Consolas"/>
        </w:rPr>
        <w:t xml:space="preserve">gpt-*</w:t>
      </w:r>
      <w:r>
        <w:t xml:space="preserve"> </w:t>
      </w:r>
      <w:r>
        <w:t xml:space="preserve">→ OpenAI,</w:t>
      </w:r>
      <w:r>
        <w:t xml:space="preserve"> </w:t>
      </w:r>
      <w:r>
        <w:rPr>
          <w:rFonts w:ascii="Consolas" w:hAnsi="Consolas"/>
        </w:rPr>
        <w:t xml:space="preserve">claude-*</w:t>
      </w:r>
      <w:r>
        <w:t xml:space="preserve"> </w:t>
      </w:r>
      <w:r>
        <w:t xml:space="preserve">→ Anthropic,</w:t>
      </w:r>
      <w:r>
        <w:t xml:space="preserve"> </w:t>
      </w:r>
      <w:r>
        <w:rPr>
          <w:rFonts w:ascii="Consolas" w:hAnsi="Consolas"/>
        </w:rPr>
        <w:t xml:space="preserve">gemini-*</w:t>
      </w:r>
      <w:r>
        <w:t xml:space="preserve"> </w:t>
      </w:r>
      <w:r>
        <w:t xml:space="preserve">→ Vertex AI, resto → Ollama).</w:t>
      </w:r>
    </w:p>
    <w:p>
      <w:pPr>
        <w:pStyle w:val="heading2"/>
        <w:numPr>
          <w:ilvl w:val="0"/>
          <w:numId w:val="0"/>
        </w:numPr>
      </w:pPr>
      <w:r>
        <w:t>3.4 Módulo de Evaluación Estadística</w:t>
      </w:r>
    </w:p>
    <w:p>
      <w:pPr>
        <w:pStyle w:val="p1a"/>
      </w:pPr>
      <w:r>
        <w:t>El evaluador (evaluator.py) implementa:</w:t>
      </w:r>
    </w:p>
    <w:p>
      <w:pPr>
        <w:numPr>
          <w:ilvl w:val="0"/>
          <w:numId w:val="0"/>
        </w:numPr>
        <w:pStyle w:val="bulletitem"/>
      </w:pPr>
      <w:r>
        <w:rPr>
          <w:b/>
        </w:rPr>
        <w:t xml:space="preserve">Emparejamiento difuso (Fuzzy Matching):</w:t>
      </w:r>
      <w:r>
        <w:t xml:space="preserve"> Las entidades extraídas se comparan con el ground truth usando similitud de tokens, aceptando como correctas las coincidencias parciales por encima de un umbral configurable (default: 0.85).</w:t>
      </w:r>
    </w:p>
    <w:p>
      <w:pPr>
        <w:numPr>
          <w:ilvl w:val="0"/>
          <w:numId w:val="0"/>
        </w:numPr>
        <w:pStyle w:val="bulletitem"/>
      </w:pPr>
      <w:r>
        <w:rPr>
          <w:b/>
        </w:rPr>
        <w:t xml:space="preserve">Métricas por registro:</w:t>
      </w:r>
      <w:r>
        <w:t xml:space="preserve"> Precisión, Recall, F1-Score calculados por artículo y promediados.</w:t>
      </w:r>
    </w:p>
    <w:p>
      <w:pPr>
        <w:numPr>
          <w:ilvl w:val="0"/>
          <w:numId w:val="0"/>
        </w:numPr>
        <w:pStyle w:val="bulletitem"/>
      </w:pPr>
      <w:r>
        <w:rPr>
          <w:b/>
        </w:rPr>
        <w:t xml:space="preserve">Tasa de alucinaciones:</w:t>
      </w:r>
      <w:r>
        <w:t xml:space="preserve"> Proporción de entidades extraídas que no tienen correspondencia alguna en el ground truth (hallucinated / total_extracted).</w:t>
      </w:r>
    </w:p>
    <w:p>
      <w:pPr>
        <w:numPr>
          <w:ilvl w:val="0"/>
          <w:numId w:val="0"/>
        </w:numPr>
        <w:pStyle w:val="bulletitem"/>
      </w:pPr>
      <w:r>
        <w:rPr>
          <w:b/>
        </w:rPr>
        <w:t xml:space="preserve">Análisis estadístico:</w:t>
      </w:r>
      <w:r>
        <w:t xml:space="preserve"> ANOVA de una vía (scipy.stats.f_oneway) y pruebas Tukey HSD post-hoc (statsmodels) con α=0.05 y cálculo de intervalos de confianza del 95%.</w:t>
      </w:r>
    </w:p>
    <w:p>
      <w:pPr>
        <w:numPr>
          <w:ilvl w:val="0"/>
          <w:numId w:val="0"/>
        </w:numPr>
        <w:pStyle w:val="bulletitem"/>
      </w:pPr>
      <w:r>
        <w:rPr>
          <w:b/>
        </w:rPr>
        <w:t xml:space="preserve">Análisis de sensibilidad:</w:t>
      </w:r>
      <w:r>
        <w:t xml:space="preserve"> Filtrado de outliers por longitud de artículo (&gt; media + σ) y recálculo de métricas.</w:t>
      </w:r>
    </w:p>
    <w:p>
      <w:pPr>
        <w:pStyle w:val="heading2"/>
        <w:numPr>
          <w:ilvl w:val="0"/>
          <w:numId w:val="0"/>
        </w:numPr>
      </w:pPr>
      <w:r>
        <w:t>3.5 Dashboard Streamlit</w:t>
      </w:r>
    </w:p>
    <w:p>
      <w:pPr>
        <w:pStyle w:val="p1a"/>
      </w:pPr>
      <w:r>
        <w:t xml:space="preserve">La interfaz de visualización implementada en</w:t>
      </w:r>
      <w:r>
        <w:t xml:space="preserve"> </w:t>
      </w:r>
      <w:r>
        <w:rPr>
          <w:rFonts w:ascii="Consolas" w:hAnsi="Consolas"/>
        </w:rPr>
        <w:t xml:space="preserve">dashboard.py</w:t>
      </w:r>
      <w:r>
        <w:t xml:space="preserve"> </w:t>
      </w:r>
      <w:r>
        <w:t xml:space="preserve">(Streamlit) presenta 7 pestañas: (1) Comparación de modelos, (2) Análisis de alucinaciones, (3) Errores por entidad (taxonomía), (4) Significancia estadística (ANOVA), (5) Eficiencia de hardware (Índice Tok/s/B), (6) Hipótesis de modelos futuros, y (7) Simulación de producción.</w:t>
      </w:r>
    </w:p>
    <w:p>
      <w:pPr>
        <w:pStyle w:val="heading2"/>
        <w:numPr>
          <w:ilvl w:val="0"/>
          <w:numId w:val="0"/>
        </w:numPr>
      </w:pPr>
      <w:r>
        <w:t>3.6 Gestión de VRAM en Apple Silicon</w:t>
      </w:r>
    </w:p>
    <w:p>
      <w:pPr>
        <w:pStyle w:val="p1a"/>
      </w:pPr>
      <w:r>
        <w:t xml:space="preserve">Para garantizar la ejecución serial de modelos de gran escala (≥8B) sin desbordamiento de VRAM, se implementó la liberación explícita de pesos de GPU al finalizar cada modelo mediante una llamada a la API de generación de Ollama con</w:t>
      </w:r>
      <w:r>
        <w:t xml:space="preserve"> </w:t>
      </w:r>
      <w:r>
        <w:rPr>
          <w:rFonts w:ascii="Consolas" w:hAnsi="Consolas"/>
        </w:rPr>
        <w:t xml:space="preserve">keep_alive=0</w:t>
      </w:r>
      <w:r>
        <w:t xml:space="preserve">. Esto permite ejecutar secuencialmente modelos de hasta 31B parámetros (≈24.7 GB de VRAM) en hardware con 16 GB de memoria unificada.</w:t>
      </w:r>
    </w:p>
    <w:p>
      <w:pPr>
        <w:pStyle w:val="heading1"/>
        <w:pageBreakBefore w:val="1"/>
        <w:numPr>
          <w:ilvl w:val="0"/>
          <w:numId w:val="0"/>
        </w:numPr>
      </w:pPr>
      <w:r>
        <w:t>4 DISEÑO EXPERIMENTAL</w:t>
      </w:r>
    </w:p>
    <w:p>
      <w:pPr>
        <w:pStyle w:val="heading2"/>
        <w:numPr>
          <w:ilvl w:val="0"/>
          <w:numId w:val="0"/>
        </w:numPr>
      </w:pPr>
      <w:r>
        <w:t>4.1 Corpus de Evaluación</w:t>
      </w:r>
    </w:p>
    <w:p>
      <w:pPr>
        <w:pStyle w:val="p1a"/>
      </w:pPr>
      <w:r>
        <w:t xml:space="preserve">Se utilizaron dos corpus complementarios:</w:t>
      </w:r>
    </w:p>
    <w:p>
      <w:pPr>
        <w:pStyle w:val="p1a"/>
      </w:pPr>
      <w:r>
        <w:t>Corpus 1 — Kleptotrace/CoNLL-2002 (N=15, Gold Standard):</w:t>
      </w:r>
    </w:p>
    <w:p>
      <w:pPr>
        <w:pStyle w:val="p1a"/>
      </w:pPr>
      <w:r>
        <w:t xml:space="preserve">15 artículos periodísticos reales de la plataforma Kleptotrace/CoNLL-2002 sobre lavado de activos, sanciones internacionales y corrupción. Anotados manualmente por expertos en compliance con entidades Personas (PER) y Organizaciones (ORG) como ground truth. Longitud promedio: ~800 caracteres por artículo.</w:t>
      </w:r>
    </w:p>
    <w:p>
      <w:pPr>
        <w:pStyle w:val="p1a"/>
      </w:pPr>
      <w:r>
        <w:t>Corpus 2 — Kleptotrace/CoNLL-2002 Augmented (N=30, Corpus de Validación Estadística):</w:t>
      </w:r>
    </w:p>
    <w:p>
      <w:pPr>
        <w:pStyle w:val="p1a"/>
      </w:pPr>
      <w:r>
        <w:t xml:space="preserve">30 artículos breves generados mediante un método de aumento sintético guiado por LLM para alcanzar el umbral estadístico mínimo requerido por pruebas paramétricas. Cada artículo contiene entre 1 y 2 párrafos (~200-400 caracteres) con ground truth anotado para Personas (PER) y Organizaciones (ORG).</w:t>
      </w:r>
    </w:p>
    <w:p>
      <w:pPr>
        <w:pStyle w:val="heading3"/>
        <w:numPr>
          <w:ilvl w:val="0"/>
          <w:numId w:val="0"/>
        </w:numPr>
      </w:pPr>
      <w:r>
        <w:t>4.1.1 Método de Generación Sintética del Corpus N=30</w:t>
      </w:r>
    </w:p>
    <w:p>
      <w:pPr>
        <w:pStyle w:val="p1a"/>
      </w:pPr>
      <w:r>
        <w:t>Dado que el corpus real Kleptotrace/CoNLL-2002 cuenta con solo 15 artículos (N=15), insuficiente para pruebas estadísticas paramétricas con potencia adecuada, se aplicó un método de aumento de datos guiado por LLM (gemma4:31b, entidades reales de OpenSanctions, verificación manual del ground truth y control de calidad por diversidad) hasta alcanzar N=30 artículos. El protocolo detallado paso a paso, incluyendo el prompt de generación utilizado, se documenta en el Anexo F.</w:t>
      </w:r>
    </w:p>
    <w:p>
      <w:pPr>
        <w:pStyle w:val="heading3"/>
        <w:numPr>
          <w:ilvl w:val="0"/>
          <w:numId w:val="0"/>
        </w:numPr>
      </w:pPr>
      <w:r>
        <w:t>4.1.2 Validez Estadística del Corpus Sintético</w:t>
      </w:r>
    </w:p>
    <w:p>
      <w:pPr>
        <w:pStyle w:val="p1a"/>
      </w:pPr>
      <w:r>
        <w:t>El uso de datos aumentados por LLM para pruebas de hipótesis es válido en este estudio porque: (a) el Teorema del Límite Central garantiza, para N ≥ 30 observaciones independientes, una distribución muestral aproximadamente normal de la media; (b) cada artículo generado constituye una observación independiente, sin que el desempeño en uno afecte el desempeño en otro; y (c) la validez de constructo del corpus sintético descansa en el uso de entidades reales (OpenSanctions), temática fiel al dominio AML/KYC observado en N=15, y estilo periodístico consistente.</w:t>
      </w:r>
    </w:p>
    <w:p>
      <w:pPr>
        <w:pStyle w:val="p1a"/>
      </w:pPr>
      <w:r>
        <w:t xml:space="preserve">Como verificación adicional, los F1-Scores observados en el corpus N=30 (gemma4:31b: 79.03%) son consistentes con la tendencia observada en el corpus real N=15, lo que respalda la validez del corpus sintético como proxy estadístico del dominio real.</w:t>
      </w:r>
    </w:p>
    <w:p>
      <w:pPr>
        <w:pStyle w:val="heading3"/>
        <w:numPr>
          <w:ilvl w:val="0"/>
          <w:numId w:val="0"/>
        </w:numPr>
      </w:pPr>
      <w:r>
        <w:t>4.1.3 Extensión a Corpus Real N=120 (Dataset Conmutable)</w:t>
      </w:r>
    </w:p>
    <w:p>
      <w:pPr>
        <w:pStyle w:val="p1a"/>
      </w:pPr>
      <w:r>
        <w:t xml:space="preserve">Con posterioridad a la validación sobre el corpus sintético N=30 (§4.1.1–4.1.2), y como parte del cierre del proyecto (1 de septiembre de 2026, commit </w:t>
      </w:r>
      <w:r>
        <w:rPr>
          <w:rFonts w:ascii="Consolas" w:hAnsi="Consolas"/>
        </w:rPr>
        <w:t>5ff38f5</w:t>
      </w:r>
      <w:r>
        <w:t>, "integrate balanced real dataset N=120, update final thesis delivery"), se incorporó una tercera alternativa de corpus para reforzar la validez externa de los resultados: en lugar de continuar aumentando el corpus mediante generación sintética guiada por LLM, se amplió la base real combinando los 15 artículos Gold Standard de Kleptotrace/CoNLL-2002 con 105 artículos reales adicionales muestreados del corpus público CoNLL-2002 en español (</w:t>
      </w:r>
      <w:r>
        <w:rPr>
          <w:rFonts w:ascii="Consolas" w:hAnsi="Consolas"/>
        </w:rPr>
        <w:t>data/conll2002_es.json</w:t>
      </w:r>
      <w:r>
        <w:t xml:space="preserve">, 833 artículos disponibles), generando el archivo </w:t>
      </w:r>
      <w:r>
        <w:rPr>
          <w:rFonts w:ascii="Consolas" w:hAnsi="Consolas"/>
        </w:rPr>
        <w:t>data/benchmark_balanced_120.json</w:t>
      </w:r>
      <w:r>
        <w:t xml:space="preserve"> (N=120, script </w:t>
      </w:r>
      <w:r>
        <w:rPr>
          <w:rFonts w:ascii="Consolas" w:hAnsi="Consolas"/>
        </w:rPr>
        <w:t>create_balanced_120.py</w:t>
      </w:r>
      <w:r>
        <w:t>). A diferencia del corpus N=30, ningún texto de este corpus fue generado por un LLM: los 120 artículos son noticias reales con anotación de entidades real.</w:t>
      </w:r>
    </w:p>
    <w:p>
      <w:pPr>
        <w:pStyle w:val="p1a"/>
      </w:pPr>
      <w:r>
        <w:t xml:space="preserve">El corpus sintético N=30 no fue descartado ni reemplazado: el sistema soporta ambos como alternativas conmutables mediante el flag </w:t>
      </w:r>
      <w:r>
        <w:rPr>
          <w:rFonts w:ascii="Consolas" w:hAnsi="Consolas"/>
        </w:rPr>
        <w:t>--data-file</w:t>
      </w:r>
      <w:r>
        <w:t xml:space="preserve"> de </w:t>
      </w:r>
      <w:r>
        <w:rPr>
          <w:rFonts w:ascii="Consolas" w:hAnsi="Consolas"/>
        </w:rPr>
        <w:t>src/main.py</w:t>
      </w:r>
      <w:r>
        <w:t xml:space="preserve"> (por ejemplo, --data-file data/kleptotrace_augmented_30.json o --data-file data/benchmark_balanced_120.json), de modo que cualquier corrida del benchmark puede ejecutarse indistintamente sobre N=30 (sintético) o N=120 (real), conservando ambos conjuntos de datos y resultados en el repositorio. Esta sección documenta los resultados obtenidos sobre el corpus real N=120 como complemento — no reemplazo — de la validación estadística de la §5.3.</w:t>
      </w:r>
    </w:p>
    <w:p>
      <w:pPr>
        <w:pStyle w:val="heading2"/>
        <w:numPr>
          <w:ilvl w:val="0"/>
          <w:numId w:val="0"/>
        </w:numPr>
      </w:pPr>
      <w:r>
        <w:t>4.2 Modelos Evaluados</w:t>
      </w:r>
    </w:p>
    <w:p>
      <w:pPr>
        <w:pStyle w:val="p1a"/>
      </w:pPr>
      <w:r>
        <w:t>Se evaluaron 15 modelos LLM generativos distribuidos en tres categorías:</w:t>
      </w:r>
    </w:p>
    <w:p>
      <w:pPr>
        <w:numPr>
          <w:ilvl w:val="0"/>
          <w:numId w:val="0"/>
        </w:numPr>
        <w:pStyle w:val="bulletitem"/>
      </w:pPr>
      <w:r>
        <w:rPr>
          <w:b/>
        </w:rPr>
        <w:t xml:space="preserve">Modelos locales grandes (≥8B):</w:t>
      </w:r>
      <w:r>
        <w:t xml:space="preserve"> gemma4:31b, gemma4:12b, gemma4:latest (9B), llama3.1:8b, qwen2.5:14b, mistral-nemo:latest (12B).</w:t>
      </w:r>
    </w:p>
    <w:p>
      <w:pPr>
        <w:numPr>
          <w:ilvl w:val="0"/>
          <w:numId w:val="0"/>
        </w:numPr>
        <w:pStyle w:val="bulletitem"/>
      </w:pPr>
      <w:r>
        <w:rPr>
          <w:b/>
        </w:rPr>
        <w:t xml:space="preserve">Modelos locales compactos (&lt;8B):</w:t>
      </w:r>
      <w:r>
        <w:t xml:space="preserve"> llama3.2:latest (3B), nuextract:latest (3.8B), nemotron-mini:4b, deepseek-r1:1.5b.</w:t>
      </w:r>
    </w:p>
    <w:p>
      <w:pPr>
        <w:numPr>
          <w:ilvl w:val="0"/>
          <w:numId w:val="0"/>
        </w:numPr>
        <w:pStyle w:val="bulletitem"/>
      </w:pPr>
      <w:r>
        <w:rPr>
          <w:b/>
        </w:rPr>
        <w:t xml:space="preserve">Modelos cloud/híbridos:</w:t>
      </w:r>
      <w:r>
        <w:t xml:space="preserve"> gemma4:31b-cloud, gemini-3.1-flash-lite.</w:t>
      </w:r>
    </w:p>
    <w:p>
      <w:pPr>
        <w:pStyle w:val="heading2"/>
        <w:numPr>
          <w:ilvl w:val="0"/>
          <w:numId w:val="0"/>
        </w:numPr>
      </w:pPr>
      <w:r>
        <w:t>4.3 Configuraciones de Prompt (Estudio de Ablación)</w:t>
      </w:r>
    </w:p>
    <w:p>
      <w:pPr>
        <w:pStyle w:val="p1a"/>
      </w:pPr>
      <w:r>
        <w:t xml:space="preserve">Se evaluaron cuatro configuraciones de prompt sobre el modelo gemma4:latest (9B):</w:t>
      </w:r>
      <w:r>
        <w:t xml:space="preserve"> </w:t>
      </w:r>
      <w:r>
        <w:t xml:space="preserve">1.</w:t>
      </w:r>
      <w:r>
        <w:t xml:space="preserve"> </w:t>
      </w:r>
      <w:r>
        <w:rPr>
          <w:b/>
          <w:bCs/>
        </w:rPr>
        <w:t xml:space="preserve">Zero-shot inglés (ZS-EN):</w:t>
      </w:r>
      <w:r>
        <w:t xml:space="preserve"> </w:t>
      </w:r>
      <w:r>
        <w:t xml:space="preserve">Prompt de sistema en inglés sin ejemplos.</w:t>
      </w:r>
      <w:r>
        <w:t xml:space="preserve"> </w:t>
      </w:r>
      <w:r>
        <w:t xml:space="preserve">2.</w:t>
      </w:r>
      <w:r>
        <w:t xml:space="preserve"> </w:t>
      </w:r>
      <w:r>
        <w:rPr>
          <w:b/>
          <w:bCs/>
        </w:rPr>
        <w:t xml:space="preserve">Zero-shot español (ZS-ES):</w:t>
      </w:r>
      <w:r>
        <w:t xml:space="preserve"> </w:t>
      </w:r>
      <w:r>
        <w:t xml:space="preserve">Prompt de sistema traducido al español, sin ejemplos.</w:t>
      </w:r>
      <w:r>
        <w:t xml:space="preserve"> </w:t>
      </w:r>
      <w:r>
        <w:t xml:space="preserve">3.</w:t>
      </w:r>
      <w:r>
        <w:t xml:space="preserve"> </w:t>
      </w:r>
      <w:r>
        <w:rPr>
          <w:b/>
          <w:bCs/>
        </w:rPr>
        <w:t xml:space="preserve">Few-shot inglés (FS-EN):</w:t>
      </w:r>
      <w:r>
        <w:t xml:space="preserve"> </w:t>
      </w:r>
      <w:r>
        <w:t xml:space="preserve">Prompt en inglés con 3 ejemplos del dominio compliance.</w:t>
      </w:r>
      <w:r>
        <w:t xml:space="preserve"> </w:t>
      </w:r>
      <w:r>
        <w:t xml:space="preserve">4.</w:t>
      </w:r>
      <w:r>
        <w:t xml:space="preserve"> </w:t>
      </w:r>
      <w:r>
        <w:rPr>
          <w:b/>
          <w:bCs/>
        </w:rPr>
        <w:t xml:space="preserve">Few-shot español (FS-ES):</w:t>
      </w:r>
      <w:r>
        <w:t xml:space="preserve"> </w:t>
      </w:r>
      <w:r>
        <w:t xml:space="preserve">Prompt en español con 3 ejemplos del dominio compliance.</w:t>
      </w:r>
    </w:p>
    <w:p>
      <w:pPr>
        <w:pStyle w:val="heading3"/>
        <w:numPr>
          <w:ilvl w:val="0"/>
          <w:numId w:val="0"/>
        </w:numPr>
      </w:pPr>
      <w:r>
        <w:t>4.3.1 ¿Qué es el Prompting Few-Shot?</w:t>
      </w:r>
    </w:p>
    <w:p>
      <w:pPr>
        <w:pStyle w:val="p1a"/>
      </w:pPr>
      <w:r>
        <w:t>El aprendizaje en contexto (in-context learning) permite a los LLMs adaptarse a una tarea nueva sin actualizar sus pesos, únicamente mediante instrucciones y ejemplos incluidos en el prompt (Brown et al., 2020). El prompting few-shot incluye un número reducido de ejemplos demostrativos antes de la tarea real; el prompting zero-shot no incluye ejemplos y el modelo debe inferir el formato únicamente desde la instrucción de sistema.</w:t>
      </w:r>
    </w:p>
    <w:p>
      <w:pPr>
        <w:pStyle w:val="heading3"/>
        <w:numPr>
          <w:ilvl w:val="0"/>
          <w:numId w:val="0"/>
        </w:numPr>
      </w:pPr>
      <w:r>
        <w:t>4.3.2 Mecanismo Cognitivo del Few-Shot Prompting en LLMs</w:t>
      </w:r>
    </w:p>
    <w:p>
      <w:pPr>
        <w:pStyle w:val="p1a"/>
      </w:pPr>
      <w:r>
        <w:t>Los ejemplos few-shot cumplen tres funciones cognitivas en el LLM: (a) especificación del formato de salida JSON esperado; (b) calibración del umbral semántico de qué mención califica como entidad (p. ej., solo personas nombradas individualmente, no cargos genéricos); y (c) adaptación al dominio, funcionando como un micro-corpus de fine-tuning en memoria de trabajo que favorece terminología regulatoria AML/KYC sobre el lenguaje general.</w:t>
      </w:r>
    </w:p>
    <w:p>
      <w:pPr>
        <w:pStyle w:val="heading3"/>
        <w:numPr>
          <w:ilvl w:val="0"/>
          <w:numId w:val="0"/>
        </w:numPr>
      </w:pPr>
      <w:r>
        <w:t>4.3.3 Prompts Utilizados en este Estudio</w:t>
      </w:r>
    </w:p>
    <w:p>
      <w:pPr>
        <w:pStyle w:val="p1a"/>
      </w:pPr>
      <w:r>
        <w:t>En este trabajo se diseñaron prompts específicos para el dominio de cumplimiento normativo AML/KYC. Los tres ejemplos few-shot utilizados en la configuración FS-ES (persona sancionada, organización sancionada, caso PEP complejo) se reproducen íntegramente en el Anexo B.</w:t>
      </w:r>
    </w:p>
    <w:p>
      <w:pPr>
        <w:pStyle w:val="p1a"/>
      </w:pPr>
      <w:r>
        <w:rPr>
          <w:b/>
        </w:rPr>
        <w:t>Los tres ejemplos cubren deliberadamente:</w:t>
      </w:r>
      <w:r>
        <w:rPr>
          <w:b w:val="0"/>
        </w:rPr>
        <w:t xml:space="preserve"> extracción de un solo sujeto, caso sin personas con múltiples organizaciones, y caso con múltiples personas en relación familiar y una organización ambigua (ver Anexo B para el texto completo de cada ejemplo).</w:t>
      </w:r>
    </w:p>
    <w:p>
      <w:pPr>
        <w:pStyle w:val="heading3"/>
        <w:numPr>
          <w:ilvl w:val="0"/>
          <w:numId w:val="0"/>
        </w:numPr>
      </w:pPr>
      <w:r>
        <w:t>4.3.4 Impacto Empírico del Few-Shot en este Estudio</w:t>
      </w:r>
    </w:p>
    <w:p>
      <w:pPr>
        <w:pStyle w:val="p1a"/>
      </w:pPr>
      <w:r>
        <w:t xml:space="preserve">Los resultados del estudio de ablación muestran que la localización al español (+7.4% F1) tuvo mayor impacto que la adición de ejemplos few-shot (+4.97% F1 en inglés). La configuración ZS-ES produjo prácticamente el mismo F1 que FS-ES (69.81% vs. 69.76%), aunque con una reducción de 1.85 puntos de Recall a cambio de eliminar el riesgo de alucinaciones inducidas por ejemplos (FS-ES: hallucination rate 1.80% vs. ZS-ES: 0.19%). Este hallazgo sugiere que, para el dominio estudiado, la localización lingüística domina sobre la demostración de ejemplos, posiblemente porque el modelo gemma4 fue entrenado con suficientes datos en español como para comprender el dominio sin ejemplos explícitos.</w:t>
      </w:r>
    </w:p>
    <w:p>
      <w:pPr>
        <w:pStyle w:val="heading2"/>
        <w:numPr>
          <w:ilvl w:val="0"/>
          <w:numId w:val="0"/>
        </w:numPr>
      </w:pPr>
      <w:r>
        <w:t>4.4 Métricas de Evaluación</w:t>
      </w:r>
    </w:p>
    <w:p>
      <w:pPr>
        <w:pStyle w:val="tablecaption"/>
      </w:pPr>
      <w:r>
        <w:t xml:space="preserve">Tabla 4. Métricas de Evaluación Utilizadas</w:t>
      </w:r>
    </w:p>
    <w:tbl>
      <w:tblPr>
        <w:tblStyle w:val="Table"/>
        <w:tblW w:type="dxa" w:w="8838"/>
        <w:tblLayout w:type="fixed"/>
        <w:tblLook w:firstRow="1" w:lastRow="0" w:firstColumn="0" w:lastColumn="0" w:noHBand="0" w:noVBand="0" w:val="0020"/>
      </w:tblPr>
      <w:tblGrid>
        <w:gridCol w:w="3059"/>
        <w:gridCol w:w="5779"/>
      </w:tblGrid>
      <w:tr>
        <w:trPr>
          <w:tblHeader w:val="on"/>
        </w:trPr>
        <w:tc>
          <w:tcPr>
            <w:tcW w:type="dxa" w:w="3059"/>
          </w:tcPr>
          <w:p>
            <w:pPr>
              <w:pStyle w:val="Compact"/>
              <w:jc w:val="left"/>
            </w:pPr>
            <w:r>
              <w:t xml:space="preserve">Métrica</w:t>
            </w:r>
          </w:p>
        </w:tc>
        <w:tc>
          <w:tcPr>
            <w:tcW w:type="dxa" w:w="5779"/>
          </w:tcPr>
          <w:p>
            <w:pPr>
              <w:pStyle w:val="Compact"/>
              <w:jc w:val="left"/>
            </w:pPr>
            <w:r>
              <w:t xml:space="preserve">Definición</w:t>
            </w:r>
          </w:p>
        </w:tc>
      </w:tr>
      <w:tr>
        <w:tc>
          <w:tcPr>
            <w:tcW w:type="dxa" w:w="3059"/>
          </w:tcPr>
          <w:p>
            <w:pPr>
              <w:pStyle w:val="Compact"/>
              <w:jc w:val="left"/>
            </w:pPr>
            <w:r>
              <w:rPr>
                <w:b/>
                <w:bCs/>
              </w:rPr>
              <w:t xml:space="preserve">F1-Score</w:t>
            </w:r>
          </w:p>
        </w:tc>
        <w:tc>
          <w:tcPr>
            <w:tcW w:type="dxa" w:w="5779"/>
          </w:tcPr>
          <w:p>
            <w:pPr>
              <w:pStyle w:val="Compact"/>
              <w:jc w:val="left"/>
            </w:pPr>
            <w:r>
              <w:t xml:space="preserve">Media armónica entre Precisión y Recall (métrica principal)</w:t>
            </w:r>
          </w:p>
        </w:tc>
      </w:tr>
      <w:tr>
        <w:tc>
          <w:tcPr>
            <w:tcW w:type="dxa" w:w="3059"/>
          </w:tcPr>
          <w:p>
            <w:pPr>
              <w:pStyle w:val="Compact"/>
              <w:jc w:val="left"/>
            </w:pPr>
            <w:r>
              <w:rPr>
                <w:b/>
                <w:bCs/>
              </w:rPr>
              <w:t xml:space="preserve">Precisión</w:t>
            </w:r>
          </w:p>
        </w:tc>
        <w:tc>
          <w:tcPr>
            <w:tcW w:type="dxa" w:w="5779"/>
          </w:tcPr>
          <w:p>
            <w:pPr>
              <w:pStyle w:val="Compact"/>
              <w:jc w:val="left"/>
            </w:pPr>
            <w:r>
              <w:t xml:space="preserve">TP / (TP + FP) — Exactitud de las entidades extraídas</w:t>
            </w:r>
          </w:p>
        </w:tc>
      </w:tr>
      <w:tr>
        <w:tc>
          <w:tcPr>
            <w:tcW w:type="dxa" w:w="3059"/>
          </w:tcPr>
          <w:p>
            <w:pPr>
              <w:pStyle w:val="Compact"/>
              <w:jc w:val="left"/>
            </w:pPr>
            <w:r>
              <w:rPr>
                <w:b/>
                <w:bCs/>
              </w:rPr>
              <w:t xml:space="preserve">Recall</w:t>
            </w:r>
          </w:p>
        </w:tc>
        <w:tc>
          <w:tcPr>
            <w:tcW w:type="dxa" w:w="5779"/>
          </w:tcPr>
          <w:p>
            <w:pPr>
              <w:pStyle w:val="Compact"/>
              <w:jc w:val="left"/>
            </w:pPr>
            <w:r>
              <w:t xml:space="preserve">TP / (TP + FN) — Cobertura de las entidades reales</w:t>
            </w:r>
          </w:p>
        </w:tc>
      </w:tr>
      <w:tr>
        <w:tc>
          <w:tcPr>
            <w:tcW w:type="dxa" w:w="3059"/>
          </w:tcPr>
          <w:p>
            <w:pPr>
              <w:pStyle w:val="Compact"/>
              <w:jc w:val="left"/>
            </w:pPr>
            <w:r>
              <w:rPr>
                <w:b/>
                <w:bCs/>
              </w:rPr>
              <w:t xml:space="preserve">Hallucination Rate</w:t>
            </w:r>
          </w:p>
        </w:tc>
        <w:tc>
          <w:tcPr>
            <w:tcW w:type="dxa" w:w="5779"/>
          </w:tcPr>
          <w:p>
            <w:pPr>
              <w:pStyle w:val="Compact"/>
              <w:jc w:val="left"/>
            </w:pPr>
            <w:r>
              <w:t xml:space="preserve">Entidades extraídas sin correspondencia en GT / Total extraídas</w:t>
            </w:r>
          </w:p>
        </w:tc>
      </w:tr>
      <w:tr>
        <w:tc>
          <w:tcPr>
            <w:tcW w:type="dxa" w:w="3059"/>
          </w:tcPr>
          <w:p>
            <w:pPr>
              <w:pStyle w:val="Compact"/>
              <w:jc w:val="left"/>
            </w:pPr>
            <w:r>
              <w:rPr>
                <w:b/>
                <w:bCs/>
              </w:rPr>
              <w:t xml:space="preserve">Latencia (s)</w:t>
            </w:r>
          </w:p>
        </w:tc>
        <w:tc>
          <w:tcPr>
            <w:tcW w:type="dxa" w:w="5779"/>
          </w:tcPr>
          <w:p>
            <w:pPr>
              <w:pStyle w:val="Compact"/>
              <w:jc w:val="left"/>
            </w:pPr>
            <w:r>
              <w:t xml:space="preserve">Tiempo promedio por artículo en segundos</w:t>
            </w:r>
          </w:p>
        </w:tc>
      </w:tr>
      <w:tr>
        <w:tc>
          <w:tcPr>
            <w:tcW w:type="dxa" w:w="3059"/>
          </w:tcPr>
          <w:p>
            <w:pPr>
              <w:pStyle w:val="Compact"/>
              <w:jc w:val="left"/>
            </w:pPr>
            <w:r>
              <w:rPr>
                <w:b/>
                <w:bCs/>
              </w:rPr>
              <w:t xml:space="preserve">Índice Tok/s/B</w:t>
            </w:r>
          </w:p>
        </w:tc>
        <w:tc>
          <w:tcPr>
            <w:tcW w:type="dxa" w:w="5779"/>
          </w:tcPr>
          <w:p>
            <w:pPr>
              <w:pStyle w:val="Compact"/>
              <w:jc w:val="left"/>
            </w:pPr>
            <w:r>
              <w:t xml:space="preserve">Tokens por segundo normalizados por billones de parámetros</w:t>
            </w:r>
          </w:p>
        </w:tc>
      </w:tr>
    </w:tbl>
    <w:p>
      <w:pPr>
        <w:pStyle w:val="heading2"/>
        <w:numPr>
          <w:ilvl w:val="0"/>
          <w:numId w:val="0"/>
        </w:numPr>
      </w:pPr>
      <w:r>
        <w:t>4.5 Infraestructura de Pruebas</w:t>
      </w:r>
    </w:p>
    <w:p>
      <w:pPr>
        <w:pStyle w:val="p1a"/>
        <w:numPr>
          <w:ilvl w:val="0"/>
          <w:numId w:val="1003"/>
        </w:numPr>
      </w:pPr>
      <w:r>
        <w:rPr>
          <w:b/>
        </w:rPr>
        <w:t>Hardware:</w:t>
      </w:r>
      <w:r>
        <w:rPr>
          <w:b w:val="0"/>
        </w:rPr>
        <w:t xml:space="preserve"> Apple MacBook Pro M4 Max, 16 GB memoria unificada (Metal/MPS). Software: Python 3.13, Ollama 0.6+, scikit-learn 1.9, statsmodels 0.14, pandas 3.0, Streamlit 1.58. Reproducibilidad: checkpointing automático (.checkpoint.json) para reanudar benchmarks interrumpidos sin pérdida de datos.</w:t>
      </w:r>
    </w:p>
    <w:p>
      <w:pPr>
        <w:pStyle w:val="heading1"/>
        <w:pageBreakBefore w:val="1"/>
        <w:numPr>
          <w:ilvl w:val="0"/>
          <w:numId w:val="0"/>
        </w:numPr>
      </w:pPr>
      <w:r>
        <w:t>5 RESULTADOS EXPERIMENTALES</w:t>
      </w:r>
    </w:p>
    <w:p>
      <w:pPr>
        <w:pStyle w:val="heading2"/>
        <w:numPr>
          <w:ilvl w:val="0"/>
          <w:numId w:val="0"/>
        </w:numPr>
      </w:pPr>
      <w:r>
        <w:t>5.1 Benchmark General — 16 Modelos sobre Kleptotrace/CoNLL-2002 (N=15)</w:t>
      </w:r>
    </w:p>
    <w:p>
      <w:pPr>
        <w:pStyle w:val="p1a"/>
      </w:pPr>
      <w:r>
        <w:t>La Tabla 2 resume los tres mejores y el peor desempeño del benchmark completo (13 configuraciones evaluadas) ordenados por F1-Score; la tabla completa con todas las configuraciones se documenta en el Anexo E:</w:t>
      </w:r>
    </w:p>
    <w:p>
      <w:pPr>
        <w:pStyle w:val="tablecaption"/>
      </w:pPr>
      <w:r>
        <w:t xml:space="preserve">Tabla 5. Resultados Destacados del Benchmark General (Mejores 3 y Peor Configuración, N=15)</w:t>
      </w:r>
    </w:p>
    <w:tbl>
      <w:tblPr>
        <w:tblStyle w:val="Table"/>
        <w:tblW w:type="dxa" w:w="8838"/>
        <w:tblLayout w:type="fixed"/>
        <w:tblLook w:firstRow="1" w:lastRow="0" w:firstColumn="0" w:lastColumn="0" w:noHBand="0" w:noVBand="0" w:val="0020"/>
      </w:tblPr>
      <w:tblGrid>
        <w:gridCol w:w="1991"/>
        <w:gridCol w:w="668"/>
        <w:gridCol w:w="948"/>
        <w:gridCol w:w="668"/>
        <w:gridCol w:w="853"/>
        <w:gridCol w:w="668"/>
        <w:gridCol w:w="1232"/>
        <w:gridCol w:w="1137"/>
        <w:gridCol w:w="673"/>
      </w:tblGrid>
      <w:tr>
        <w:trPr>
          <w:tblHeader w:val="on"/>
        </w:trPr>
        <w:tc>
          <w:tcPr>
            <w:tcW w:type="dxa" w:w="1991"/>
          </w:tcPr>
          <w:p>
            <w:pPr>
              <w:pStyle w:val="Compact"/>
              <w:jc w:val="left"/>
            </w:pPr>
            <w:r>
              <w:t xml:space="preserve">Modelo</w:t>
            </w:r>
          </w:p>
        </w:tc>
        <w:tc>
          <w:tcPr>
            <w:tcW w:type="dxa" w:w="668"/>
          </w:tcPr>
          <w:p>
            <w:pPr>
              <w:pStyle w:val="Compact"/>
              <w:jc w:val="center"/>
            </w:pPr>
            <w:r>
              <w:t xml:space="preserve">Tipo</w:t>
            </w:r>
          </w:p>
        </w:tc>
        <w:tc>
          <w:tcPr>
            <w:tcW w:type="dxa" w:w="948"/>
          </w:tcPr>
          <w:p>
            <w:pPr>
              <w:pStyle w:val="Compact"/>
              <w:jc w:val="center"/>
            </w:pPr>
            <w:r>
              <w:t xml:space="preserve">Parámetros</w:t>
            </w:r>
          </w:p>
        </w:tc>
        <w:tc>
          <w:tcPr>
            <w:tcW w:type="dxa" w:w="668"/>
          </w:tcPr>
          <w:p>
            <w:pPr>
              <w:pStyle w:val="Compact"/>
              <w:jc w:val="center"/>
            </w:pPr>
            <w:r>
              <w:t xml:space="preserve">F1</w:t>
            </w:r>
          </w:p>
        </w:tc>
        <w:tc>
          <w:tcPr>
            <w:tcW w:type="dxa" w:w="853"/>
          </w:tcPr>
          <w:p>
            <w:pPr>
              <w:pStyle w:val="Compact"/>
              <w:jc w:val="center"/>
            </w:pPr>
            <w:r>
              <w:t xml:space="preserve">Precisión</w:t>
            </w:r>
          </w:p>
        </w:tc>
        <w:tc>
          <w:tcPr>
            <w:tcW w:type="dxa" w:w="668"/>
          </w:tcPr>
          <w:p>
            <w:pPr>
              <w:pStyle w:val="Compact"/>
              <w:jc w:val="center"/>
            </w:pPr>
            <w:r>
              <w:t xml:space="preserve">Recall</w:t>
            </w:r>
          </w:p>
        </w:tc>
        <w:tc>
          <w:tcPr>
            <w:tcW w:type="dxa" w:w="1232"/>
          </w:tcPr>
          <w:p>
            <w:pPr>
              <w:pStyle w:val="Compact"/>
              <w:jc w:val="center"/>
            </w:pPr>
            <w:r>
              <w:t xml:space="preserve">Hallucination</w:t>
            </w:r>
          </w:p>
        </w:tc>
        <w:tc>
          <w:tcPr>
            <w:tcW w:type="dxa" w:w="1137"/>
          </w:tcPr>
          <w:p>
            <w:pPr>
              <w:pStyle w:val="Compact"/>
              <w:jc w:val="center"/>
            </w:pPr>
            <w:r>
              <w:t xml:space="preserve">Latencia (s)</w:t>
            </w:r>
          </w:p>
        </w:tc>
        <w:tc>
          <w:tcPr>
            <w:tcW w:type="dxa" w:w="673"/>
          </w:tcPr>
          <w:p>
            <w:pPr>
              <w:pStyle w:val="Compact"/>
              <w:jc w:val="center"/>
            </w:pPr>
            <w:r>
              <w:t xml:space="preserve">Tok/s/B</w:t>
            </w:r>
          </w:p>
        </w:tc>
      </w:tr>
      <w:tr>
        <w:tc>
          <w:tcPr>
            <w:tcW w:type="dxa" w:w="1991"/>
          </w:tcPr>
          <w:p>
            <w:pPr>
              <w:pStyle w:val="Compact"/>
              <w:jc w:val="left"/>
            </w:pPr>
            <w:r>
              <w:rPr>
                <w:b/>
                <w:bCs/>
              </w:rPr>
              <w:t xml:space="preserve">gemma4:31b</w:t>
            </w:r>
          </w:p>
        </w:tc>
        <w:tc>
          <w:tcPr>
            <w:tcW w:type="dxa" w:w="668"/>
          </w:tcPr>
          <w:p>
            <w:pPr>
              <w:pStyle w:val="Compact"/>
              <w:jc w:val="center"/>
            </w:pPr>
            <w:r>
              <w:t xml:space="preserve">Local</w:t>
            </w:r>
          </w:p>
        </w:tc>
        <w:tc>
          <w:tcPr>
            <w:tcW w:type="dxa" w:w="948"/>
          </w:tcPr>
          <w:p>
            <w:pPr>
              <w:pStyle w:val="Compact"/>
              <w:jc w:val="center"/>
            </w:pPr>
            <w:r>
              <w:t xml:space="preserve">31B</w:t>
            </w:r>
          </w:p>
        </w:tc>
        <w:tc>
          <w:tcPr>
            <w:tcW w:type="dxa" w:w="668"/>
          </w:tcPr>
          <w:p>
            <w:pPr>
              <w:pStyle w:val="Compact"/>
              <w:jc w:val="center"/>
            </w:pPr>
            <w:r>
              <w:rPr>
                <w:b/>
                <w:bCs/>
              </w:rPr>
              <w:t xml:space="preserve">67.83%</w:t>
            </w:r>
          </w:p>
        </w:tc>
        <w:tc>
          <w:tcPr>
            <w:tcW w:type="dxa" w:w="853"/>
          </w:tcPr>
          <w:p>
            <w:pPr>
              <w:pStyle w:val="Compact"/>
              <w:jc w:val="center"/>
            </w:pPr>
            <w:r>
              <w:t xml:space="preserve">57.29%</w:t>
            </w:r>
          </w:p>
        </w:tc>
        <w:tc>
          <w:tcPr>
            <w:tcW w:type="dxa" w:w="668"/>
          </w:tcPr>
          <w:p>
            <w:pPr>
              <w:pStyle w:val="Compact"/>
              <w:jc w:val="center"/>
            </w:pPr>
            <w:r>
              <w:t xml:space="preserve">86.78%</w:t>
            </w:r>
          </w:p>
        </w:tc>
        <w:tc>
          <w:tcPr>
            <w:tcW w:type="dxa" w:w="1232"/>
          </w:tcPr>
          <w:p>
            <w:pPr>
              <w:pStyle w:val="Compact"/>
              <w:jc w:val="center"/>
            </w:pPr>
            <w:r>
              <w:t xml:space="preserve">0.15%</w:t>
            </w:r>
          </w:p>
        </w:tc>
        <w:tc>
          <w:tcPr>
            <w:tcW w:type="dxa" w:w="1137"/>
          </w:tcPr>
          <w:p>
            <w:pPr>
              <w:pStyle w:val="Compact"/>
              <w:jc w:val="center"/>
            </w:pPr>
            <w:r>
              <w:t xml:space="preserve">114.20</w:t>
            </w:r>
          </w:p>
        </w:tc>
        <w:tc>
          <w:tcPr>
            <w:tcW w:type="dxa" w:w="673"/>
          </w:tcPr>
          <w:p>
            <w:pPr>
              <w:pStyle w:val="Compact"/>
              <w:jc w:val="center"/>
            </w:pPr>
            <w:r>
              <w:t xml:space="preserve">0.81</w:t>
            </w:r>
          </w:p>
        </w:tc>
      </w:tr>
      <w:tr>
        <w:tc>
          <w:tcPr>
            <w:tcW w:type="dxa" w:w="1991"/>
          </w:tcPr>
          <w:p>
            <w:pPr>
              <w:pStyle w:val="Compact"/>
              <w:jc w:val="left"/>
            </w:pPr>
            <w:r>
              <w:t xml:space="preserve">gemma4:latest (ZS-ES)</w:t>
            </w:r>
          </w:p>
        </w:tc>
        <w:tc>
          <w:tcPr>
            <w:tcW w:type="dxa" w:w="668"/>
          </w:tcPr>
          <w:p>
            <w:pPr>
              <w:pStyle w:val="Compact"/>
              <w:jc w:val="center"/>
            </w:pPr>
            <w:r>
              <w:t xml:space="preserve">Local</w:t>
            </w:r>
          </w:p>
        </w:tc>
        <w:tc>
          <w:tcPr>
            <w:tcW w:type="dxa" w:w="948"/>
          </w:tcPr>
          <w:p>
            <w:pPr>
              <w:pStyle w:val="Compact"/>
              <w:jc w:val="center"/>
            </w:pPr>
            <w:r>
              <w:t xml:space="preserve">9B</w:t>
            </w:r>
          </w:p>
        </w:tc>
        <w:tc>
          <w:tcPr>
            <w:tcW w:type="dxa" w:w="668"/>
          </w:tcPr>
          <w:p>
            <w:pPr>
              <w:pStyle w:val="Compact"/>
              <w:jc w:val="center"/>
            </w:pPr>
            <w:r>
              <w:t xml:space="preserve">69.81%</w:t>
            </w:r>
          </w:p>
        </w:tc>
        <w:tc>
          <w:tcPr>
            <w:tcW w:type="dxa" w:w="853"/>
          </w:tcPr>
          <w:p>
            <w:pPr>
              <w:pStyle w:val="Compact"/>
              <w:jc w:val="center"/>
            </w:pPr>
            <w:r>
              <w:t xml:space="preserve">62.59%</w:t>
            </w:r>
          </w:p>
        </w:tc>
        <w:tc>
          <w:tcPr>
            <w:tcW w:type="dxa" w:w="668"/>
          </w:tcPr>
          <w:p>
            <w:pPr>
              <w:pStyle w:val="Compact"/>
              <w:jc w:val="center"/>
            </w:pPr>
            <w:r>
              <w:t xml:space="preserve">82.70%</w:t>
            </w:r>
          </w:p>
        </w:tc>
        <w:tc>
          <w:tcPr>
            <w:tcW w:type="dxa" w:w="1232"/>
          </w:tcPr>
          <w:p>
            <w:pPr>
              <w:pStyle w:val="Compact"/>
              <w:jc w:val="center"/>
            </w:pPr>
            <w:r>
              <w:t xml:space="preserve">0.19%</w:t>
            </w:r>
          </w:p>
        </w:tc>
        <w:tc>
          <w:tcPr>
            <w:tcW w:type="dxa" w:w="1137"/>
          </w:tcPr>
          <w:p>
            <w:pPr>
              <w:pStyle w:val="Compact"/>
              <w:jc w:val="center"/>
            </w:pPr>
            <w:r>
              <w:t xml:space="preserve">22.70</w:t>
            </w:r>
          </w:p>
        </w:tc>
        <w:tc>
          <w:tcPr>
            <w:tcW w:type="dxa" w:w="673"/>
          </w:tcPr>
          <w:p>
            <w:pPr>
              <w:pStyle w:val="Compact"/>
              <w:jc w:val="center"/>
            </w:pPr>
            <w:r>
              <w:t xml:space="preserve">6.30</w:t>
            </w:r>
          </w:p>
        </w:tc>
      </w:tr>
      <w:tr>
        <w:tc>
          <w:tcPr>
            <w:tcW w:type="dxa" w:w="1991"/>
          </w:tcPr>
          <w:p>
            <w:pPr>
              <w:pStyle w:val="Compact"/>
              <w:jc w:val="left"/>
            </w:pPr>
            <w:r>
              <w:t xml:space="preserve">gemma4:latest (FS-ES)</w:t>
            </w:r>
          </w:p>
        </w:tc>
        <w:tc>
          <w:tcPr>
            <w:tcW w:type="dxa" w:w="668"/>
          </w:tcPr>
          <w:p>
            <w:pPr>
              <w:pStyle w:val="Compact"/>
              <w:jc w:val="center"/>
            </w:pPr>
            <w:r>
              <w:t xml:space="preserve">Local</w:t>
            </w:r>
          </w:p>
        </w:tc>
        <w:tc>
          <w:tcPr>
            <w:tcW w:type="dxa" w:w="948"/>
          </w:tcPr>
          <w:p>
            <w:pPr>
              <w:pStyle w:val="Compact"/>
              <w:jc w:val="center"/>
            </w:pPr>
            <w:r>
              <w:t xml:space="preserve">9B</w:t>
            </w:r>
          </w:p>
        </w:tc>
        <w:tc>
          <w:tcPr>
            <w:tcW w:type="dxa" w:w="668"/>
          </w:tcPr>
          <w:p>
            <w:pPr>
              <w:pStyle w:val="Compact"/>
              <w:jc w:val="center"/>
            </w:pPr>
            <w:r>
              <w:t xml:space="preserve">69.76%</w:t>
            </w:r>
          </w:p>
        </w:tc>
        <w:tc>
          <w:tcPr>
            <w:tcW w:type="dxa" w:w="853"/>
          </w:tcPr>
          <w:p>
            <w:pPr>
              <w:pStyle w:val="Compact"/>
              <w:jc w:val="center"/>
            </w:pPr>
            <w:r>
              <w:t xml:space="preserve">61.67%</w:t>
            </w:r>
          </w:p>
        </w:tc>
        <w:tc>
          <w:tcPr>
            <w:tcW w:type="dxa" w:w="668"/>
          </w:tcPr>
          <w:p>
            <w:pPr>
              <w:pStyle w:val="Compact"/>
              <w:jc w:val="center"/>
            </w:pPr>
            <w:r>
              <w:t xml:space="preserve">84.55%</w:t>
            </w:r>
          </w:p>
        </w:tc>
        <w:tc>
          <w:tcPr>
            <w:tcW w:type="dxa" w:w="1232"/>
          </w:tcPr>
          <w:p>
            <w:pPr>
              <w:pStyle w:val="Compact"/>
              <w:jc w:val="center"/>
            </w:pPr>
            <w:r>
              <w:t xml:space="preserve">1.80%</w:t>
            </w:r>
          </w:p>
        </w:tc>
        <w:tc>
          <w:tcPr>
            <w:tcW w:type="dxa" w:w="1137"/>
          </w:tcPr>
          <w:p>
            <w:pPr>
              <w:pStyle w:val="Compact"/>
              <w:jc w:val="center"/>
            </w:pPr>
            <w:r>
              <w:t xml:space="preserve">44.50</w:t>
            </w:r>
          </w:p>
        </w:tc>
        <w:tc>
          <w:tcPr>
            <w:tcW w:type="dxa" w:w="673"/>
          </w:tcPr>
          <w:p>
            <w:pPr>
              <w:pStyle w:val="Compact"/>
              <w:jc w:val="center"/>
            </w:pPr>
            <w:r>
              <w:t xml:space="preserve">6.32</w:t>
            </w:r>
          </w:p>
        </w:tc>
      </w:tr>
      <w:tr>
        <w:tc>
          <w:tcPr>
            <w:tcW w:type="dxa" w:w="1991"/>
          </w:tcPr>
          <w:p>
            <w:pPr>
              <w:pStyle w:val="Compact"/>
              <w:jc w:val="center"/>
            </w:pPr>
            <w:r>
              <w:t>deepseek-r1:1.5b</w:t>
            </w:r>
          </w:p>
        </w:tc>
        <w:tc>
          <w:tcPr>
            <w:tcW w:type="dxa" w:w="668"/>
          </w:tcPr>
          <w:p>
            <w:pPr>
              <w:pStyle w:val="Compact"/>
              <w:jc w:val="center"/>
            </w:pPr>
            <w:r>
              <w:t>Local</w:t>
            </w:r>
          </w:p>
        </w:tc>
        <w:tc>
          <w:tcPr>
            <w:tcW w:type="dxa" w:w="948"/>
          </w:tcPr>
          <w:p>
            <w:pPr>
              <w:pStyle w:val="Compact"/>
              <w:jc w:val="center"/>
            </w:pPr>
            <w:r>
              <w:t>1.5B</w:t>
            </w:r>
          </w:p>
        </w:tc>
        <w:tc>
          <w:tcPr>
            <w:tcW w:type="dxa" w:w="668"/>
          </w:tcPr>
          <w:p>
            <w:pPr>
              <w:pStyle w:val="Compact"/>
              <w:jc w:val="center"/>
            </w:pPr>
            <w:r>
              <w:t>31.28%</w:t>
            </w:r>
          </w:p>
        </w:tc>
        <w:tc>
          <w:tcPr>
            <w:tcW w:type="dxa" w:w="853"/>
          </w:tcPr>
          <w:p>
            <w:pPr>
              <w:pStyle w:val="Compact"/>
              <w:jc w:val="center"/>
            </w:pPr>
            <w:r>
              <w:t>35.12%</w:t>
            </w:r>
          </w:p>
        </w:tc>
        <w:tc>
          <w:tcPr>
            <w:tcW w:type="dxa" w:w="668"/>
          </w:tcPr>
          <w:p>
            <w:pPr>
              <w:pStyle w:val="Compact"/>
              <w:jc w:val="center"/>
            </w:pPr>
            <w:r>
              <w:t>28.90%</w:t>
            </w:r>
          </w:p>
        </w:tc>
        <w:tc>
          <w:tcPr>
            <w:tcW w:type="dxa" w:w="1232"/>
          </w:tcPr>
          <w:p>
            <w:pPr>
              <w:pStyle w:val="Compact"/>
              <w:jc w:val="center"/>
            </w:pPr>
            <w:r>
              <w:t>8.10%</w:t>
            </w:r>
          </w:p>
        </w:tc>
        <w:tc>
          <w:tcPr>
            <w:tcW w:type="dxa" w:w="1137"/>
          </w:tcPr>
          <w:p>
            <w:pPr>
              <w:pStyle w:val="Compact"/>
              <w:jc w:val="center"/>
            </w:pPr>
            <w:r>
              <w:t>38.40</w:t>
            </w:r>
          </w:p>
        </w:tc>
        <w:tc>
          <w:tcPr>
            <w:tcW w:type="dxa" w:w="673"/>
          </w:tcPr>
          <w:p>
            <w:pPr>
              <w:pStyle w:val="Compact"/>
              <w:jc w:val="center"/>
            </w:pPr>
            <w:r>
              <w:t>25.60</w:t>
            </w:r>
          </w:p>
        </w:tc>
      </w:tr>
    </w:tbl>
    <w:p>
      <w:pPr>
        <w:pStyle w:val="p1a"/>
      </w:pPr>
      <w:r>
        <w:rPr>
          <w:b/>
        </w:rPr>
        <w:t>Hallazgo 1:</w:t>
      </w:r>
      <w:r>
        <w:rPr>
          <w:b w:val="0"/>
        </w:rPr>
        <w:t xml:space="preserve"> gemma4:31b local lideró en Recall (86.78%) con la menor tasa de alucinaciones del grupo local (0.15%), superando incluso su contraparte cloud (66.29%).</w:t>
      </w:r>
    </w:p>
    <w:p>
      <w:pPr>
        <w:pStyle w:val="p1a"/>
      </w:pPr>
      <w:r>
        <w:rPr>
          <w:b/>
        </w:rPr>
        <w:t>Hallazgo 2:</w:t>
      </w:r>
      <w:r>
        <w:rPr>
          <w:b w:val="0"/>
        </w:rPr>
        <w:t xml:space="preserve"> deepseek-r1:1.5b debe descartarse para producción: hallucination rate de 8.13% y Recall de sólo 28.90%.</w:t>
      </w:r>
    </w:p>
    <w:p>
      <w:pPr>
        <w:pStyle w:val="p1a"/>
      </w:pPr>
      <w:r>
        <w:rPr>
          <w:b/>
        </w:rPr>
        <w:t>Hallazgo 3:</w:t>
      </w:r>
      <w:r>
        <w:rPr>
          <w:b w:val="0"/>
        </w:rPr>
        <w:t xml:space="preserve"> El índice de eficiencia de hardware (Tok/s/B) favorece modelos compactos como llama3.2 (18.73 Tok/s/B) para escenarios de screening masivo, mientras que gemma4:31b (0.81 Tok/s/B) se justifica para análisis de alto riesgo.</w:t>
      </w:r>
    </w:p>
    <w:p>
      <w:pPr>
        <w:pStyle w:val="heading2"/>
        <w:numPr>
          <w:ilvl w:val="0"/>
          <w:numId w:val="0"/>
        </w:numPr>
      </w:pPr>
      <w:r>
        <w:t>5.2 Estudio de Ablación del Prompt (gemma4:latest, N=15)</w:t>
      </w:r>
    </w:p>
    <w:p>
      <w:pPr>
        <w:pStyle w:val="tablecaption"/>
      </w:pPr>
      <w:r>
        <w:t xml:space="preserve">Tabla 6. Estudio de Ablación del Prompt (gemma4:latest, N=15)</w:t>
      </w:r>
    </w:p>
    <w:tbl>
      <w:tblPr>
        <w:tblStyle w:val="Table"/>
        <w:tblW w:type="dxa" w:w="8838"/>
        <w:tblLayout w:type="fixed"/>
        <w:tblLook w:firstRow="1" w:lastRow="0" w:firstColumn="0" w:lastColumn="0" w:noHBand="0" w:noVBand="0" w:val="0020"/>
      </w:tblPr>
      <w:tblGrid>
        <w:gridCol w:w="2687"/>
        <w:gridCol w:w="686"/>
        <w:gridCol w:w="895"/>
        <w:gridCol w:w="686"/>
        <w:gridCol w:w="1293"/>
        <w:gridCol w:w="1194"/>
        <w:gridCol w:w="1397"/>
      </w:tblGrid>
      <w:tr>
        <w:trPr>
          <w:tblHeader w:val="on"/>
        </w:trPr>
        <w:tc>
          <w:tcPr>
            <w:tcW w:type="dxa" w:w="2687"/>
          </w:tcPr>
          <w:p>
            <w:pPr>
              <w:pStyle w:val="Compact"/>
              <w:jc w:val="left"/>
            </w:pPr>
            <w:r>
              <w:t xml:space="preserve">Configuración</w:t>
            </w:r>
          </w:p>
        </w:tc>
        <w:tc>
          <w:tcPr>
            <w:tcW w:type="dxa" w:w="686"/>
          </w:tcPr>
          <w:p>
            <w:pPr>
              <w:pStyle w:val="Compact"/>
              <w:jc w:val="center"/>
            </w:pPr>
            <w:r>
              <w:t xml:space="preserve">F1</w:t>
            </w:r>
          </w:p>
        </w:tc>
        <w:tc>
          <w:tcPr>
            <w:tcW w:type="dxa" w:w="895"/>
          </w:tcPr>
          <w:p>
            <w:pPr>
              <w:pStyle w:val="Compact"/>
              <w:jc w:val="center"/>
            </w:pPr>
            <w:r>
              <w:t xml:space="preserve">Precisión</w:t>
            </w:r>
          </w:p>
        </w:tc>
        <w:tc>
          <w:tcPr>
            <w:tcW w:type="dxa" w:w="686"/>
          </w:tcPr>
          <w:p>
            <w:pPr>
              <w:pStyle w:val="Compact"/>
              <w:jc w:val="center"/>
            </w:pPr>
            <w:r>
              <w:t xml:space="preserve">Recall</w:t>
            </w:r>
          </w:p>
        </w:tc>
        <w:tc>
          <w:tcPr>
            <w:tcW w:type="dxa" w:w="1293"/>
          </w:tcPr>
          <w:p>
            <w:pPr>
              <w:pStyle w:val="Compact"/>
              <w:jc w:val="center"/>
            </w:pPr>
            <w:r>
              <w:t xml:space="preserve">Hallucination</w:t>
            </w:r>
          </w:p>
        </w:tc>
        <w:tc>
          <w:tcPr>
            <w:tcW w:type="dxa" w:w="1194"/>
          </w:tcPr>
          <w:p>
            <w:pPr>
              <w:pStyle w:val="Compact"/>
              <w:jc w:val="center"/>
            </w:pPr>
            <w:r>
              <w:t xml:space="preserve">Latencia (s)</w:t>
            </w:r>
          </w:p>
        </w:tc>
        <w:tc>
          <w:tcPr>
            <w:tcW w:type="dxa" w:w="1397"/>
          </w:tcPr>
          <w:p>
            <w:pPr>
              <w:pStyle w:val="Compact"/>
              <w:jc w:val="center"/>
            </w:pPr>
            <w:r>
              <w:t xml:space="preserve">Δ vs. Baseline</w:t>
            </w:r>
          </w:p>
        </w:tc>
      </w:tr>
      <w:tr>
        <w:tc>
          <w:tcPr>
            <w:tcW w:type="dxa" w:w="2687"/>
          </w:tcPr>
          <w:p>
            <w:pPr>
              <w:pStyle w:val="Compact"/>
              <w:jc w:val="left"/>
            </w:pPr>
            <w:r>
              <w:t xml:space="preserve">Zero-shot Inglés (Baseline)</w:t>
            </w:r>
          </w:p>
        </w:tc>
        <w:tc>
          <w:tcPr>
            <w:tcW w:type="dxa" w:w="686"/>
          </w:tcPr>
          <w:p>
            <w:pPr>
              <w:pStyle w:val="Compact"/>
              <w:jc w:val="center"/>
            </w:pPr>
            <w:r>
              <w:t xml:space="preserve">62.41%</w:t>
            </w:r>
          </w:p>
        </w:tc>
        <w:tc>
          <w:tcPr>
            <w:tcW w:type="dxa" w:w="895"/>
          </w:tcPr>
          <w:p>
            <w:pPr>
              <w:pStyle w:val="Compact"/>
              <w:jc w:val="center"/>
            </w:pPr>
            <w:r>
              <w:t xml:space="preserve">72.26%</w:t>
            </w:r>
          </w:p>
        </w:tc>
        <w:tc>
          <w:tcPr>
            <w:tcW w:type="dxa" w:w="686"/>
          </w:tcPr>
          <w:p>
            <w:pPr>
              <w:pStyle w:val="Compact"/>
              <w:jc w:val="center"/>
            </w:pPr>
            <w:r>
              <w:t xml:space="preserve">72.42%</w:t>
            </w:r>
          </w:p>
        </w:tc>
        <w:tc>
          <w:tcPr>
            <w:tcW w:type="dxa" w:w="1293"/>
          </w:tcPr>
          <w:p>
            <w:pPr>
              <w:pStyle w:val="Compact"/>
              <w:jc w:val="center"/>
            </w:pPr>
            <w:r>
              <w:t xml:space="preserve">0.00%</w:t>
            </w:r>
          </w:p>
        </w:tc>
        <w:tc>
          <w:tcPr>
            <w:tcW w:type="dxa" w:w="1194"/>
          </w:tcPr>
          <w:p>
            <w:pPr>
              <w:pStyle w:val="Compact"/>
              <w:jc w:val="center"/>
            </w:pPr>
            <w:r>
              <w:t xml:space="preserve">23.75</w:t>
            </w:r>
          </w:p>
        </w:tc>
        <w:tc>
          <w:tcPr>
            <w:tcW w:type="dxa" w:w="1397"/>
          </w:tcPr>
          <w:p>
            <w:pPr>
              <w:pStyle w:val="Compact"/>
              <w:jc w:val="center"/>
            </w:pPr>
            <w:r>
              <w:t xml:space="preserve">—</w:t>
            </w:r>
          </w:p>
        </w:tc>
      </w:tr>
      <w:tr>
        <w:tc>
          <w:tcPr>
            <w:tcW w:type="dxa" w:w="2687"/>
          </w:tcPr>
          <w:p>
            <w:pPr>
              <w:pStyle w:val="Compact"/>
              <w:jc w:val="left"/>
            </w:pPr>
            <w:r>
              <w:t xml:space="preserve">Zero-shot Español</w:t>
            </w:r>
          </w:p>
        </w:tc>
        <w:tc>
          <w:tcPr>
            <w:tcW w:type="dxa" w:w="686"/>
          </w:tcPr>
          <w:p>
            <w:pPr>
              <w:pStyle w:val="Compact"/>
              <w:jc w:val="center"/>
            </w:pPr>
            <w:r>
              <w:t xml:space="preserve">69.81%</w:t>
            </w:r>
          </w:p>
        </w:tc>
        <w:tc>
          <w:tcPr>
            <w:tcW w:type="dxa" w:w="895"/>
          </w:tcPr>
          <w:p>
            <w:pPr>
              <w:pStyle w:val="Compact"/>
              <w:jc w:val="center"/>
            </w:pPr>
            <w:r>
              <w:t xml:space="preserve">62.59%</w:t>
            </w:r>
          </w:p>
        </w:tc>
        <w:tc>
          <w:tcPr>
            <w:tcW w:type="dxa" w:w="686"/>
          </w:tcPr>
          <w:p>
            <w:pPr>
              <w:pStyle w:val="Compact"/>
              <w:jc w:val="center"/>
            </w:pPr>
            <w:r>
              <w:t xml:space="preserve">82.70%</w:t>
            </w:r>
          </w:p>
        </w:tc>
        <w:tc>
          <w:tcPr>
            <w:tcW w:type="dxa" w:w="1293"/>
          </w:tcPr>
          <w:p>
            <w:pPr>
              <w:pStyle w:val="Compact"/>
              <w:jc w:val="center"/>
            </w:pPr>
            <w:r>
              <w:t xml:space="preserve">0.19%</w:t>
            </w:r>
          </w:p>
        </w:tc>
        <w:tc>
          <w:tcPr>
            <w:tcW w:type="dxa" w:w="1194"/>
          </w:tcPr>
          <w:p>
            <w:pPr>
              <w:pStyle w:val="Compact"/>
              <w:jc w:val="center"/>
            </w:pPr>
            <w:r>
              <w:t xml:space="preserve">22.67</w:t>
            </w:r>
          </w:p>
        </w:tc>
        <w:tc>
          <w:tcPr>
            <w:tcW w:type="dxa" w:w="1397"/>
          </w:tcPr>
          <w:p>
            <w:pPr>
              <w:pStyle w:val="Compact"/>
              <w:jc w:val="center"/>
            </w:pPr>
            <w:r>
              <w:rPr>
                <w:b/>
                <w:bCs/>
              </w:rPr>
              <w:t xml:space="preserve">+7.40%</w:t>
            </w:r>
          </w:p>
        </w:tc>
      </w:tr>
      <w:tr>
        <w:tc>
          <w:tcPr>
            <w:tcW w:type="dxa" w:w="2687"/>
          </w:tcPr>
          <w:p>
            <w:pPr>
              <w:pStyle w:val="Compact"/>
              <w:jc w:val="left"/>
            </w:pPr>
            <w:r>
              <w:t xml:space="preserve">Few-shot Inglés</w:t>
            </w:r>
          </w:p>
        </w:tc>
        <w:tc>
          <w:tcPr>
            <w:tcW w:type="dxa" w:w="686"/>
          </w:tcPr>
          <w:p>
            <w:pPr>
              <w:pStyle w:val="Compact"/>
              <w:jc w:val="center"/>
            </w:pPr>
            <w:r>
              <w:t xml:space="preserve">67.38%</w:t>
            </w:r>
          </w:p>
        </w:tc>
        <w:tc>
          <w:tcPr>
            <w:tcW w:type="dxa" w:w="895"/>
          </w:tcPr>
          <w:p>
            <w:pPr>
              <w:pStyle w:val="Compact"/>
              <w:jc w:val="center"/>
            </w:pPr>
            <w:r>
              <w:t xml:space="preserve">66.83%</w:t>
            </w:r>
          </w:p>
        </w:tc>
        <w:tc>
          <w:tcPr>
            <w:tcW w:type="dxa" w:w="686"/>
          </w:tcPr>
          <w:p>
            <w:pPr>
              <w:pStyle w:val="Compact"/>
              <w:jc w:val="center"/>
            </w:pPr>
            <w:r>
              <w:t xml:space="preserve">80.07%</w:t>
            </w:r>
          </w:p>
        </w:tc>
        <w:tc>
          <w:tcPr>
            <w:tcW w:type="dxa" w:w="1293"/>
          </w:tcPr>
          <w:p>
            <w:pPr>
              <w:pStyle w:val="Compact"/>
              <w:jc w:val="center"/>
            </w:pPr>
            <w:r>
              <w:t xml:space="preserve">0.00%</w:t>
            </w:r>
          </w:p>
        </w:tc>
        <w:tc>
          <w:tcPr>
            <w:tcW w:type="dxa" w:w="1194"/>
          </w:tcPr>
          <w:p>
            <w:pPr>
              <w:pStyle w:val="Compact"/>
              <w:jc w:val="center"/>
            </w:pPr>
            <w:r>
              <w:t xml:space="preserve">65.50</w:t>
            </w:r>
          </w:p>
        </w:tc>
        <w:tc>
          <w:tcPr>
            <w:tcW w:type="dxa" w:w="1397"/>
          </w:tcPr>
          <w:p>
            <w:pPr>
              <w:pStyle w:val="Compact"/>
              <w:jc w:val="center"/>
            </w:pPr>
            <w:r>
              <w:t xml:space="preserve">+4.97%</w:t>
            </w:r>
          </w:p>
        </w:tc>
      </w:tr>
      <w:tr>
        <w:tc>
          <w:tcPr>
            <w:tcW w:type="dxa" w:w="2687"/>
          </w:tcPr>
          <w:p>
            <w:pPr>
              <w:pStyle w:val="Compact"/>
              <w:jc w:val="left"/>
            </w:pPr>
            <w:r>
              <w:t xml:space="preserve">Few-shot Español</w:t>
            </w:r>
          </w:p>
        </w:tc>
        <w:tc>
          <w:tcPr>
            <w:tcW w:type="dxa" w:w="686"/>
          </w:tcPr>
          <w:p>
            <w:pPr>
              <w:pStyle w:val="Compact"/>
              <w:jc w:val="center"/>
            </w:pPr>
            <w:r>
              <w:rPr>
                <w:b/>
                <w:bCs/>
              </w:rPr>
              <w:t xml:space="preserve">69.76%</w:t>
            </w:r>
          </w:p>
        </w:tc>
        <w:tc>
          <w:tcPr>
            <w:tcW w:type="dxa" w:w="895"/>
          </w:tcPr>
          <w:p>
            <w:pPr>
              <w:pStyle w:val="Compact"/>
              <w:jc w:val="center"/>
            </w:pPr>
            <w:r>
              <w:t xml:space="preserve">61.67%</w:t>
            </w:r>
          </w:p>
        </w:tc>
        <w:tc>
          <w:tcPr>
            <w:tcW w:type="dxa" w:w="686"/>
          </w:tcPr>
          <w:p>
            <w:pPr>
              <w:pStyle w:val="Compact"/>
              <w:jc w:val="center"/>
            </w:pPr>
            <w:r>
              <w:rPr>
                <w:b/>
                <w:bCs/>
              </w:rPr>
              <w:t xml:space="preserve">84.55%</w:t>
            </w:r>
          </w:p>
        </w:tc>
        <w:tc>
          <w:tcPr>
            <w:tcW w:type="dxa" w:w="1293"/>
          </w:tcPr>
          <w:p>
            <w:pPr>
              <w:pStyle w:val="Compact"/>
              <w:jc w:val="center"/>
            </w:pPr>
            <w:r>
              <w:t xml:space="preserve">1.80%</w:t>
            </w:r>
          </w:p>
        </w:tc>
        <w:tc>
          <w:tcPr>
            <w:tcW w:type="dxa" w:w="1194"/>
          </w:tcPr>
          <w:p>
            <w:pPr>
              <w:pStyle w:val="Compact"/>
              <w:jc w:val="center"/>
            </w:pPr>
            <w:r>
              <w:t xml:space="preserve">44.47</w:t>
            </w:r>
          </w:p>
        </w:tc>
        <w:tc>
          <w:tcPr>
            <w:tcW w:type="dxa" w:w="1397"/>
          </w:tcPr>
          <w:p>
            <w:pPr>
              <w:pStyle w:val="Compact"/>
              <w:jc w:val="center"/>
            </w:pPr>
            <w:r>
              <w:rPr>
                <w:b/>
                <w:bCs/>
              </w:rPr>
              <w:t xml:space="preserve">+7.35%</w:t>
            </w:r>
          </w:p>
        </w:tc>
      </w:tr>
    </w:tbl>
    <w:p>
      <w:pPr>
        <w:pStyle w:val="p1a"/>
      </w:pPr>
      <w:r>
        <w:rPr>
          <w:b/>
          <w:bCs/>
        </w:rPr>
        <w:t xml:space="preserve">Hallazgo 4:</w:t>
      </w:r>
      <w:r>
        <w:t xml:space="preserve"> </w:t>
      </w:r>
      <w:r>
        <w:t xml:space="preserve">La localización al español fue el factor de mayor impacto, produciendo +7.4% de F1 sobre el baseline ZS-EN, principalmente por una mejora del +10.28% en Recall. La inyección de ejemplos few-shot incrementó el Recall máximo pero no mejoró significativamente sobre el ZS-ES.</w:t>
      </w:r>
    </w:p>
    <w:p>
      <w:pPr>
        <w:pStyle w:val="heading2"/>
        <w:numPr>
          <w:ilvl w:val="0"/>
          <w:numId w:val="0"/>
        </w:numPr>
      </w:pPr>
      <w:r>
        <w:t>5.3 Validación Estadística sobre Corpus N=30</w:t>
      </w:r>
    </w:p>
    <w:p>
      <w:pPr>
        <w:pStyle w:val="heading3"/>
        <w:numPr>
          <w:ilvl w:val="0"/>
          <w:numId w:val="0"/>
        </w:numPr>
      </w:pPr>
      <w:r>
        <w:t>5.3.1 Resultados del Benchmark Serial</w:t>
      </w:r>
    </w:p>
    <w:p>
      <w:pPr>
        <w:pStyle w:val="tablecaption"/>
      </w:pPr>
      <w:r>
        <w:t xml:space="preserve">Tabla 7. Resultados del Benchmark Serial (N=30)</w:t>
      </w:r>
    </w:p>
    <w:tbl>
      <w:tblPr>
        <w:tblStyle w:val="Table"/>
        <w:tblW w:type="dxa" w:w="8838"/>
        <w:tblLook w:firstRow="1" w:lastRow="0" w:firstColumn="0" w:lastColumn="0" w:noHBand="0" w:noVBand="0" w:val="0020"/>
        <w:tblLayout w:type="fixed"/>
      </w:tblPr>
      <w:tblGrid>
        <w:gridCol w:w="2062"/>
        <w:gridCol w:w="883"/>
        <w:gridCol w:w="1325"/>
        <w:gridCol w:w="883"/>
        <w:gridCol w:w="1914"/>
        <w:gridCol w:w="1771"/>
      </w:tblGrid>
      <w:tr>
        <w:trPr>
          <w:tblHeader w:val="on"/>
        </w:trPr>
        <w:tc>
          <w:tcPr>
            <w:tcW w:type="dxa" w:w="2062"/>
          </w:tcPr>
          <w:p>
            <w:pPr>
              <w:pStyle w:val="Compact"/>
              <w:jc w:val="left"/>
            </w:pPr>
            <w:r>
              <w:t xml:space="preserve">Modelo</w:t>
            </w:r>
          </w:p>
        </w:tc>
        <w:tc>
          <w:tcPr>
            <w:tcW w:type="dxa" w:w="883"/>
          </w:tcPr>
          <w:p>
            <w:pPr>
              <w:pStyle w:val="Compact"/>
              <w:jc w:val="center"/>
            </w:pPr>
            <w:r>
              <w:t xml:space="preserve">F1</w:t>
            </w:r>
          </w:p>
        </w:tc>
        <w:tc>
          <w:tcPr>
            <w:tcW w:type="dxa" w:w="1325"/>
          </w:tcPr>
          <w:p>
            <w:pPr>
              <w:pStyle w:val="Compact"/>
              <w:jc w:val="center"/>
            </w:pPr>
            <w:r>
              <w:t xml:space="preserve">Precisión</w:t>
            </w:r>
          </w:p>
        </w:tc>
        <w:tc>
          <w:tcPr>
            <w:tcW w:type="dxa" w:w="883"/>
          </w:tcPr>
          <w:p>
            <w:pPr>
              <w:pStyle w:val="Compact"/>
              <w:jc w:val="center"/>
            </w:pPr>
            <w:r>
              <w:t xml:space="preserve">Recall</w:t>
            </w:r>
          </w:p>
        </w:tc>
        <w:tc>
          <w:tcPr>
            <w:tcW w:type="dxa" w:w="1914"/>
          </w:tcPr>
          <w:p>
            <w:pPr>
              <w:pStyle w:val="Compact"/>
              <w:jc w:val="center"/>
            </w:pPr>
            <w:r>
              <w:t xml:space="preserve">Hallucination</w:t>
            </w:r>
          </w:p>
        </w:tc>
        <w:tc>
          <w:tcPr>
            <w:tcW w:type="dxa" w:w="1771"/>
          </w:tcPr>
          <w:p>
            <w:pPr>
              <w:pStyle w:val="Compact"/>
              <w:jc w:val="center"/>
            </w:pPr>
            <w:r>
              <w:t xml:space="preserve">Latencia (s)</w:t>
            </w:r>
          </w:p>
        </w:tc>
      </w:tr>
      <w:tr>
        <w:tc>
          <w:tcPr>
            <w:tcW w:type="dxa" w:w="2062"/>
          </w:tcPr>
          <w:p>
            <w:pPr>
              <w:pStyle w:val="Compact"/>
              <w:jc w:val="left"/>
            </w:pPr>
            <w:r>
              <w:rPr>
                <w:b/>
                <w:bCs/>
              </w:rPr>
              <w:t xml:space="preserve">gemma4:31b</w:t>
            </w:r>
          </w:p>
        </w:tc>
        <w:tc>
          <w:tcPr>
            <w:tcW w:type="dxa" w:w="883"/>
          </w:tcPr>
          <w:p>
            <w:pPr>
              <w:pStyle w:val="Compact"/>
              <w:jc w:val="center"/>
            </w:pPr>
            <w:r>
              <w:rPr>
                <w:b/>
                <w:bCs/>
              </w:rPr>
              <w:t xml:space="preserve">79.03%</w:t>
            </w:r>
          </w:p>
        </w:tc>
        <w:tc>
          <w:tcPr>
            <w:tcW w:type="dxa" w:w="1325"/>
          </w:tcPr>
          <w:p>
            <w:pPr>
              <w:pStyle w:val="Compact"/>
              <w:jc w:val="center"/>
            </w:pPr>
            <w:r>
              <w:t xml:space="preserve">73.34%</w:t>
            </w:r>
          </w:p>
        </w:tc>
        <w:tc>
          <w:tcPr>
            <w:tcW w:type="dxa" w:w="883"/>
          </w:tcPr>
          <w:p>
            <w:pPr>
              <w:pStyle w:val="Compact"/>
              <w:jc w:val="center"/>
            </w:pPr>
            <w:r>
              <w:t xml:space="preserve">89.11%</w:t>
            </w:r>
          </w:p>
        </w:tc>
        <w:tc>
          <w:tcPr>
            <w:tcW w:type="dxa" w:w="1914"/>
          </w:tcPr>
          <w:p>
            <w:pPr>
              <w:pStyle w:val="Compact"/>
              <w:jc w:val="center"/>
            </w:pPr>
            <w:r>
              <w:rPr>
                <w:b/>
                <w:bCs/>
              </w:rPr>
              <w:t xml:space="preserve">0.00%</w:t>
            </w:r>
          </w:p>
        </w:tc>
        <w:tc>
          <w:tcPr>
            <w:tcW w:type="dxa" w:w="1771"/>
          </w:tcPr>
          <w:p>
            <w:pPr>
              <w:pStyle w:val="Compact"/>
              <w:jc w:val="center"/>
            </w:pPr>
            <w:r>
              <w:t xml:space="preserve">160.23</w:t>
            </w:r>
          </w:p>
        </w:tc>
      </w:tr>
      <w:tr>
        <w:tc>
          <w:tcPr>
            <w:tcW w:type="dxa" w:w="2062"/>
          </w:tcPr>
          <w:p>
            <w:pPr>
              <w:pStyle w:val="Compact"/>
              <w:jc w:val="left"/>
            </w:pPr>
            <w:r>
              <w:t xml:space="preserve">gemma4:31b-mlx</w:t>
            </w:r>
          </w:p>
        </w:tc>
        <w:tc>
          <w:tcPr>
            <w:tcW w:type="dxa" w:w="883"/>
          </w:tcPr>
          <w:p>
            <w:pPr>
              <w:pStyle w:val="Compact"/>
              <w:jc w:val="center"/>
            </w:pPr>
            <w:r>
              <w:t xml:space="preserve">77.47%</w:t>
            </w:r>
          </w:p>
        </w:tc>
        <w:tc>
          <w:tcPr>
            <w:tcW w:type="dxa" w:w="1325"/>
          </w:tcPr>
          <w:p>
            <w:pPr>
              <w:pStyle w:val="Compact"/>
              <w:jc w:val="center"/>
            </w:pPr>
            <w:r>
              <w:t xml:space="preserve">73.01%</w:t>
            </w:r>
          </w:p>
        </w:tc>
        <w:tc>
          <w:tcPr>
            <w:tcW w:type="dxa" w:w="883"/>
          </w:tcPr>
          <w:p>
            <w:pPr>
              <w:pStyle w:val="Compact"/>
              <w:jc w:val="center"/>
            </w:pPr>
            <w:r>
              <w:t xml:space="preserve">87.17%</w:t>
            </w:r>
          </w:p>
        </w:tc>
        <w:tc>
          <w:tcPr>
            <w:tcW w:type="dxa" w:w="1914"/>
          </w:tcPr>
          <w:p>
            <w:pPr>
              <w:pStyle w:val="Compact"/>
              <w:jc w:val="center"/>
            </w:pPr>
            <w:r>
              <w:t xml:space="preserve">0.00%</w:t>
            </w:r>
          </w:p>
        </w:tc>
        <w:tc>
          <w:tcPr>
            <w:tcW w:type="dxa" w:w="1771"/>
          </w:tcPr>
          <w:p>
            <w:pPr>
              <w:pStyle w:val="Compact"/>
              <w:jc w:val="center"/>
            </w:pPr>
            <w:r>
              <w:t xml:space="preserve">163.76</w:t>
            </w:r>
          </w:p>
        </w:tc>
      </w:tr>
    </w:tbl>
    <w:p>
      <w:pPr>
        <w:pStyle w:val="heading3"/>
        <w:numPr>
          <w:ilvl w:val="0"/>
          <w:numId w:val="0"/>
        </w:numPr>
      </w:pPr>
      <w:r>
        <w:t>5.3.2 ANOVA de Una Vía (α = 0.05)</w:t>
      </w:r>
    </w:p>
    <w:p>
      <w:pPr>
        <w:pStyle w:val="p1a"/>
        <w:numPr>
          <w:ilvl w:val="0"/>
          <w:numId w:val="1004"/>
        </w:numPr>
      </w:pPr>
      <w:r>
        <w:rPr>
          <w:b/>
          <w:bCs/>
        </w:rPr>
        <w:t xml:space="preserve">F-Statistic:</w:t>
      </w:r>
      <w:r>
        <w:t xml:space="preserve"> </w:t>
      </w:r>
      <w:r>
        <w:t xml:space="preserve">0.141</w:t>
      </w:r>
    </w:p>
    <w:p>
      <w:pPr>
        <w:pStyle w:val="p1a"/>
        <w:numPr>
          <w:ilvl w:val="0"/>
          <w:numId w:val="1004"/>
        </w:numPr>
      </w:pPr>
      <w:r>
        <w:rPr>
          <w:b/>
          <w:bCs/>
        </w:rPr>
        <w:t xml:space="preserve">p-Value:</w:t>
      </w:r>
      <w:r>
        <w:t xml:space="preserve"> </w:t>
      </w:r>
      <w:r>
        <w:t xml:space="preserve">0.708 (p ≥ 0.05 → No se rechaza H₀)</w:t>
      </w:r>
    </w:p>
    <w:p>
      <w:pPr>
        <w:pStyle w:val="p1a"/>
        <w:numPr>
          <w:ilvl w:val="0"/>
          <w:numId w:val="1004"/>
        </w:numPr>
      </w:pPr>
      <w:r>
        <w:rPr>
          <w:b/>
          <w:bCs/>
        </w:rPr>
        <w:t xml:space="preserve">Conclusión:</w:t>
      </w:r>
      <w:r>
        <w:t xml:space="preserve"> </w:t>
      </w:r>
      <w:r>
        <w:t xml:space="preserve">No existe diferencia estadísticamente significativa en los F1-Scores entre los dos modelos evaluados sobre N=30.</w:t>
      </w:r>
    </w:p>
    <w:p>
      <w:pPr>
        <w:pStyle w:val="heading3"/>
        <w:numPr>
          <w:ilvl w:val="0"/>
          <w:numId w:val="0"/>
        </w:numPr>
      </w:pPr>
      <w:r>
        <w:t>5.3.3 Intervalos de Confianza al 95%</w:t>
      </w:r>
    </w:p>
    <w:p>
      <w:pPr>
        <w:pStyle w:val="tablecaption"/>
      </w:pPr>
      <w:r>
        <w:t xml:space="preserve">Tabla 8. Intervalos de Confianza al 95% (N=30)</w:t>
      </w:r>
    </w:p>
    <w:tbl>
      <w:tblPr>
        <w:tblStyle w:val="Table"/>
        <w:tblW w:type="dxa" w:w="8838"/>
        <w:tblLayout w:type="fixed"/>
        <w:tblLook w:firstRow="1" w:lastRow="0" w:firstColumn="0" w:lastColumn="0" w:noHBand="0" w:noVBand="0" w:val="0020"/>
      </w:tblPr>
      <w:tblGrid>
        <w:gridCol w:w="1845"/>
        <w:gridCol w:w="668"/>
        <w:gridCol w:w="1053"/>
        <w:gridCol w:w="1976"/>
        <w:gridCol w:w="1976"/>
        <w:gridCol w:w="1320"/>
      </w:tblGrid>
      <w:tr>
        <w:trPr>
          <w:tblHeader w:val="on"/>
        </w:trPr>
        <w:tc>
          <w:tcPr>
            <w:tcW w:type="dxa" w:w="1845"/>
          </w:tcPr>
          <w:p>
            <w:pPr>
              <w:pStyle w:val="Compact"/>
              <w:jc w:val="left"/>
            </w:pPr>
            <w:r>
              <w:t xml:space="preserve">Modelo</w:t>
            </w:r>
          </w:p>
        </w:tc>
        <w:tc>
          <w:tcPr>
            <w:tcW w:type="dxa" w:w="668"/>
          </w:tcPr>
          <w:p>
            <w:pPr>
              <w:pStyle w:val="Compact"/>
              <w:jc w:val="center"/>
            </w:pPr>
            <w:r>
              <w:t xml:space="preserve">N</w:t>
            </w:r>
          </w:p>
        </w:tc>
        <w:tc>
          <w:tcPr>
            <w:tcW w:type="dxa" w:w="1053"/>
          </w:tcPr>
          <w:p>
            <w:pPr>
              <w:pStyle w:val="Compact"/>
              <w:jc w:val="center"/>
            </w:pPr>
            <w:r>
              <w:t xml:space="preserve">F1 Media</w:t>
            </w:r>
          </w:p>
        </w:tc>
        <w:tc>
          <w:tcPr>
            <w:tcW w:type="dxa" w:w="1976"/>
          </w:tcPr>
          <w:p>
            <w:pPr>
              <w:pStyle w:val="Compact"/>
              <w:jc w:val="center"/>
            </w:pPr>
            <w:r>
              <w:t xml:space="preserve">IC 95% Inferior</w:t>
            </w:r>
          </w:p>
        </w:tc>
        <w:tc>
          <w:tcPr>
            <w:tcW w:type="dxa" w:w="1976"/>
          </w:tcPr>
          <w:p>
            <w:pPr>
              <w:pStyle w:val="Compact"/>
              <w:jc w:val="center"/>
            </w:pPr>
            <w:r>
              <w:t xml:space="preserve">IC 95% Superior</w:t>
            </w:r>
          </w:p>
        </w:tc>
        <w:tc>
          <w:tcPr>
            <w:tcW w:type="dxa" w:w="1320"/>
          </w:tcPr>
          <w:p>
            <w:pPr>
              <w:pStyle w:val="Compact"/>
              <w:jc w:val="center"/>
            </w:pPr>
            <w:r>
              <w:t xml:space="preserve">Desv. Est.</w:t>
            </w:r>
          </w:p>
        </w:tc>
      </w:tr>
      <w:tr>
        <w:tc>
          <w:tcPr>
            <w:tcW w:type="dxa" w:w="1845"/>
          </w:tcPr>
          <w:p>
            <w:pPr>
              <w:pStyle w:val="Compact"/>
              <w:jc w:val="left"/>
            </w:pPr>
            <w:r>
              <w:t xml:space="preserve">gemma4:31b</w:t>
            </w:r>
          </w:p>
        </w:tc>
        <w:tc>
          <w:tcPr>
            <w:tcW w:type="dxa" w:w="668"/>
          </w:tcPr>
          <w:p>
            <w:pPr>
              <w:pStyle w:val="Compact"/>
              <w:jc w:val="center"/>
            </w:pPr>
            <w:r>
              <w:t xml:space="preserve">30</w:t>
            </w:r>
          </w:p>
        </w:tc>
        <w:tc>
          <w:tcPr>
            <w:tcW w:type="dxa" w:w="1053"/>
          </w:tcPr>
          <w:p>
            <w:pPr>
              <w:pStyle w:val="Compact"/>
              <w:jc w:val="center"/>
            </w:pPr>
            <w:r>
              <w:t xml:space="preserve">0.7903</w:t>
            </w:r>
          </w:p>
        </w:tc>
        <w:tc>
          <w:tcPr>
            <w:tcW w:type="dxa" w:w="1976"/>
          </w:tcPr>
          <w:p>
            <w:pPr>
              <w:pStyle w:val="Compact"/>
              <w:jc w:val="center"/>
            </w:pPr>
            <w:r>
              <w:t xml:space="preserve">0.7291</w:t>
            </w:r>
          </w:p>
        </w:tc>
        <w:tc>
          <w:tcPr>
            <w:tcW w:type="dxa" w:w="1976"/>
          </w:tcPr>
          <w:p>
            <w:pPr>
              <w:pStyle w:val="Compact"/>
              <w:jc w:val="center"/>
            </w:pPr>
            <w:r>
              <w:t xml:space="preserve">0.8515</w:t>
            </w:r>
          </w:p>
        </w:tc>
        <w:tc>
          <w:tcPr>
            <w:tcW w:type="dxa" w:w="1320"/>
          </w:tcPr>
          <w:p>
            <w:pPr>
              <w:pStyle w:val="Compact"/>
              <w:jc w:val="center"/>
            </w:pPr>
            <w:r>
              <w:t xml:space="preserve">0.1640</w:t>
            </w:r>
          </w:p>
        </w:tc>
      </w:tr>
      <w:tr>
        <w:tc>
          <w:tcPr>
            <w:tcW w:type="dxa" w:w="1845"/>
          </w:tcPr>
          <w:p>
            <w:pPr>
              <w:pStyle w:val="Compact"/>
              <w:jc w:val="left"/>
            </w:pPr>
            <w:r>
              <w:t xml:space="preserve">gemma4:31b-mlx</w:t>
            </w:r>
          </w:p>
        </w:tc>
        <w:tc>
          <w:tcPr>
            <w:tcW w:type="dxa" w:w="668"/>
          </w:tcPr>
          <w:p>
            <w:pPr>
              <w:pStyle w:val="Compact"/>
              <w:jc w:val="center"/>
            </w:pPr>
            <w:r>
              <w:t xml:space="preserve">30</w:t>
            </w:r>
          </w:p>
        </w:tc>
        <w:tc>
          <w:tcPr>
            <w:tcW w:type="dxa" w:w="1053"/>
          </w:tcPr>
          <w:p>
            <w:pPr>
              <w:pStyle w:val="Compact"/>
              <w:jc w:val="center"/>
            </w:pPr>
            <w:r>
              <w:t xml:space="preserve">0.7747</w:t>
            </w:r>
          </w:p>
        </w:tc>
        <w:tc>
          <w:tcPr>
            <w:tcW w:type="dxa" w:w="1976"/>
          </w:tcPr>
          <w:p>
            <w:pPr>
              <w:pStyle w:val="Compact"/>
              <w:jc w:val="center"/>
            </w:pPr>
            <w:r>
              <w:t xml:space="preserve">0.7162</w:t>
            </w:r>
          </w:p>
        </w:tc>
        <w:tc>
          <w:tcPr>
            <w:tcW w:type="dxa" w:w="1976"/>
          </w:tcPr>
          <w:p>
            <w:pPr>
              <w:pStyle w:val="Compact"/>
              <w:jc w:val="center"/>
            </w:pPr>
            <w:r>
              <w:t xml:space="preserve">0.8332</w:t>
            </w:r>
          </w:p>
        </w:tc>
        <w:tc>
          <w:tcPr>
            <w:tcW w:type="dxa" w:w="1320"/>
          </w:tcPr>
          <w:p>
            <w:pPr>
              <w:pStyle w:val="Compact"/>
              <w:jc w:val="center"/>
            </w:pPr>
            <w:r>
              <w:t xml:space="preserve">0.1566</w:t>
            </w:r>
          </w:p>
        </w:tc>
      </w:tr>
    </w:tbl>
    <w:p>
      <w:pPr>
        <w:pStyle w:val="heading3"/>
        <w:numPr>
          <w:ilvl w:val="0"/>
          <w:numId w:val="0"/>
        </w:numPr>
      </w:pPr>
      <w:r>
        <w:t>5.3.4 Análisis de Sensibilidad (Outliers)</w:t>
      </w:r>
    </w:p>
    <w:p>
      <w:pPr>
        <w:pStyle w:val="p1a"/>
        <w:numPr>
          <w:ilvl w:val="0"/>
          <w:numId w:val="1005"/>
        </w:numPr>
      </w:pPr>
      <w:r>
        <w:rPr>
          <w:b/>
          <w:bCs/>
        </w:rPr>
        <w:t xml:space="preserve">Criterio de outlier:</w:t>
      </w:r>
      <w:r>
        <w:t xml:space="preserve"> </w:t>
      </w:r>
      <w:r>
        <w:t xml:space="preserve">Artículos con longitud &gt; 702 caracteres.</w:t>
      </w:r>
    </w:p>
    <w:p>
      <w:pPr>
        <w:pStyle w:val="p1a"/>
        <w:numPr>
          <w:ilvl w:val="0"/>
          <w:numId w:val="1005"/>
        </w:numPr>
      </w:pPr>
      <w:r>
        <w:rPr>
          <w:b/>
          <w:bCs/>
        </w:rPr>
        <w:t xml:space="preserve">Registros outlier identificados:</w:t>
      </w:r>
      <w:r>
        <w:t xml:space="preserve"> </w:t>
      </w:r>
      <w:r>
        <w:t xml:space="preserve">0</w:t>
      </w:r>
    </w:p>
    <w:p>
      <w:pPr>
        <w:pStyle w:val="p1a"/>
        <w:numPr>
          <w:ilvl w:val="0"/>
          <w:numId w:val="1005"/>
        </w:numPr>
      </w:pPr>
      <w:r>
        <w:rPr>
          <w:b/>
          <w:bCs/>
        </w:rPr>
        <w:t xml:space="preserve">F1 estable (no filtrado):</w:t>
      </w:r>
      <w:r>
        <w:t xml:space="preserve"> </w:t>
      </w:r>
      <w:r>
        <w:t xml:space="preserve">gemma4:31b = 0.7903 | gemma4:31b-mlx = 0.7747</w:t>
      </w:r>
    </w:p>
    <w:p>
      <w:pPr>
        <w:pStyle w:val="heading3"/>
        <w:numPr>
          <w:ilvl w:val="0"/>
          <w:numId w:val="0"/>
        </w:numPr>
      </w:pPr>
      <w:r>
        <w:t>5.3.5 Validación Estadística Complementaria sobre Corpus Real N=120</w:t>
      </w:r>
    </w:p>
    <w:p>
      <w:pPr>
        <w:pStyle w:val="p1a"/>
      </w:pPr>
      <w:r>
        <w:t>Como extensión de la validación anterior (N=30, sintético), se ejecutó el mismo protocolo de validación estadística (ANOVA de una vía + Tukey HSD) sobre el corpus real N=120 descrito en §4.1.3 (</w:t>
      </w:r>
      <w:r>
        <w:rPr>
          <w:rFonts w:ascii="Consolas" w:hAnsi="Consolas"/>
        </w:rPr>
        <w:t>data/benchmark_balanced_120.json</w:t>
      </w:r>
      <w:r>
        <w:t xml:space="preserve">, 1 de septiembre de 2026, resultados en </w:t>
      </w:r>
      <w:r>
        <w:rPr>
          <w:rFonts w:ascii="Consolas" w:hAnsi="Consolas"/>
        </w:rPr>
        <w:t>results/benchmark_balanced_120_20260901_140421/</w:t>
      </w:r>
      <w:r>
        <w:t>). Por restricciones de tiempo de cómputo no se re-evaluaron los 16 modelos completos sino un subconjunto representativo de 5 modelos (locales y en la nube, de distinto tamaño), cada uno en modo baseline y KB RAG, ambos con N=120 observaciones (no N=15 ni N=30):</w:t>
      </w:r>
    </w:p>
    <w:p>
      <w:pPr>
        <w:pStyle w:val="tablecaption"/>
      </w:pPr>
      <w:r>
        <w:t xml:space="preserve">Tabla 9. Validación Estadística Complementaria — Corpus Real N=120</w:t>
      </w:r>
    </w:p>
    <w:tbl>
      <w:tblPr>
        <w:tblW w:type="dxa" w:w="8838"/>
        <w:tblLook w:firstColumn="1" w:firstRow="1" w:lastColumn="0" w:lastRow="0" w:noHBand="0" w:noVBand="1" w:val="04A0"/>
        <w:tblLayout w:type="fixed"/>
      </w:tblPr>
      <w:tblGrid>
        <w:gridCol w:w="1921"/>
        <w:gridCol w:w="1024"/>
        <w:gridCol w:w="768"/>
        <w:gridCol w:w="1152"/>
        <w:gridCol w:w="768"/>
        <w:gridCol w:w="1665"/>
        <w:gridCol w:w="1540"/>
      </w:tblGrid>
      <w:tr>
        <w:tc>
          <w:tcPr>
            <w:tcW w:type="dxa" w:w="1921"/>
            <w:tcBorders>
              <w:top w:val="single" w:sz="4" w:space="0" w:color="999999"/>
              <w:left w:val="single" w:sz="4" w:space="0" w:color="999999"/>
              <w:bottom w:val="single" w:sz="4" w:space="0" w:color="999999"/>
              <w:right w:val="single" w:sz="4" w:space="0" w:color="999999"/>
            </w:tcBorders>
            <w:shd w:val="clear" w:color="auto" w:fill="D9E2F3"/>
          </w:tcPr>
          <w:p>
            <w:pPr>
              <w:spacing w:after="20" w:before="20"/>
            </w:pPr>
            <w:r>
              <w:rPr>
                <w:b/>
                <w:sz w:val="16"/>
              </w:rPr>
            </w:r>
            <w:r>
              <w:rPr>
                <w:b/>
                <w:sz w:val="16"/>
              </w:rPr>
              <w:t>Modelo</w:t>
            </w:r>
          </w:p>
        </w:tc>
        <w:tc>
          <w:tcPr>
            <w:tcW w:type="dxa" w:w="1024"/>
            <w:tcBorders>
              <w:top w:val="single" w:sz="4" w:space="0" w:color="999999"/>
              <w:left w:val="single" w:sz="4" w:space="0" w:color="999999"/>
              <w:bottom w:val="single" w:sz="4" w:space="0" w:color="999999"/>
              <w:right w:val="single" w:sz="4" w:space="0" w:color="999999"/>
            </w:tcBorders>
            <w:shd w:val="clear" w:color="auto" w:fill="D9E2F3"/>
          </w:tcPr>
          <w:p>
            <w:pPr>
              <w:spacing w:after="20" w:before="20"/>
            </w:pPr>
            <w:r>
              <w:rPr>
                <w:b/>
                <w:sz w:val="16"/>
              </w:rPr>
            </w:r>
            <w:r>
              <w:rPr>
                <w:b/>
                <w:sz w:val="16"/>
              </w:rPr>
              <w:t>Modo</w:t>
            </w:r>
          </w:p>
        </w:tc>
        <w:tc>
          <w:tcPr>
            <w:tcW w:type="dxa" w:w="768"/>
            <w:tcBorders>
              <w:top w:val="single" w:sz="4" w:space="0" w:color="999999"/>
              <w:left w:val="single" w:sz="4" w:space="0" w:color="999999"/>
              <w:bottom w:val="single" w:sz="4" w:space="0" w:color="999999"/>
              <w:right w:val="single" w:sz="4" w:space="0" w:color="999999"/>
            </w:tcBorders>
            <w:shd w:val="clear" w:color="auto" w:fill="D9E2F3"/>
          </w:tcPr>
          <w:p>
            <w:pPr>
              <w:spacing w:after="20" w:before="20"/>
            </w:pPr>
            <w:r>
              <w:rPr>
                <w:b/>
                <w:sz w:val="16"/>
              </w:rPr>
            </w:r>
            <w:r>
              <w:rPr>
                <w:b/>
                <w:sz w:val="16"/>
              </w:rPr>
              <w:t>F1</w:t>
            </w:r>
          </w:p>
        </w:tc>
        <w:tc>
          <w:tcPr>
            <w:tcW w:type="dxa" w:w="1152"/>
            <w:tcBorders>
              <w:top w:val="single" w:sz="4" w:space="0" w:color="999999"/>
              <w:left w:val="single" w:sz="4" w:space="0" w:color="999999"/>
              <w:bottom w:val="single" w:sz="4" w:space="0" w:color="999999"/>
              <w:right w:val="single" w:sz="4" w:space="0" w:color="999999"/>
            </w:tcBorders>
            <w:shd w:val="clear" w:color="auto" w:fill="D9E2F3"/>
          </w:tcPr>
          <w:p>
            <w:pPr>
              <w:spacing w:after="20" w:before="20"/>
            </w:pPr>
            <w:r>
              <w:rPr>
                <w:b/>
                <w:sz w:val="16"/>
              </w:rPr>
            </w:r>
            <w:r>
              <w:rPr>
                <w:b/>
                <w:sz w:val="16"/>
              </w:rPr>
              <w:t>Precisión</w:t>
            </w:r>
          </w:p>
        </w:tc>
        <w:tc>
          <w:tcPr>
            <w:tcW w:type="dxa" w:w="768"/>
            <w:tcBorders>
              <w:top w:val="single" w:sz="4" w:space="0" w:color="999999"/>
              <w:left w:val="single" w:sz="4" w:space="0" w:color="999999"/>
              <w:bottom w:val="single" w:sz="4" w:space="0" w:color="999999"/>
              <w:right w:val="single" w:sz="4" w:space="0" w:color="999999"/>
            </w:tcBorders>
            <w:shd w:val="clear" w:color="auto" w:fill="D9E2F3"/>
          </w:tcPr>
          <w:p>
            <w:pPr>
              <w:spacing w:after="20" w:before="20"/>
            </w:pPr>
            <w:r>
              <w:rPr>
                <w:b/>
                <w:sz w:val="16"/>
              </w:rPr>
            </w:r>
            <w:r>
              <w:rPr>
                <w:b/>
                <w:sz w:val="16"/>
              </w:rPr>
              <w:t>Recall</w:t>
            </w:r>
          </w:p>
        </w:tc>
        <w:tc>
          <w:tcPr>
            <w:tcW w:type="dxa" w:w="1665"/>
            <w:tcBorders>
              <w:top w:val="single" w:sz="4" w:space="0" w:color="999999"/>
              <w:left w:val="single" w:sz="4" w:space="0" w:color="999999"/>
              <w:bottom w:val="single" w:sz="4" w:space="0" w:color="999999"/>
              <w:right w:val="single" w:sz="4" w:space="0" w:color="999999"/>
            </w:tcBorders>
            <w:shd w:val="clear" w:color="auto" w:fill="D9E2F3"/>
          </w:tcPr>
          <w:p>
            <w:pPr>
              <w:spacing w:after="20" w:before="20"/>
            </w:pPr>
            <w:r>
              <w:rPr>
                <w:b/>
                <w:sz w:val="16"/>
              </w:rPr>
            </w:r>
            <w:r>
              <w:rPr>
                <w:b/>
                <w:sz w:val="16"/>
              </w:rPr>
              <w:t>Hallucination</w:t>
            </w:r>
          </w:p>
        </w:tc>
        <w:tc>
          <w:tcPr>
            <w:tcW w:type="dxa" w:w="1540"/>
            <w:tcBorders>
              <w:top w:val="single" w:sz="4" w:space="0" w:color="999999"/>
              <w:left w:val="single" w:sz="4" w:space="0" w:color="999999"/>
              <w:bottom w:val="single" w:sz="4" w:space="0" w:color="999999"/>
              <w:right w:val="single" w:sz="4" w:space="0" w:color="999999"/>
            </w:tcBorders>
            <w:shd w:val="clear" w:color="auto" w:fill="D9E2F3"/>
          </w:tcPr>
          <w:p>
            <w:pPr>
              <w:spacing w:after="20" w:before="20"/>
            </w:pPr>
            <w:r>
              <w:rPr>
                <w:b/>
                <w:sz w:val="16"/>
              </w:rPr>
            </w:r>
            <w:r>
              <w:rPr>
                <w:b/>
                <w:sz w:val="16"/>
              </w:rPr>
              <w:t>Latencia (s)</w:t>
            </w:r>
          </w:p>
        </w:tc>
      </w:tr>
      <w:tr>
        <w:tc>
          <w:tcPr>
            <w:tcW w:type="dxa" w:w="1921"/>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gemma4:31b-mlx</w:t>
            </w:r>
          </w:p>
        </w:tc>
        <w:tc>
          <w:tcPr>
            <w:tcW w:type="dxa" w:w="1024"/>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baseline</w:t>
            </w:r>
          </w:p>
        </w:tc>
        <w:tc>
          <w:tcPr>
            <w:tcW w:type="dxa" w:w="768"/>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59.25%</w:t>
            </w:r>
          </w:p>
        </w:tc>
        <w:tc>
          <w:tcPr>
            <w:tcW w:type="dxa" w:w="1152"/>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53.73%</w:t>
            </w:r>
          </w:p>
        </w:tc>
        <w:tc>
          <w:tcPr>
            <w:tcW w:type="dxa" w:w="768"/>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75.69%</w:t>
            </w:r>
          </w:p>
        </w:tc>
        <w:tc>
          <w:tcPr>
            <w:tcW w:type="dxa" w:w="1665"/>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0.49%</w:t>
            </w:r>
          </w:p>
        </w:tc>
        <w:tc>
          <w:tcPr>
            <w:tcW w:type="dxa" w:w="1540"/>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1066.2</w:t>
            </w:r>
          </w:p>
        </w:tc>
      </w:tr>
      <w:tr>
        <w:tc>
          <w:tcPr>
            <w:tcW w:type="dxa" w:w="1921"/>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gemma4:31b-mlx</w:t>
            </w:r>
          </w:p>
        </w:tc>
        <w:tc>
          <w:tcPr>
            <w:tcW w:type="dxa" w:w="1024"/>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KB RAG</w:t>
            </w:r>
          </w:p>
        </w:tc>
        <w:tc>
          <w:tcPr>
            <w:tcW w:type="dxa" w:w="768"/>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59.07%</w:t>
            </w:r>
          </w:p>
        </w:tc>
        <w:tc>
          <w:tcPr>
            <w:tcW w:type="dxa" w:w="1152"/>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55.01%</w:t>
            </w:r>
          </w:p>
        </w:tc>
        <w:tc>
          <w:tcPr>
            <w:tcW w:type="dxa" w:w="768"/>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76.92%</w:t>
            </w:r>
          </w:p>
        </w:tc>
        <w:tc>
          <w:tcPr>
            <w:tcW w:type="dxa" w:w="1665"/>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0.41%</w:t>
            </w:r>
          </w:p>
        </w:tc>
        <w:tc>
          <w:tcPr>
            <w:tcW w:type="dxa" w:w="1540"/>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1408.5</w:t>
            </w:r>
          </w:p>
        </w:tc>
      </w:tr>
      <w:tr>
        <w:tc>
          <w:tcPr>
            <w:tcW w:type="dxa" w:w="1921"/>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gemma4:latest</w:t>
            </w:r>
          </w:p>
        </w:tc>
        <w:tc>
          <w:tcPr>
            <w:tcW w:type="dxa" w:w="1024"/>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baseline</w:t>
            </w:r>
          </w:p>
        </w:tc>
        <w:tc>
          <w:tcPr>
            <w:tcW w:type="dxa" w:w="768"/>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55.91%</w:t>
            </w:r>
          </w:p>
        </w:tc>
        <w:tc>
          <w:tcPr>
            <w:tcW w:type="dxa" w:w="1152"/>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52.91%</w:t>
            </w:r>
          </w:p>
        </w:tc>
        <w:tc>
          <w:tcPr>
            <w:tcW w:type="dxa" w:w="768"/>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67.20%</w:t>
            </w:r>
          </w:p>
        </w:tc>
        <w:tc>
          <w:tcPr>
            <w:tcW w:type="dxa" w:w="1665"/>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0.85%</w:t>
            </w:r>
          </w:p>
        </w:tc>
        <w:tc>
          <w:tcPr>
            <w:tcW w:type="dxa" w:w="1540"/>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98.0</w:t>
            </w:r>
          </w:p>
        </w:tc>
      </w:tr>
      <w:tr>
        <w:tc>
          <w:tcPr>
            <w:tcW w:type="dxa" w:w="1921"/>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gemma4:latest</w:t>
            </w:r>
          </w:p>
        </w:tc>
        <w:tc>
          <w:tcPr>
            <w:tcW w:type="dxa" w:w="1024"/>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KB RAG</w:t>
            </w:r>
          </w:p>
        </w:tc>
        <w:tc>
          <w:tcPr>
            <w:tcW w:type="dxa" w:w="768"/>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55.58%</w:t>
            </w:r>
          </w:p>
        </w:tc>
        <w:tc>
          <w:tcPr>
            <w:tcW w:type="dxa" w:w="1152"/>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52.12%</w:t>
            </w:r>
          </w:p>
        </w:tc>
        <w:tc>
          <w:tcPr>
            <w:tcW w:type="dxa" w:w="768"/>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66.09%</w:t>
            </w:r>
          </w:p>
        </w:tc>
        <w:tc>
          <w:tcPr>
            <w:tcW w:type="dxa" w:w="1665"/>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0.53%</w:t>
            </w:r>
          </w:p>
        </w:tc>
        <w:tc>
          <w:tcPr>
            <w:tcW w:type="dxa" w:w="1540"/>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489.6</w:t>
            </w:r>
          </w:p>
        </w:tc>
      </w:tr>
      <w:tr>
        <w:tc>
          <w:tcPr>
            <w:tcW w:type="dxa" w:w="1921"/>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qwen2.5:14b</w:t>
            </w:r>
          </w:p>
        </w:tc>
        <w:tc>
          <w:tcPr>
            <w:tcW w:type="dxa" w:w="1024"/>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baseline</w:t>
            </w:r>
          </w:p>
        </w:tc>
        <w:tc>
          <w:tcPr>
            <w:tcW w:type="dxa" w:w="768"/>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51.89%</w:t>
            </w:r>
          </w:p>
        </w:tc>
        <w:tc>
          <w:tcPr>
            <w:tcW w:type="dxa" w:w="1152"/>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50.29%</w:t>
            </w:r>
          </w:p>
        </w:tc>
        <w:tc>
          <w:tcPr>
            <w:tcW w:type="dxa" w:w="768"/>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57.35%</w:t>
            </w:r>
          </w:p>
        </w:tc>
        <w:tc>
          <w:tcPr>
            <w:tcW w:type="dxa" w:w="1665"/>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1.32%</w:t>
            </w:r>
          </w:p>
        </w:tc>
        <w:tc>
          <w:tcPr>
            <w:tcW w:type="dxa" w:w="1540"/>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159.4</w:t>
            </w:r>
          </w:p>
        </w:tc>
      </w:tr>
      <w:tr>
        <w:tc>
          <w:tcPr>
            <w:tcW w:type="dxa" w:w="1921"/>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qwen2.5:14b</w:t>
            </w:r>
          </w:p>
        </w:tc>
        <w:tc>
          <w:tcPr>
            <w:tcW w:type="dxa" w:w="1024"/>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KB RAG</w:t>
            </w:r>
          </w:p>
        </w:tc>
        <w:tc>
          <w:tcPr>
            <w:tcW w:type="dxa" w:w="768"/>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56.51%</w:t>
            </w:r>
          </w:p>
        </w:tc>
        <w:tc>
          <w:tcPr>
            <w:tcW w:type="dxa" w:w="1152"/>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55.48%</w:t>
            </w:r>
          </w:p>
        </w:tc>
        <w:tc>
          <w:tcPr>
            <w:tcW w:type="dxa" w:w="768"/>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61.24%</w:t>
            </w:r>
          </w:p>
        </w:tc>
        <w:tc>
          <w:tcPr>
            <w:tcW w:type="dxa" w:w="1665"/>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0.72%</w:t>
            </w:r>
          </w:p>
        </w:tc>
        <w:tc>
          <w:tcPr>
            <w:tcW w:type="dxa" w:w="1540"/>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173.8</w:t>
            </w:r>
          </w:p>
        </w:tc>
      </w:tr>
      <w:tr>
        <w:tc>
          <w:tcPr>
            <w:tcW w:type="dxa" w:w="1921"/>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gemma:latest</w:t>
            </w:r>
          </w:p>
        </w:tc>
        <w:tc>
          <w:tcPr>
            <w:tcW w:type="dxa" w:w="1024"/>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baseline</w:t>
            </w:r>
          </w:p>
        </w:tc>
        <w:tc>
          <w:tcPr>
            <w:tcW w:type="dxa" w:w="768"/>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47.34%</w:t>
            </w:r>
          </w:p>
        </w:tc>
        <w:tc>
          <w:tcPr>
            <w:tcW w:type="dxa" w:w="1152"/>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49.83%</w:t>
            </w:r>
          </w:p>
        </w:tc>
        <w:tc>
          <w:tcPr>
            <w:tcW w:type="dxa" w:w="768"/>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48.31%</w:t>
            </w:r>
          </w:p>
        </w:tc>
        <w:tc>
          <w:tcPr>
            <w:tcW w:type="dxa" w:w="1665"/>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0.84%</w:t>
            </w:r>
          </w:p>
        </w:tc>
        <w:tc>
          <w:tcPr>
            <w:tcW w:type="dxa" w:w="1540"/>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93.6</w:t>
            </w:r>
          </w:p>
        </w:tc>
      </w:tr>
      <w:tr>
        <w:tc>
          <w:tcPr>
            <w:tcW w:type="dxa" w:w="1921"/>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gemma:latest</w:t>
            </w:r>
          </w:p>
        </w:tc>
        <w:tc>
          <w:tcPr>
            <w:tcW w:type="dxa" w:w="1024"/>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KB RAG</w:t>
            </w:r>
          </w:p>
        </w:tc>
        <w:tc>
          <w:tcPr>
            <w:tcW w:type="dxa" w:w="768"/>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53.03%</w:t>
            </w:r>
          </w:p>
        </w:tc>
        <w:tc>
          <w:tcPr>
            <w:tcW w:type="dxa" w:w="1152"/>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52.31%</w:t>
            </w:r>
          </w:p>
        </w:tc>
        <w:tc>
          <w:tcPr>
            <w:tcW w:type="dxa" w:w="768"/>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59.95%</w:t>
            </w:r>
          </w:p>
        </w:tc>
        <w:tc>
          <w:tcPr>
            <w:tcW w:type="dxa" w:w="1665"/>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5.96%</w:t>
            </w:r>
          </w:p>
        </w:tc>
        <w:tc>
          <w:tcPr>
            <w:tcW w:type="dxa" w:w="1540"/>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103.4</w:t>
            </w:r>
          </w:p>
        </w:tc>
      </w:tr>
      <w:tr>
        <w:tc>
          <w:tcPr>
            <w:tcW w:type="dxa" w:w="1921"/>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llama3.2:latest</w:t>
            </w:r>
          </w:p>
        </w:tc>
        <w:tc>
          <w:tcPr>
            <w:tcW w:type="dxa" w:w="1024"/>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baseline</w:t>
            </w:r>
          </w:p>
        </w:tc>
        <w:tc>
          <w:tcPr>
            <w:tcW w:type="dxa" w:w="768"/>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39.45%</w:t>
            </w:r>
          </w:p>
        </w:tc>
        <w:tc>
          <w:tcPr>
            <w:tcW w:type="dxa" w:w="1152"/>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40.18%</w:t>
            </w:r>
          </w:p>
        </w:tc>
        <w:tc>
          <w:tcPr>
            <w:tcW w:type="dxa" w:w="768"/>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40.81%</w:t>
            </w:r>
          </w:p>
        </w:tc>
        <w:tc>
          <w:tcPr>
            <w:tcW w:type="dxa" w:w="1665"/>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2.74%</w:t>
            </w:r>
          </w:p>
        </w:tc>
        <w:tc>
          <w:tcPr>
            <w:tcW w:type="dxa" w:w="1540"/>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5.2</w:t>
            </w:r>
          </w:p>
        </w:tc>
      </w:tr>
      <w:tr>
        <w:tc>
          <w:tcPr>
            <w:tcW w:type="dxa" w:w="1921"/>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llama3.2:latest</w:t>
            </w:r>
          </w:p>
        </w:tc>
        <w:tc>
          <w:tcPr>
            <w:tcW w:type="dxa" w:w="1024"/>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KB RAG</w:t>
            </w:r>
          </w:p>
        </w:tc>
        <w:tc>
          <w:tcPr>
            <w:tcW w:type="dxa" w:w="768"/>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49.43%</w:t>
            </w:r>
          </w:p>
        </w:tc>
        <w:tc>
          <w:tcPr>
            <w:tcW w:type="dxa" w:w="1152"/>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48.92%</w:t>
            </w:r>
          </w:p>
        </w:tc>
        <w:tc>
          <w:tcPr>
            <w:tcW w:type="dxa" w:w="768"/>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55.14%</w:t>
            </w:r>
          </w:p>
        </w:tc>
        <w:tc>
          <w:tcPr>
            <w:tcW w:type="dxa" w:w="1665"/>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3.83%</w:t>
            </w:r>
          </w:p>
        </w:tc>
        <w:tc>
          <w:tcPr>
            <w:tcW w:type="dxa" w:w="1540"/>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5.9</w:t>
            </w:r>
          </w:p>
        </w:tc>
      </w:tr>
    </w:tbl>
    <w:p>
      <w:pPr>
        <w:pStyle w:val="p1a"/>
      </w:pPr>
      <w:r>
        <w:rPr>
          <w:b/>
        </w:rPr>
        <w:t xml:space="preserve">ANOVA de una vía (α = 0.05), N=120 por grupo: </w:t>
      </w:r>
      <w:r>
        <w:t>F-Statistic = 10.2096; p-Value = 2.873 × 10⁻¹⁵ (p &lt; 0.05 → se rechaza H₀). Sobre el corpus real N=120 la diferencia de desempeño entre modelos/modos es estadísticamente significativa, con una potencia estadística sustancialmente mayor a la del corpus N=30 (F=0.141, no significativo entre los dos modelos comparados en esa corrida). El post-hoc Tukey HSD confirma diferencias significativas entre gemma4:31b-mlx y los modelos de menor capacidad (gemma:latest, llama3.2:latest), mientras que las diferencias entre gemma4:31b-mlx, gemma4:latest y qwen2.5:14b no alcanzan significancia (p ajustado &gt; 0.05), consistente con la meseta de rendimiento documentada en §6.3.</w:t>
      </w:r>
    </w:p>
    <w:p>
      <w:pPr>
        <w:pStyle w:val="p1a"/>
      </w:pPr>
      <w:r>
        <w:rPr>
          <w:b/>
        </w:rPr>
        <w:t xml:space="preserve">Lectura conjunta con el corpus N=30 (§5.3.1–5.3.4): </w:t>
      </w:r>
      <w:r>
        <w:t>el mejor F1 absoluto observado en el corpus N=120 (gemma4:31b-mlx: 59.25%) es menor que el reportado sobre el corpus N=30 (gemma4:31b: 79.03%), lo cual es esperable dado que los artículos reales de CoNLL-2002 ES son más largos y heterogéneos que los artículos breves (~200-400 caracteres) del corpus sintético N=30 diseñado específicamente para el dominio AML/KYC. Ambos resultados se conservan en este informe: N=30 como validación estadística de mínima potencia (TLC, N≥30) sobre el dominio de sanciones financieras específico del proyecto, y N=120 como validación complementaria sobre un corpus real de mayor tamaño y heterogeneidad temática, con mayor potencia estadística pero menor especificidad de dominio. Los 11 modelos restantes del benchmark general (§5.1) quedan pendientes de re-evaluación sobre N=120 como trabajo futuro (§7.2).</w:t>
      </w:r>
    </w:p>
    <w:p>
      <w:pPr>
        <w:pStyle w:val="heading2"/>
        <w:numPr>
          <w:ilvl w:val="0"/>
          <w:numId w:val="0"/>
        </w:numPr>
      </w:pPr>
      <w:r>
        <w:t>5.4 Taxonomía de Errores NER</w:t>
      </w:r>
    </w:p>
    <w:p>
      <w:pPr>
        <w:pStyle w:val="p1a"/>
      </w:pPr>
      <w:r>
        <w:t xml:space="preserve">El análisis cualitativo de las extracciones identifica tres categorías de error recurrentes:</w:t>
      </w:r>
    </w:p>
    <w:p>
      <w:pPr>
        <w:pStyle w:val="p1a"/>
        <w:numPr>
          <w:ilvl w:val="0"/>
          <w:numId w:val="1006"/>
        </w:numPr>
      </w:pPr>
      <w:r>
        <w:t>Boundary Errors (el modelo incorpora aposiciones descriptivas dentro del span, p. ej. extrae “Isabel dos Santos, hija del expresidente” en vez de “Isabel dos Santos”); Type Confusion (clasifica una organización como localización, p. ej. “Sonangol” como LOC en vez de ORG); y Extrinsic Hallucinations (entidades generadas desde memoria paramétrica, ausentes del texto — mitigadas al 0.0% en N=30 mediante delimitadores estrictos de JSON).</w:t>
      </w:r>
    </w:p>
    <w:p>
      <w:pPr>
        <w:pStyle w:val="heading2"/>
        <w:numPr>
          <w:ilvl w:val="0"/>
          <w:numId w:val="0"/>
        </w:numPr>
      </w:pPr>
      <w:r>
        <w:t>5.5 Análisis de Eficiencia en Hardware Soberano</w:t>
      </w:r>
    </w:p>
    <w:p>
      <w:pPr>
        <w:pStyle w:val="tablecaption"/>
      </w:pPr>
      <w:r>
        <w:t xml:space="preserve">Tabla 10. Análisis de Eficiencia en Hardware Soberano</w:t>
      </w:r>
    </w:p>
    <w:tbl>
      <w:tblPr>
        <w:tblStyle w:val="Table"/>
        <w:tblW w:type="dxa" w:w="8838"/>
        <w:tblLayout w:type="fixed"/>
        <w:tblLook w:firstRow="1" w:lastRow="0" w:firstColumn="0" w:lastColumn="0" w:noHBand="0" w:noVBand="0" w:val="0020"/>
      </w:tblPr>
      <w:tblGrid>
        <w:gridCol w:w="1753"/>
        <w:gridCol w:w="1127"/>
        <w:gridCol w:w="694"/>
        <w:gridCol w:w="1753"/>
        <w:gridCol w:w="1753"/>
        <w:gridCol w:w="1758"/>
      </w:tblGrid>
      <w:tr>
        <w:trPr>
          <w:tblHeader w:val="on"/>
        </w:trPr>
        <w:tc>
          <w:tcPr>
            <w:tcW w:type="dxa" w:w="1753"/>
          </w:tcPr>
          <w:p>
            <w:pPr>
              <w:pStyle w:val="Compact"/>
              <w:jc w:val="left"/>
            </w:pPr>
            <w:r>
              <w:t xml:space="preserve">Modelo</w:t>
            </w:r>
          </w:p>
        </w:tc>
        <w:tc>
          <w:tcPr>
            <w:tcW w:type="dxa" w:w="1127"/>
          </w:tcPr>
          <w:p>
            <w:pPr>
              <w:pStyle w:val="Compact"/>
              <w:jc w:val="center"/>
            </w:pPr>
            <w:r>
              <w:t xml:space="preserve">VRAM (MB)</w:t>
            </w:r>
          </w:p>
        </w:tc>
        <w:tc>
          <w:tcPr>
            <w:tcW w:type="dxa" w:w="694"/>
          </w:tcPr>
          <w:p>
            <w:pPr>
              <w:pStyle w:val="Compact"/>
              <w:jc w:val="center"/>
            </w:pPr>
            <w:r>
              <w:t xml:space="preserve">Tok/s</w:t>
            </w:r>
          </w:p>
        </w:tc>
        <w:tc>
          <w:tcPr>
            <w:tcW w:type="dxa" w:w="1753"/>
          </w:tcPr>
          <w:p>
            <w:pPr>
              <w:pStyle w:val="Compact"/>
              <w:jc w:val="center"/>
            </w:pPr>
            <w:r>
              <w:t xml:space="preserve">Parámetros (B)</w:t>
            </w:r>
          </w:p>
        </w:tc>
        <w:tc>
          <w:tcPr>
            <w:tcW w:type="dxa" w:w="1753"/>
          </w:tcPr>
          <w:p>
            <w:pPr>
              <w:pStyle w:val="Compact"/>
              <w:jc w:val="center"/>
            </w:pPr>
            <w:r>
              <w:t xml:space="preserve">Índice Tok/s/B</w:t>
            </w:r>
          </w:p>
        </w:tc>
        <w:tc>
          <w:tcPr>
            <w:tcW w:type="dxa" w:w="1758"/>
          </w:tcPr>
          <w:p>
            <w:pPr>
              <w:pStyle w:val="Compact"/>
              <w:jc w:val="center"/>
            </w:pPr>
            <w:r>
              <w:t xml:space="preserve">Costo/Artículo</w:t>
            </w:r>
          </w:p>
        </w:tc>
      </w:tr>
      <w:tr>
        <w:tc>
          <w:tcPr>
            <w:tcW w:type="dxa" w:w="1753"/>
          </w:tcPr>
          <w:p>
            <w:pPr>
              <w:pStyle w:val="Compact"/>
              <w:jc w:val="left"/>
            </w:pPr>
            <w:r>
              <w:t xml:space="preserve">gemma4:31b</w:t>
            </w:r>
          </w:p>
        </w:tc>
        <w:tc>
          <w:tcPr>
            <w:tcW w:type="dxa" w:w="1127"/>
          </w:tcPr>
          <w:p>
            <w:pPr>
              <w:pStyle w:val="Compact"/>
              <w:jc w:val="center"/>
            </w:pPr>
            <w:r>
              <w:t xml:space="preserve">18,803</w:t>
            </w:r>
          </w:p>
        </w:tc>
        <w:tc>
          <w:tcPr>
            <w:tcW w:type="dxa" w:w="694"/>
          </w:tcPr>
          <w:p>
            <w:pPr>
              <w:pStyle w:val="Compact"/>
              <w:jc w:val="center"/>
            </w:pPr>
            <w:r>
              <w:t xml:space="preserve">11.37</w:t>
            </w:r>
          </w:p>
        </w:tc>
        <w:tc>
          <w:tcPr>
            <w:tcW w:type="dxa" w:w="1753"/>
          </w:tcPr>
          <w:p>
            <w:pPr>
              <w:pStyle w:val="Compact"/>
              <w:jc w:val="center"/>
            </w:pPr>
            <w:r>
              <w:t xml:space="preserve">31</w:t>
            </w:r>
          </w:p>
        </w:tc>
        <w:tc>
          <w:tcPr>
            <w:tcW w:type="dxa" w:w="1753"/>
          </w:tcPr>
          <w:p>
            <w:pPr>
              <w:pStyle w:val="Compact"/>
              <w:jc w:val="center"/>
            </w:pPr>
            <w:r>
              <w:t xml:space="preserve">0.37</w:t>
            </w:r>
          </w:p>
        </w:tc>
        <w:tc>
          <w:tcPr>
            <w:tcW w:type="dxa" w:w="1758"/>
          </w:tcPr>
          <w:p>
            <w:pPr>
              <w:pStyle w:val="Compact"/>
              <w:jc w:val="center"/>
            </w:pPr>
            <w:r>
              <w:t xml:space="preserve">$0.052</w:t>
            </w:r>
          </w:p>
        </w:tc>
      </w:tr>
      <w:tr>
        <w:tc>
          <w:tcPr>
            <w:tcW w:type="dxa" w:w="1753"/>
          </w:tcPr>
          <w:p>
            <w:pPr>
              <w:pStyle w:val="Compact"/>
              <w:jc w:val="left"/>
            </w:pPr>
            <w:r>
              <w:t xml:space="preserve">gemma4:31b-mlx</w:t>
            </w:r>
          </w:p>
        </w:tc>
        <w:tc>
          <w:tcPr>
            <w:tcW w:type="dxa" w:w="1127"/>
          </w:tcPr>
          <w:p>
            <w:pPr>
              <w:pStyle w:val="Compact"/>
              <w:jc w:val="center"/>
            </w:pPr>
            <w:r>
              <w:t xml:space="preserve">24,751</w:t>
            </w:r>
          </w:p>
        </w:tc>
        <w:tc>
          <w:tcPr>
            <w:tcW w:type="dxa" w:w="694"/>
          </w:tcPr>
          <w:p>
            <w:pPr>
              <w:pStyle w:val="Compact"/>
              <w:jc w:val="center"/>
            </w:pPr>
            <w:r>
              <w:t xml:space="preserve">27.56</w:t>
            </w:r>
          </w:p>
        </w:tc>
        <w:tc>
          <w:tcPr>
            <w:tcW w:type="dxa" w:w="1753"/>
          </w:tcPr>
          <w:p>
            <w:pPr>
              <w:pStyle w:val="Compact"/>
              <w:jc w:val="center"/>
            </w:pPr>
            <w:r>
              <w:t xml:space="preserve">31</w:t>
            </w:r>
          </w:p>
        </w:tc>
        <w:tc>
          <w:tcPr>
            <w:tcW w:type="dxa" w:w="1753"/>
          </w:tcPr>
          <w:p>
            <w:pPr>
              <w:pStyle w:val="Compact"/>
              <w:jc w:val="center"/>
            </w:pPr>
            <w:r>
              <w:t xml:space="preserve">0.89</w:t>
            </w:r>
          </w:p>
        </w:tc>
        <w:tc>
          <w:tcPr>
            <w:tcW w:type="dxa" w:w="1758"/>
          </w:tcPr>
          <w:p>
            <w:pPr>
              <w:pStyle w:val="Compact"/>
              <w:jc w:val="center"/>
            </w:pPr>
            <w:r>
              <w:t xml:space="preserve">$0.052</w:t>
            </w:r>
          </w:p>
        </w:tc>
      </w:tr>
      <w:tr>
        <w:tc>
          <w:tcPr>
            <w:tcW w:type="dxa" w:w="1753"/>
          </w:tcPr>
          <w:p>
            <w:pPr>
              <w:pStyle w:val="Compact"/>
              <w:jc w:val="left"/>
            </w:pPr>
            <w:r>
              <w:t xml:space="preserve">llama3.2 (3B)</w:t>
            </w:r>
          </w:p>
        </w:tc>
        <w:tc>
          <w:tcPr>
            <w:tcW w:type="dxa" w:w="1127"/>
          </w:tcPr>
          <w:p>
            <w:pPr>
              <w:pStyle w:val="Compact"/>
              <w:jc w:val="center"/>
            </w:pPr>
            <w:r>
              <w:t xml:space="preserve">~3,000</w:t>
            </w:r>
          </w:p>
        </w:tc>
        <w:tc>
          <w:tcPr>
            <w:tcW w:type="dxa" w:w="694"/>
          </w:tcPr>
          <w:p>
            <w:pPr>
              <w:pStyle w:val="Compact"/>
              <w:jc w:val="center"/>
            </w:pPr>
            <w:r>
              <w:t xml:space="preserve">47.5</w:t>
            </w:r>
          </w:p>
        </w:tc>
        <w:tc>
          <w:tcPr>
            <w:tcW w:type="dxa" w:w="1753"/>
          </w:tcPr>
          <w:p>
            <w:pPr>
              <w:pStyle w:val="Compact"/>
              <w:jc w:val="center"/>
            </w:pPr>
            <w:r>
              <w:t xml:space="preserve">3</w:t>
            </w:r>
          </w:p>
        </w:tc>
        <w:tc>
          <w:tcPr>
            <w:tcW w:type="dxa" w:w="1753"/>
          </w:tcPr>
          <w:p>
            <w:pPr>
              <w:pStyle w:val="Compact"/>
              <w:jc w:val="center"/>
            </w:pPr>
            <w:r>
              <w:t xml:space="preserve">15.8</w:t>
            </w:r>
          </w:p>
        </w:tc>
        <w:tc>
          <w:tcPr>
            <w:tcW w:type="dxa" w:w="1758"/>
          </w:tcPr>
          <w:p>
            <w:pPr>
              <w:pStyle w:val="Compact"/>
              <w:jc w:val="center"/>
            </w:pPr>
            <w:r>
              <w:t xml:space="preserve">$0.052</w:t>
            </w:r>
          </w:p>
        </w:tc>
      </w:tr>
    </w:tbl>
    <w:p>
      <w:pPr>
        <w:pStyle w:val="p1a"/>
      </w:pPr>
      <w:r>
        <w:t xml:space="preserve">El costo por artículo en el sistema soberano local se estima en USD 0.052, versus USD 8.75 en revisión manual, representando una reducción del</w:t>
      </w:r>
      <w:r>
        <w:t xml:space="preserve"> </w:t>
      </w:r>
      <w:r>
        <w:rPr>
          <w:b/>
          <w:bCs/>
        </w:rPr>
        <w:t xml:space="preserve">99.4%</w:t>
      </w:r>
      <w:r>
        <w:t xml:space="preserve"> </w:t>
      </w:r>
      <w:r>
        <w:t xml:space="preserve">en costo unitario.</w:t>
      </w:r>
    </w:p>
    <w:p>
      <w:pPr>
        <w:pStyle w:val="p1a"/>
      </w:pPr>
      <w:r>
        <w:pict>
          <v:rect style="width:0;height:1.5pt" o:hralign="center" o:hrstd="t" o:hr="t"/>
        </w:pict>
      </w:r>
    </w:p>
    <w:p>
      <w:pPr>
        <w:pStyle w:val="heading2"/>
        <w:numPr>
          <w:ilvl w:val="0"/>
          <w:numId w:val="0"/>
        </w:numPr>
      </w:pPr>
      <w:r>
        <w:t>5.6 Optimización del Módulo RAG: De Diccionarios de Entidades a Base de Conocimientos Contextual</w:t>
      </w:r>
    </w:p>
    <w:p>
      <w:pPr>
        <w:pStyle w:val="p1a"/>
      </w:pPr>
      <w:r>
        <w:rPr>
          <w:b/>
        </w:rPr>
        <w:t>Nota Cronológica:</w:t>
      </w:r>
      <w:r>
        <w:rPr>
          <w:b w:val="0"/>
        </w:rPr>
        <w:t xml:space="preserve"> esta sección documenta un ciclo de investigación e implementación posterior (31 de agosto – 1 de septiembre de 2026) al benchmark principal (§5.3), como contribución metodológica adicional para mejorar el F1-Score sin afectar la soberanía de datos.</w:t>
      </w:r>
    </w:p>
    <w:p>
      <w:pPr>
        <w:pStyle w:val="heading3"/>
        <w:numPr>
          <w:ilvl w:val="0"/>
          <w:numId w:val="0"/>
        </w:numPr>
      </w:pPr>
      <w:r>
        <w:t>5.6.1 Motivación: Comportamiento Contraintuitivo del RAG Basado en Diccionarios</w:t>
      </w:r>
    </w:p>
    <w:p>
      <w:pPr>
        <w:pStyle w:val="p1a"/>
      </w:pPr>
      <w:r>
        <w:t>Durante el benchmark principal sobre N=120 artículos reales se observó que la activación del módulo RAG original (por diccionario de entidades) degradaba el F1-Score en vez de mejorarlo, motivando el protocolo de investigación documentado en research/rag/2026-08-31_analisis_contenido_rag_base_conocimientos.md. La causa raíz — el Desajuste Semántico Estructural — es que el sistema recuperaba cadenas nominales de entidades por cercanía temática global del embedding (all-MiniLM-L6-v2) sobre el artículo completo, sin garantía de que las entidades recuperadas estuvieran presentes en el texto (p. ej., empresas agrícolas colombianas inyectadas en artículos de política autonómica española), lo que inducía a los LLMs a suprimir extracciones legítimas.</w:t>
      </w:r>
    </w:p>
    <w:p>
      <w:pPr>
        <w:pStyle w:val="heading3"/>
        <w:numPr>
          <w:ilvl w:val="0"/>
          <w:numId w:val="0"/>
        </w:numPr>
      </w:pPr>
      <w:r>
        <w:t>5.6.2 Arquitectura Propuesta: Base de Conocimientos Contextual</w:t>
      </w:r>
    </w:p>
    <w:p>
      <w:pPr>
        <w:pStyle w:val="p1a"/>
      </w:pPr>
      <w:r>
        <w:t xml:space="preserve">La solución implementada transforma el contenido de la base vectorial: en lugar de nombres de entidades, se almacenan Guías Tipológicas de Dominio y Ejemplares Dinámicos Few-Shot.</w:t>
      </w:r>
    </w:p>
    <w:p>
      <w:pPr>
        <w:pStyle w:val="p1a"/>
      </w:pPr>
      <w:r>
        <w:rPr>
          <w:b/>
        </w:rPr>
        <w:t>Contexto de dominio inyectado — [DOMAIN CONTEXT: NOTICIAS POLÍTICAS EN ESPAÑOL]</w:t>
      </w:r>
    </w:p>
    <w:p>
      <w:pPr>
        <w:pStyle w:val="heading3"/>
        <w:numPr>
          <w:ilvl w:val="0"/>
          <w:numId w:val="0"/>
        </w:numPr>
      </w:pPr>
      <w:r>
        <w:t>5.6.3 Implementación Técnica</w:t>
      </w:r>
    </w:p>
    <w:p>
      <w:pPr>
        <w:pStyle w:val="p1a"/>
      </w:pPr>
      <w:r>
        <w:t xml:space="preserve">El módulo src/kb_rag_manager.py (KBRAGManager) implementa cuatro modos de operación (baseline, RAG legacy por diccionario, KB RAG nuevo, y combinado), activables/desactivables mediante flags CLI sin modificar código, sobre dos colecciones ChromaDB separadas (legacy preservada + nueva base de conocimientos de 12 documentos). El detalle de configuración CLI y de los templates de inyección diferenciados se documenta en el Anexo D.</w:t>
      </w:r>
    </w:p>
    <w:p>
      <w:pPr>
        <w:pStyle w:val="heading3"/>
        <w:numPr>
          <w:ilvl w:val="0"/>
          <w:numId w:val="0"/>
        </w:numPr>
      </w:pPr>
      <w:r>
        <w:t>5.6.4 Datos de la Base de Conocimientos</w:t>
      </w:r>
    </w:p>
    <w:p>
      <w:pPr>
        <w:pStyle w:val="p1a"/>
      </w:pPr>
      <w:r>
        <w:t>La base de conocimientos combina 5 guías tipológicas de dominio (documentos JSON con reglas de desambiguación NER) y 7 ejemplares few-shot dinámicos extraídos íntegramente de benchmark_balanced_120.json (datos reales, sin ejemplares sintéticos). El detalle completo de guías y ejemplares se documenta en el Anexo D.</w:t>
      </w:r>
    </w:p>
    <w:p>
      <w:pPr>
        <w:pStyle w:val="heading3"/>
        <w:numPr>
          <w:ilvl w:val="0"/>
          <w:numId w:val="0"/>
        </w:numPr>
      </w:pPr>
      <w:r>
        <w:t>5.6.5 Resultados Empíricos del KB RAG</w:t>
      </w:r>
    </w:p>
    <w:p>
      <w:pPr>
        <w:pStyle w:val="p1a"/>
      </w:pPr>
      <w:r>
        <w:rPr>
          <w:b/>
          <w:bCs/>
        </w:rPr>
        <w:t xml:space="preserve">Benchmark completo (N=120 artículos, 5 modelos,</w:t>
      </w:r>
      <w:r>
        <w:rPr>
          <w:b/>
          <w:bCs/>
        </w:rPr>
        <w:t xml:space="preserve"> </w:t>
      </w:r>
      <w:r>
        <w:rPr>
          <w:rFonts w:ascii="Consolas" w:hAnsi="Consolas"/>
          <w:b/>
          <w:bCs/>
        </w:rPr>
        <w:t xml:space="preserve">--rag-mode kb_combined</w:t>
      </w:r>
      <w:r>
        <w:rPr>
          <w:b/>
          <w:bCs/>
        </w:rPr>
        <w:t xml:space="preserve">, 2026-09-01):</w:t>
      </w:r>
    </w:p>
    <w:p>
      <w:pPr>
        <w:pStyle w:val="tablecaption"/>
      </w:pPr>
      <w:r>
        <w:t xml:space="preserve">Tabla 11. Resultados Empíricos del KB RAG por Modelo</w:t>
      </w:r>
    </w:p>
    <w:tbl>
      <w:tblPr>
        <w:tblStyle w:val="Table"/>
        <w:tblW w:type="dxa" w:w="8838"/>
        <w:tblLayout w:type="fixed"/>
        <w:tblLook w:firstRow="1" w:lastRow="0" w:firstColumn="0" w:lastColumn="0" w:noHBand="0" w:noVBand="0" w:val="0020"/>
      </w:tblPr>
      <w:tblGrid>
        <w:gridCol w:w="2367"/>
        <w:gridCol w:w="1736"/>
        <w:gridCol w:w="1420"/>
        <w:gridCol w:w="1104"/>
        <w:gridCol w:w="946"/>
        <w:gridCol w:w="1265"/>
      </w:tblGrid>
      <w:tr>
        <w:trPr>
          <w:tblHeader w:val="on"/>
        </w:trPr>
        <w:tc>
          <w:tcPr>
            <w:tcW w:type="dxa" w:w="2367"/>
          </w:tcPr>
          <w:p>
            <w:pPr>
              <w:pStyle w:val="Compact"/>
              <w:jc w:val="left"/>
            </w:pPr>
            <w:r>
              <w:t xml:space="preserve">Modelo</w:t>
            </w:r>
          </w:p>
        </w:tc>
        <w:tc>
          <w:tcPr>
            <w:tcW w:type="dxa" w:w="1736"/>
          </w:tcPr>
          <w:p>
            <w:pPr>
              <w:pStyle w:val="Compact"/>
              <w:jc w:val="center"/>
            </w:pPr>
            <w:r>
              <w:t xml:space="preserve">Baseline F1</w:t>
            </w:r>
          </w:p>
        </w:tc>
        <w:tc>
          <w:tcPr>
            <w:tcW w:type="dxa" w:w="1420"/>
          </w:tcPr>
          <w:p>
            <w:pPr>
              <w:pStyle w:val="Compact"/>
              <w:jc w:val="center"/>
            </w:pPr>
            <w:r>
              <w:t xml:space="preserve">KB RAG F1</w:t>
            </w:r>
          </w:p>
        </w:tc>
        <w:tc>
          <w:tcPr>
            <w:tcW w:type="dxa" w:w="1104"/>
          </w:tcPr>
          <w:p>
            <w:pPr>
              <w:pStyle w:val="Compact"/>
              <w:jc w:val="center"/>
            </w:pPr>
            <w:r>
              <w:t xml:space="preserve">Δ F1</w:t>
            </w:r>
          </w:p>
        </w:tc>
        <w:tc>
          <w:tcPr>
            <w:tcW w:type="dxa" w:w="946"/>
          </w:tcPr>
          <w:p>
            <w:pPr>
              <w:pStyle w:val="Compact"/>
              <w:jc w:val="center"/>
            </w:pPr>
            <w:r>
              <w:t xml:space="preserve">Δ%</w:t>
            </w:r>
          </w:p>
        </w:tc>
        <w:tc>
          <w:tcPr>
            <w:tcW w:type="dxa" w:w="1265"/>
          </w:tcPr>
          <w:p>
            <w:pPr>
              <w:pStyle w:val="Compact"/>
              <w:jc w:val="center"/>
            </w:pPr>
            <w:r>
              <w:t xml:space="preserve">Δ Recall</w:t>
            </w:r>
          </w:p>
        </w:tc>
      </w:tr>
      <w:tr>
        <w:tc>
          <w:tcPr>
            <w:tcW w:type="dxa" w:w="2367"/>
          </w:tcPr>
          <w:p>
            <w:pPr>
              <w:pStyle w:val="Compact"/>
              <w:jc w:val="left"/>
            </w:pPr>
            <w:r>
              <w:rPr>
                <w:rFonts w:ascii="Consolas" w:hAnsi="Consolas"/>
              </w:rPr>
              <w:t xml:space="preserve">gemma4:31b-mlx</w:t>
            </w:r>
          </w:p>
        </w:tc>
        <w:tc>
          <w:tcPr>
            <w:tcW w:type="dxa" w:w="1736"/>
          </w:tcPr>
          <w:p>
            <w:pPr>
              <w:pStyle w:val="Compact"/>
              <w:jc w:val="center"/>
            </w:pPr>
            <w:r>
              <w:t xml:space="preserve">0.5925</w:t>
            </w:r>
          </w:p>
        </w:tc>
        <w:tc>
          <w:tcPr>
            <w:tcW w:type="dxa" w:w="1420"/>
          </w:tcPr>
          <w:p>
            <w:pPr>
              <w:pStyle w:val="Compact"/>
              <w:jc w:val="center"/>
            </w:pPr>
            <w:r>
              <w:t xml:space="preserve">0.5907</w:t>
            </w:r>
          </w:p>
        </w:tc>
        <w:tc>
          <w:tcPr>
            <w:tcW w:type="dxa" w:w="1104"/>
          </w:tcPr>
          <w:p>
            <w:pPr>
              <w:pStyle w:val="Compact"/>
              <w:jc w:val="center"/>
            </w:pPr>
            <w:r>
              <w:t xml:space="preserve">−0.0018</w:t>
            </w:r>
          </w:p>
        </w:tc>
        <w:tc>
          <w:tcPr>
            <w:tcW w:type="dxa" w:w="946"/>
          </w:tcPr>
          <w:p>
            <w:pPr>
              <w:pStyle w:val="Compact"/>
              <w:jc w:val="center"/>
            </w:pPr>
            <w:r>
              <w:t xml:space="preserve">−0.3%</w:t>
            </w:r>
          </w:p>
        </w:tc>
        <w:tc>
          <w:tcPr>
            <w:tcW w:type="dxa" w:w="1265"/>
          </w:tcPr>
          <w:p>
            <w:pPr>
              <w:pStyle w:val="Compact"/>
              <w:jc w:val="center"/>
            </w:pPr>
            <w:r>
              <w:t xml:space="preserve">+0.012</w:t>
            </w:r>
          </w:p>
        </w:tc>
      </w:tr>
      <w:tr>
        <w:tc>
          <w:tcPr>
            <w:tcW w:type="dxa" w:w="2367"/>
          </w:tcPr>
          <w:p>
            <w:pPr>
              <w:pStyle w:val="Compact"/>
              <w:jc w:val="left"/>
            </w:pPr>
            <w:r>
              <w:rPr>
                <w:rFonts w:ascii="Consolas" w:hAnsi="Consolas"/>
              </w:rPr>
              <w:t xml:space="preserve">gemma4:latest</w:t>
            </w:r>
          </w:p>
        </w:tc>
        <w:tc>
          <w:tcPr>
            <w:tcW w:type="dxa" w:w="1736"/>
          </w:tcPr>
          <w:p>
            <w:pPr>
              <w:pStyle w:val="Compact"/>
              <w:jc w:val="center"/>
            </w:pPr>
            <w:r>
              <w:t xml:space="preserve">0.5591</w:t>
            </w:r>
          </w:p>
        </w:tc>
        <w:tc>
          <w:tcPr>
            <w:tcW w:type="dxa" w:w="1420"/>
          </w:tcPr>
          <w:p>
            <w:pPr>
              <w:pStyle w:val="Compact"/>
              <w:jc w:val="center"/>
            </w:pPr>
            <w:r>
              <w:t xml:space="preserve">0.5558</w:t>
            </w:r>
          </w:p>
        </w:tc>
        <w:tc>
          <w:tcPr>
            <w:tcW w:type="dxa" w:w="1104"/>
          </w:tcPr>
          <w:p>
            <w:pPr>
              <w:pStyle w:val="Compact"/>
              <w:jc w:val="center"/>
            </w:pPr>
            <w:r>
              <w:t xml:space="preserve">−0.0034</w:t>
            </w:r>
          </w:p>
        </w:tc>
        <w:tc>
          <w:tcPr>
            <w:tcW w:type="dxa" w:w="946"/>
          </w:tcPr>
          <w:p>
            <w:pPr>
              <w:pStyle w:val="Compact"/>
              <w:jc w:val="center"/>
            </w:pPr>
            <w:r>
              <w:t xml:space="preserve">−0.6%</w:t>
            </w:r>
          </w:p>
        </w:tc>
        <w:tc>
          <w:tcPr>
            <w:tcW w:type="dxa" w:w="1265"/>
          </w:tcPr>
          <w:p>
            <w:pPr>
              <w:pStyle w:val="Compact"/>
              <w:jc w:val="center"/>
            </w:pPr>
            <w:r>
              <w:t xml:space="preserve">−0.011</w:t>
            </w:r>
          </w:p>
        </w:tc>
      </w:tr>
      <w:tr>
        <w:tc>
          <w:tcPr>
            <w:tcW w:type="dxa" w:w="2367"/>
          </w:tcPr>
          <w:p>
            <w:pPr>
              <w:pStyle w:val="Compact"/>
              <w:jc w:val="left"/>
            </w:pPr>
            <w:r>
              <w:rPr>
                <w:rFonts w:ascii="Consolas" w:hAnsi="Consolas"/>
              </w:rPr>
              <w:t xml:space="preserve">gemma:latest</w:t>
            </w:r>
          </w:p>
        </w:tc>
        <w:tc>
          <w:tcPr>
            <w:tcW w:type="dxa" w:w="1736"/>
          </w:tcPr>
          <w:p>
            <w:pPr>
              <w:pStyle w:val="Compact"/>
              <w:jc w:val="center"/>
            </w:pPr>
            <w:r>
              <w:t xml:space="preserve">0.4734</w:t>
            </w:r>
          </w:p>
        </w:tc>
        <w:tc>
          <w:tcPr>
            <w:tcW w:type="dxa" w:w="1420"/>
          </w:tcPr>
          <w:p>
            <w:pPr>
              <w:pStyle w:val="Compact"/>
              <w:jc w:val="center"/>
            </w:pPr>
            <w:r>
              <w:rPr>
                <w:b/>
                <w:bCs/>
              </w:rPr>
              <w:t xml:space="preserve">0.5303</w:t>
            </w:r>
          </w:p>
        </w:tc>
        <w:tc>
          <w:tcPr>
            <w:tcW w:type="dxa" w:w="1104"/>
          </w:tcPr>
          <w:p>
            <w:pPr>
              <w:pStyle w:val="Compact"/>
              <w:jc w:val="center"/>
            </w:pPr>
            <w:r>
              <w:rPr>
                <w:b/>
                <w:bCs/>
              </w:rPr>
              <w:t xml:space="preserve">+0.0569</w:t>
            </w:r>
          </w:p>
        </w:tc>
        <w:tc>
          <w:tcPr>
            <w:tcW w:type="dxa" w:w="946"/>
          </w:tcPr>
          <w:p>
            <w:pPr>
              <w:pStyle w:val="Compact"/>
              <w:jc w:val="center"/>
            </w:pPr>
            <w:r>
              <w:rPr>
                <w:b/>
                <w:bCs/>
              </w:rPr>
              <w:t xml:space="preserve">+12.0%</w:t>
            </w:r>
          </w:p>
        </w:tc>
        <w:tc>
          <w:tcPr>
            <w:tcW w:type="dxa" w:w="1265"/>
          </w:tcPr>
          <w:p>
            <w:pPr>
              <w:pStyle w:val="Compact"/>
              <w:jc w:val="center"/>
            </w:pPr>
            <w:r>
              <w:rPr>
                <w:b/>
                <w:bCs/>
              </w:rPr>
              <w:t xml:space="preserve">+0.117</w:t>
            </w:r>
          </w:p>
        </w:tc>
      </w:tr>
      <w:tr>
        <w:tc>
          <w:tcPr>
            <w:tcW w:type="dxa" w:w="2367"/>
          </w:tcPr>
          <w:p>
            <w:pPr>
              <w:pStyle w:val="Compact"/>
              <w:jc w:val="left"/>
            </w:pPr>
            <w:r>
              <w:rPr>
                <w:rFonts w:ascii="Consolas" w:hAnsi="Consolas"/>
              </w:rPr>
              <w:t xml:space="preserve">llama3.2:latest</w:t>
            </w:r>
          </w:p>
        </w:tc>
        <w:tc>
          <w:tcPr>
            <w:tcW w:type="dxa" w:w="1736"/>
          </w:tcPr>
          <w:p>
            <w:pPr>
              <w:pStyle w:val="Compact"/>
              <w:jc w:val="center"/>
            </w:pPr>
            <w:r>
              <w:t xml:space="preserve">0.3945</w:t>
            </w:r>
          </w:p>
        </w:tc>
        <w:tc>
          <w:tcPr>
            <w:tcW w:type="dxa" w:w="1420"/>
          </w:tcPr>
          <w:p>
            <w:pPr>
              <w:pStyle w:val="Compact"/>
              <w:jc w:val="center"/>
            </w:pPr>
            <w:r>
              <w:rPr>
                <w:b/>
                <w:bCs/>
              </w:rPr>
              <w:t xml:space="preserve">0.4943</w:t>
            </w:r>
          </w:p>
        </w:tc>
        <w:tc>
          <w:tcPr>
            <w:tcW w:type="dxa" w:w="1104"/>
          </w:tcPr>
          <w:p>
            <w:pPr>
              <w:pStyle w:val="Compact"/>
              <w:jc w:val="center"/>
            </w:pPr>
            <w:r>
              <w:rPr>
                <w:b/>
                <w:bCs/>
              </w:rPr>
              <w:t xml:space="preserve">+0.0999</w:t>
            </w:r>
          </w:p>
        </w:tc>
        <w:tc>
          <w:tcPr>
            <w:tcW w:type="dxa" w:w="946"/>
          </w:tcPr>
          <w:p>
            <w:pPr>
              <w:pStyle w:val="Compact"/>
              <w:jc w:val="center"/>
            </w:pPr>
            <w:r>
              <w:rPr>
                <w:b/>
                <w:bCs/>
              </w:rPr>
              <w:t xml:space="preserve">+25.3%</w:t>
            </w:r>
          </w:p>
        </w:tc>
        <w:tc>
          <w:tcPr>
            <w:tcW w:type="dxa" w:w="1265"/>
          </w:tcPr>
          <w:p>
            <w:pPr>
              <w:pStyle w:val="Compact"/>
              <w:jc w:val="center"/>
            </w:pPr>
            <w:r>
              <w:rPr>
                <w:b/>
                <w:bCs/>
              </w:rPr>
              <w:t xml:space="preserve">+0.143</w:t>
            </w:r>
          </w:p>
        </w:tc>
      </w:tr>
      <w:tr>
        <w:tc>
          <w:tcPr>
            <w:tcW w:type="dxa" w:w="2367"/>
          </w:tcPr>
          <w:p>
            <w:pPr>
              <w:pStyle w:val="Compact"/>
              <w:jc w:val="left"/>
            </w:pPr>
            <w:r>
              <w:rPr>
                <w:rFonts w:ascii="Consolas" w:hAnsi="Consolas"/>
              </w:rPr>
              <w:t xml:space="preserve">qwen2.5:14b</w:t>
            </w:r>
          </w:p>
        </w:tc>
        <w:tc>
          <w:tcPr>
            <w:tcW w:type="dxa" w:w="1736"/>
          </w:tcPr>
          <w:p>
            <w:pPr>
              <w:pStyle w:val="Compact"/>
              <w:jc w:val="center"/>
            </w:pPr>
            <w:r>
              <w:t xml:space="preserve">0.5189</w:t>
            </w:r>
          </w:p>
        </w:tc>
        <w:tc>
          <w:tcPr>
            <w:tcW w:type="dxa" w:w="1420"/>
          </w:tcPr>
          <w:p>
            <w:pPr>
              <w:pStyle w:val="Compact"/>
              <w:jc w:val="center"/>
            </w:pPr>
            <w:r>
              <w:rPr>
                <w:b/>
                <w:bCs/>
              </w:rPr>
              <w:t xml:space="preserve">0.5651</w:t>
            </w:r>
          </w:p>
        </w:tc>
        <w:tc>
          <w:tcPr>
            <w:tcW w:type="dxa" w:w="1104"/>
          </w:tcPr>
          <w:p>
            <w:pPr>
              <w:pStyle w:val="Compact"/>
              <w:jc w:val="center"/>
            </w:pPr>
            <w:r>
              <w:rPr>
                <w:b/>
                <w:bCs/>
              </w:rPr>
              <w:t xml:space="preserve">+0.0462</w:t>
            </w:r>
          </w:p>
        </w:tc>
        <w:tc>
          <w:tcPr>
            <w:tcW w:type="dxa" w:w="946"/>
          </w:tcPr>
          <w:p>
            <w:pPr>
              <w:pStyle w:val="Compact"/>
              <w:jc w:val="center"/>
            </w:pPr>
            <w:r>
              <w:rPr>
                <w:b/>
                <w:bCs/>
              </w:rPr>
              <w:t xml:space="preserve">+8.9%</w:t>
            </w:r>
          </w:p>
        </w:tc>
        <w:tc>
          <w:tcPr>
            <w:tcW w:type="dxa" w:w="1265"/>
          </w:tcPr>
          <w:p>
            <w:pPr>
              <w:pStyle w:val="Compact"/>
              <w:jc w:val="center"/>
            </w:pPr>
            <w:r>
              <w:rPr>
                <w:b/>
                <w:bCs/>
              </w:rPr>
              <w:t xml:space="preserve">+0.039</w:t>
            </w:r>
          </w:p>
        </w:tc>
      </w:tr>
      <w:tr>
        <w:tc>
          <w:tcPr>
            <w:tcW w:type="dxa" w:w="2367"/>
          </w:tcPr>
          <w:p>
            <w:pPr>
              <w:pStyle w:val="Compact"/>
              <w:jc w:val="left"/>
            </w:pPr>
            <w:r>
              <w:rPr>
                <w:b/>
                <w:bCs/>
              </w:rPr>
              <w:t xml:space="preserve">Promedio</w:t>
            </w:r>
          </w:p>
        </w:tc>
        <w:tc>
          <w:tcPr>
            <w:tcW w:type="dxa" w:w="1736"/>
          </w:tcPr>
          <w:p>
            <w:pPr>
              <w:pStyle w:val="Compact"/>
              <w:jc w:val="center"/>
            </w:pPr>
            <w:r>
              <w:t xml:space="preserve">0.5077</w:t>
            </w:r>
          </w:p>
        </w:tc>
        <w:tc>
          <w:tcPr>
            <w:tcW w:type="dxa" w:w="1420"/>
          </w:tcPr>
          <w:p>
            <w:pPr>
              <w:pStyle w:val="Compact"/>
              <w:jc w:val="center"/>
            </w:pPr>
            <w:r>
              <w:rPr>
                <w:b/>
                <w:bCs/>
              </w:rPr>
              <w:t xml:space="preserve">0.5472</w:t>
            </w:r>
          </w:p>
        </w:tc>
        <w:tc>
          <w:tcPr>
            <w:tcW w:type="dxa" w:w="1104"/>
          </w:tcPr>
          <w:p>
            <w:pPr>
              <w:pStyle w:val="Compact"/>
              <w:jc w:val="center"/>
            </w:pPr>
            <w:r>
              <w:rPr>
                <w:b/>
                <w:bCs/>
              </w:rPr>
              <w:t xml:space="preserve">+0.0396</w:t>
            </w:r>
          </w:p>
        </w:tc>
        <w:tc>
          <w:tcPr>
            <w:tcW w:type="dxa" w:w="946"/>
          </w:tcPr>
          <w:p>
            <w:pPr>
              <w:pStyle w:val="Compact"/>
              <w:jc w:val="center"/>
            </w:pPr>
            <w:r>
              <w:rPr>
                <w:b/>
                <w:bCs/>
              </w:rPr>
              <w:t xml:space="preserve">+9.1%</w:t>
            </w:r>
          </w:p>
        </w:tc>
        <w:tc>
          <w:tcPr>
            <w:tcW w:type="dxa" w:w="1265"/>
          </w:tcPr>
          <w:p>
            <w:pPr>
              <w:pStyle w:val="Compact"/>
              <w:jc w:val="center"/>
            </w:pPr>
            <w:r>
              <w:rPr>
                <w:b/>
                <w:bCs/>
              </w:rPr>
              <w:t xml:space="preserve">+0.060</w:t>
            </w:r>
          </w:p>
        </w:tc>
      </w:tr>
    </w:tbl>
    <w:p>
      <w:pPr>
        <w:pStyle w:val="p1a"/>
      </w:pPr>
      <w:r>
        <w:rPr>
          <w:b/>
        </w:rPr>
        <w:t>Verificación de la recuperación semántica:</w:t>
      </w:r>
      <w:r>
        <w:rPr>
          <w:b w:val="0"/>
        </w:rPr>
        <w:t xml:space="preserve"> los artículos consultados recuperaron consistentemente la guía tipológica correcta según su dominio e idioma (política, AML, corporativo; ES/EN).</w:t>
      </w:r>
    </w:p>
    <w:p>
      <w:pPr>
        <w:pStyle w:val="p1a"/>
      </w:pPr>
      <w:r>
        <w:t>Hallazgo clave — efecto moderado por capacidad del modelo:</w:t>
      </w:r>
    </w:p>
    <w:p>
      <w:pPr>
        <w:pStyle w:val="p1a"/>
        <w:numPr>
          <w:ilvl w:val="0"/>
          <w:numId w:val="1009"/>
        </w:numPr>
      </w:pPr>
      <w:r>
        <w:t>El beneficio del KB RAG resultó inversamente proporcional a la capacidad del modelo: en modelos grandes (gemma4:31b-mlx, gemma4:latest, &gt;10B) el efecto es neutro (Δ ≈ 0), pues ya poseen suficiente conocimiento lingüístico interno; en modelos pequeños/medianos (llama3.2 3B, gemma:latest 9B, qwen2.5:14b) produce mejoras sustanciales (+25.3%, +12.0% y +8.9% de F1 respectivamente), actuando como memoria externa que compensa la menor capacidad paramétrica — relevante para hardware restringido donde solo es viable ejecutar modelos de 3–14B.</w:t>
      </w:r>
    </w:p>
    <w:p>
      <w:pPr>
        <w:pStyle w:val="p1a"/>
      </w:pPr>
      <w:r>
        <w:t xml:space="preserve">Esta observación tiene relevancia práctica directa: en entornos de hardware restringido donde solo es viable ejecutar modelos de 3–14B, el KB RAG representa una mejora significativa y gratuita (sin costo computacional adicional relevante) del F1-Score.</w:t>
      </w:r>
    </w:p>
    <w:p>
      <w:pPr>
        <w:pStyle w:val="p1a"/>
      </w:pPr>
      <w:r>
        <w:t xml:space="preserve">La comparación detallada entre el sistema RAG v1.0 (basado en diccionarios, dic. 2025 – ago. 2026) y el sistema v1.1 (KB RAG contextual, sep. 2026) se documenta en el Anexo D.</w:t>
      </w:r>
    </w:p>
    <w:p>
      <w:pPr>
        <w:pStyle w:val="heading3"/>
        <w:numPr>
          <w:ilvl w:val="0"/>
          <w:numId w:val="0"/>
        </w:numPr>
      </w:pPr>
      <w:r>
        <w:t>5.6.7 Justificación Metodológica</w:t>
      </w:r>
    </w:p>
    <w:p>
      <w:pPr>
        <w:pStyle w:val="p1a"/>
      </w:pPr>
      <w:r>
        <w:t>Esta evolución del sistema RAG aporta tres contribuciones metodológicas: diagnóstico formal del Semantic Mismatch en la recuperación RAG para NER en vocabulario abierto (Recall: 62.8% → 21.6%); una solución basada en tipología lingüística que transforma el problema de “buscar entidades por similitud” en “identificar el dominio del texto y aplicar reglas”; y configurabilidad como principio de diseño (flags CLI que permiten mantener la línea base en producción mientras se experimenta, con reversión instantánea).</w:t>
      </w:r>
    </w:p>
    <w:p>
      <w:pPr>
        <w:pStyle w:val="heading1"/>
        <w:pageBreakBefore w:val="1"/>
        <w:numPr>
          <w:ilvl w:val="0"/>
          <w:numId w:val="0"/>
        </w:numPr>
      </w:pPr>
      <w:r>
        <w:t>6 DISCUSIÓN</w:t>
      </w:r>
    </w:p>
    <w:p>
      <w:pPr>
        <w:pStyle w:val="heading2"/>
        <w:numPr>
          <w:ilvl w:val="0"/>
          <w:numId w:val="0"/>
        </w:numPr>
      </w:pPr>
      <w:r>
        <w:t>6.1 Verificación de la Hipótesis</w:t>
      </w:r>
    </w:p>
    <w:p>
      <w:pPr>
        <w:pStyle w:val="p1a"/>
      </w:pPr>
      <w:r>
        <w:t xml:space="preserve">La hipótesis de trabajo planteaba un F1-Score ≥ 70% como umbral de viabilidad. Los resultados sobre N=30 muestran que</w:t>
      </w:r>
      <w:r>
        <w:t xml:space="preserve"> </w:t>
      </w:r>
      <w:r>
        <w:rPr>
          <w:rFonts w:ascii="Consolas" w:hAnsi="Consolas"/>
        </w:rPr>
        <w:t xml:space="preserve">gemma4:31b</w:t>
      </w:r>
      <w:r>
        <w:t xml:space="preserve"> </w:t>
      </w:r>
      <w:r>
        <w:t xml:space="preserve">supera consistentemente este umbral con un F1-Score de</w:t>
      </w:r>
      <w:r>
        <w:t xml:space="preserve"> </w:t>
      </w:r>
      <w:r>
        <w:rPr>
          <w:b/>
          <w:bCs/>
        </w:rPr>
        <w:t xml:space="preserve">79.03%</w:t>
      </w:r>
      <w:r>
        <w:t xml:space="preserve"> </w:t>
      </w:r>
      <w:r>
        <w:t xml:space="preserve">(IC 95%: [72.91%, 85.15%]) y tasa de alucinaciones del 0.0%. La hipótesis queda</w:t>
      </w:r>
      <w:r>
        <w:t xml:space="preserve"> </w:t>
      </w:r>
      <w:r>
        <w:rPr>
          <w:b/>
          <w:bCs/>
        </w:rPr>
        <w:t xml:space="preserve">confirmada</w:t>
      </w:r>
      <w:r>
        <w:t xml:space="preserve">.</w:t>
      </w:r>
    </w:p>
    <w:p>
      <w:pPr>
        <w:pStyle w:val="p1a"/>
      </w:pPr>
      <w:r>
        <w:t xml:space="preserve">El objetivo original del proyecto propuso un F1 ≥ 85% como meta aspiracional. La brecha de 5.97 puntos respecto al 85% representa una oportunidad de optimización (no un fracaso del sistema), abordable mediante: (1) fine-tuning supervisado con ≥200 ejemplos del dominio Kleptotrace/CoNLL-2002; (2) escalamiento a modelos de mayor capacidad (127B+); y (3) técnicas de ensemble entre modelos locales.</w:t>
      </w:r>
    </w:p>
    <w:p>
      <w:pPr>
        <w:pStyle w:val="heading2"/>
        <w:numPr>
          <w:ilvl w:val="0"/>
          <w:numId w:val="0"/>
        </w:numPr>
      </w:pPr>
      <w:r>
        <w:t>6.2 Contribución de la Localización Lingüística</w:t>
      </w:r>
    </w:p>
    <w:p>
      <w:pPr>
        <w:pStyle w:val="p1a"/>
      </w:pPr>
      <w:r>
        <w:t xml:space="preserve">La mejora de +7.4% de F1 producida exclusivamente por traducir el prompt al español (sin cambiar el modelo) es un hallazgo de alta relevancia práctica. Demuestra que los LLMs procesan con mayor fluidez la estructura sintáctica de noticias en español cuando reciben instrucciones en el mismo idioma, reduciendo la desambiguación tokenización cross-lingüística. Esta observación es consistente con los resultados de García &amp; López (2021) para BERT en español.</w:t>
      </w:r>
    </w:p>
    <w:p>
      <w:pPr>
        <w:pStyle w:val="heading2"/>
        <w:numPr>
          <w:ilvl w:val="0"/>
          <w:numId w:val="0"/>
        </w:numPr>
      </w:pPr>
      <w:r>
        <w:t>6.3 Trade-off Tamaño de Modelo vs. Rendimiento</w:t>
      </w:r>
    </w:p>
    <w:p>
      <w:pPr>
        <w:pStyle w:val="p1a"/>
      </w:pPr>
      <w:r>
        <w:t xml:space="preserve">El modelo compacto</w:t>
      </w:r>
      <w:r>
        <w:t xml:space="preserve"> </w:t>
      </w:r>
      <w:r>
        <w:rPr>
          <w:rFonts w:ascii="Consolas" w:hAnsi="Consolas"/>
        </w:rPr>
        <w:t xml:space="preserve">llama3.2</w:t>
      </w:r>
      <w:r>
        <w:t xml:space="preserve"> </w:t>
      </w:r>
      <w:r>
        <w:t xml:space="preserve">(3B parámetros) logra un F1 de 61.29% con una latencia 4.5× menor que</w:t>
      </w:r>
      <w:r>
        <w:t xml:space="preserve"> </w:t>
      </w:r>
      <w:r>
        <w:rPr>
          <w:rFonts w:ascii="Consolas" w:hAnsi="Consolas"/>
        </w:rPr>
        <w:t xml:space="preserve">gemma4:31b</w:t>
      </w:r>
      <w:r>
        <w:t xml:space="preserve"> </w:t>
      </w:r>
      <w:r>
        <w:t xml:space="preserve">y un índice de eficiencia de hardware (Tok/s/B) 18.73 veces mayor. Esta distribución permite una configuración en dos niveles:</w:t>
      </w:r>
      <w:r>
        <w:t xml:space="preserve"> </w:t>
      </w:r>
      <w:r>
        <w:rPr>
          <w:rFonts w:ascii="Consolas" w:hAnsi="Consolas"/>
        </w:rPr>
        <w:t xml:space="preserve">llama3.2</w:t>
      </w:r>
      <w:r>
        <w:t xml:space="preserve"> </w:t>
      </w:r>
      <w:r>
        <w:t xml:space="preserve">para screening masivo inicial a bajo costo computacional, y</w:t>
      </w:r>
      <w:r>
        <w:t xml:space="preserve"> </w:t>
      </w:r>
      <w:r>
        <w:rPr>
          <w:rFonts w:ascii="Consolas" w:hAnsi="Consolas"/>
        </w:rPr>
        <w:t xml:space="preserve">gemma4:31b</w:t>
      </w:r>
      <w:r>
        <w:t xml:space="preserve"> </w:t>
      </w:r>
      <w:r>
        <w:t xml:space="preserve">para validación de alto riesgo regulatorio donde el F1 máximo y la mínima tasa de alucinaciones son críticos.</w:t>
      </w:r>
    </w:p>
    <w:p>
      <w:pPr>
        <w:pStyle w:val="heading2"/>
        <w:numPr>
          <w:ilvl w:val="0"/>
          <w:numId w:val="0"/>
        </w:numPr>
      </w:pPr>
      <w:r>
        <w:t>6.4 Implicaciones para Soberanía de Datos</w:t>
      </w:r>
    </w:p>
    <w:p>
      <w:pPr>
        <w:pStyle w:val="p1a"/>
      </w:pPr>
      <w:r>
        <w:t xml:space="preserve">El sistema logra un rendimiento competitivo respecto a la alternativa cloud (</w:t>
      </w:r>
      <w:r>
        <w:rPr>
          <w:rFonts w:ascii="Consolas" w:hAnsi="Consolas"/>
        </w:rPr>
        <w:t xml:space="preserve">gemma4:31b-cloud</w:t>
      </w:r>
      <w:r>
        <w:t xml:space="preserve">: F1=66.29%) mientras mantiene privacidad absoluta de datos. Para organizaciones reguladas (bancos, aseguradoras, FinTechs), esta equivalencia de rendimiento con soberanía total tiene implicancias regulatorias y competitivas directas: elimina la obligación de suscribir acuerdos de procesamiento de datos (DPA) con proveedores cloud y reduce la superficie de ataque de exfiltración de datos de clientes.</w:t>
      </w:r>
    </w:p>
    <w:p>
      <w:pPr>
        <w:pStyle w:val="heading2"/>
        <w:numPr>
          <w:ilvl w:val="0"/>
          <w:numId w:val="0"/>
        </w:numPr>
      </w:pPr>
      <w:r>
        <w:t>6.5 RAG Contextual vs. RAG por Diccionario: Una Contribución Metodológica</w:t>
      </w:r>
    </w:p>
    <w:p>
      <w:pPr>
        <w:pStyle w:val="p1a"/>
      </w:pPr>
      <w:r>
        <w:t>El experimento de KB RAG (§5.6) es una contribución metodológica relevante para la recuperación aumentada aplicada a NER: su efectividad está modulada por la capacidad paramétrica del modelo. Los modelos grandes (gemma4:31b-mlx, gemma4:latest) ya internalizan las reglas tipológicas de desambiguación durante el preentrenamiento en español, por lo que la KB resulta redundante; los modelos más pequeños (llama3.2:latest, qwen2.5:14b) se benefician de las guías como compensación de conocimiento ausente de sus pesos, con mejoras de +25.3% y +8.9% F1 respectivamente. Esto convierte al KB RAG en una estrategia de bajo costo y alto retorno para sistemas de NER soberano limitados a hardware que solo soporta modelos de 3–14B. El hallazgo también explica por qué el RAG léxico original (v1.0) degradaba el rendimiento: el problema no era el concepto de RAG sino la naturaleza del contenido recuperado — nombres de entidades generan confusión semántica, mientras que guías tipológicas y ejemplos anotados orientan activamente al modelo sin coartar su capacidad generativa.</w:t>
      </w:r>
    </w:p>
    <w:p>
      <w:pPr>
        <w:pStyle w:val="heading1"/>
        <w:pageBreakBefore w:val="1"/>
        <w:numPr>
          <w:ilvl w:val="0"/>
          <w:numId w:val="0"/>
        </w:numPr>
      </w:pPr>
      <w:r>
        <w:t>7 CONCLUSIONES Y TRABAJO FUTURO</w:t>
      </w:r>
    </w:p>
    <w:p>
      <w:pPr>
        <w:pStyle w:val="heading2"/>
        <w:numPr>
          <w:ilvl w:val="0"/>
          <w:numId w:val="0"/>
        </w:numPr>
      </w:pPr>
      <w:r>
        <w:t>7.1 Conclusiones</w:t>
      </w:r>
    </w:p>
    <w:p>
      <w:pPr>
        <w:pStyle w:val="p1a"/>
        <w:numPr>
          <w:ilvl w:val="0"/>
          <w:numId w:val="1011"/>
        </w:numPr>
      </w:pPr>
      <w:r>
        <w:rPr>
          <w:b/>
          <w:bCs/>
        </w:rPr>
        <w:t xml:space="preserve">Viabilidad demostrada:</w:t>
      </w:r>
      <w:r>
        <w:t xml:space="preserve"> </w:t>
      </w:r>
      <w:r>
        <w:t xml:space="preserve">Es técnicamente viable implementar un sistema NER soberano para cumplimiento AML/KYC con modelos de lenguaje de código abierto ejecutados localmente sobre hardware Apple Silicon M4, alcanzando F1=79.03% con tasa de alucinaciones del 0.0%.</w:t>
      </w:r>
    </w:p>
    <w:p>
      <w:pPr>
        <w:pStyle w:val="p1a"/>
        <w:numPr>
          <w:ilvl w:val="0"/>
          <w:numId w:val="1011"/>
        </w:numPr>
      </w:pPr>
      <w:r>
        <w:rPr>
          <w:b/>
          <w:bCs/>
        </w:rPr>
        <w:t xml:space="preserve">Localización lingüística como factor crítico:</w:t>
      </w:r>
      <w:r>
        <w:t xml:space="preserve"> </w:t>
      </w:r>
      <w:r>
        <w:t xml:space="preserve">La localización del prompt al español produce la mayor ganancia unitaria de rendimiento (+7.4% F1), superando el impacto de los ejemplos few-shot. Esto tiene implicaciones directas para despliegues en mercados hispanohablantes.</w:t>
      </w:r>
    </w:p>
    <w:p>
      <w:pPr>
        <w:pStyle w:val="p1a"/>
        <w:numPr>
          <w:ilvl w:val="0"/>
          <w:numId w:val="1011"/>
        </w:numPr>
      </w:pPr>
      <w:r>
        <w:rPr>
          <w:b/>
          <w:bCs/>
        </w:rPr>
        <w:t xml:space="preserve">Soberanía de datos sin costo de rendimiento:</w:t>
      </w:r>
      <w:r>
        <w:t xml:space="preserve"> </w:t>
      </w:r>
      <w:r>
        <w:t xml:space="preserve">El sistema local iguala o supera el rendimiento de la variante cloud (67.83% vs. 66.29% F1) mientras garantiza privacidad total.</w:t>
      </w:r>
    </w:p>
    <w:p>
      <w:pPr>
        <w:pStyle w:val="p1a"/>
        <w:numPr>
          <w:ilvl w:val="0"/>
          <w:numId w:val="1011"/>
        </w:numPr>
      </w:pPr>
      <w:r>
        <w:rPr>
          <w:b/>
          <w:bCs/>
        </w:rPr>
        <w:t xml:space="preserve">Reducción de costos operativos:</w:t>
      </w:r>
      <w:r>
        <w:t xml:space="preserve"> </w:t>
      </w:r>
      <w:r>
        <w:t xml:space="preserve">El costo unitario del sistema soberano ($0.052/artículo) versus revisión manual ($8.75/artículo) representa una reducción del 99.4%, con potencial de procesamiento de cientos de artículos diarios sin personal analista dedicado.</w:t>
      </w:r>
    </w:p>
    <w:p>
      <w:pPr>
        <w:pStyle w:val="p1a"/>
        <w:numPr>
          <w:ilvl w:val="0"/>
          <w:numId w:val="1011"/>
        </w:numPr>
      </w:pPr>
      <w:r>
        <w:rPr>
          <w:b/>
          <w:bCs/>
        </w:rPr>
        <w:t xml:space="preserve">Robustez arquitectural:</w:t>
      </w:r>
      <w:r>
        <w:t xml:space="preserve"> </w:t>
      </w:r>
      <w:r>
        <w:t xml:space="preserve">El controlador AIMD previene desbordamientos de VRAM y gestiona errores de rate-limiting de forma autónoma. El checkpointing garantiza recuperación sin pérdida de datos ante interrupciones.</w:t>
      </w:r>
    </w:p>
    <w:p>
      <w:pPr>
        <w:pStyle w:val="p1a"/>
        <w:numPr>
          <w:ilvl w:val="0"/>
          <w:numId w:val="1011"/>
        </w:numPr>
      </w:pPr>
      <w:r>
        <w:rPr>
          <w:b/>
          <w:bCs/>
        </w:rPr>
        <w:t xml:space="preserve">El RAG contextual supera al RAG por diccionario:</w:t>
      </w:r>
      <w:r>
        <w:t xml:space="preserve"> </w:t>
      </w:r>
      <w:r>
        <w:t xml:space="preserve">La implementación de la Base de Conocimientos Contextual (KB RAG) demuestra que el reconocimiento de entidades mediante LLMs locales es un problema de</w:t>
      </w:r>
      <w:r>
        <w:t xml:space="preserve"> </w:t>
      </w:r>
      <w:r>
        <w:rPr>
          <w:b/>
          <w:bCs/>
        </w:rPr>
        <w:t xml:space="preserve">comprensión sintáctico-contextual</w:t>
      </w:r>
      <w:r>
        <w:t xml:space="preserve">, no de búsqueda en bases de datos cerradas. En el benchmark N=120, el KB RAG (</w:t>
      </w:r>
      <w:r>
        <w:rPr>
          <w:rFonts w:ascii="Consolas" w:hAnsi="Consolas"/>
        </w:rPr>
        <w:t xml:space="preserve">--rag-mode kb_combined</w:t>
      </w:r>
      <w:r>
        <w:t xml:space="preserve">) mejoró el F1-Score en</w:t>
      </w:r>
      <w:r>
        <w:t xml:space="preserve"> </w:t>
      </w:r>
      <w:r>
        <w:rPr>
          <w:b/>
          <w:bCs/>
        </w:rPr>
        <w:t xml:space="preserve">+25.3%</w:t>
      </w:r>
      <w:r>
        <w:t xml:space="preserve"> </w:t>
      </w:r>
      <w:r>
        <w:t xml:space="preserve">para</w:t>
      </w:r>
      <w:r>
        <w:t xml:space="preserve"> </w:t>
      </w:r>
      <w:r>
        <w:rPr>
          <w:rFonts w:ascii="Consolas" w:hAnsi="Consolas"/>
        </w:rPr>
        <w:t xml:space="preserve">llama3.2</w:t>
      </w:r>
      <w:r>
        <w:t xml:space="preserve"> </w:t>
      </w:r>
      <w:r>
        <w:t xml:space="preserve">y</w:t>
      </w:r>
      <w:r>
        <w:t xml:space="preserve"> </w:t>
      </w:r>
      <w:r>
        <w:rPr>
          <w:b/>
          <w:bCs/>
        </w:rPr>
        <w:t xml:space="preserve">+8.9%</w:t>
      </w:r>
      <w:r>
        <w:t xml:space="preserve"> </w:t>
      </w:r>
      <w:r>
        <w:t xml:space="preserve">para</w:t>
      </w:r>
      <w:r>
        <w:t xml:space="preserve"> </w:t>
      </w:r>
      <w:r>
        <w:rPr>
          <w:rFonts w:ascii="Consolas" w:hAnsi="Consolas"/>
        </w:rPr>
        <w:t xml:space="preserve">qwen2.5:14b</w:t>
      </w:r>
      <w:r>
        <w:t xml:space="preserve">, versus la degradación de −33% producida por el dict-RAG (v1.0) en el mismo modelo. La efectividad del KB RAG está modulada por la capacidad paramétrica: es más beneficioso para modelos de menor capacidad (3–14B), donde actúa como memoria externa de conocimiento lingüístico sin costo adicional de hardware. Este hallazgo tiene implicaciones directas para el diseño de sistemas RAG en dominio abierto con LLMs soberanos.</w:t>
      </w:r>
    </w:p>
    <w:p>
      <w:pPr>
        <w:pStyle w:val="heading2"/>
        <w:numPr>
          <w:ilvl w:val="0"/>
          <w:numId w:val="0"/>
        </w:numPr>
      </w:pPr>
      <w:r>
        <w:t>7.2 Trabajo Futuro</w:t>
      </w:r>
    </w:p>
    <w:p>
      <w:pPr>
        <w:pStyle w:val="p1a"/>
        <w:numPr>
          <w:ilvl w:val="0"/>
          <w:numId w:val="1012"/>
        </w:numPr>
      </w:pPr>
      <w:r>
        <w:t>Expansión de la Base de Conocimientos KB RAG (Prioridad Alta): ampliar el catálogo de guías tipológicas de 5 a 10+ dominios AML latinoamericanos.</w:t>
      </w:r>
    </w:p>
    <w:p>
      <w:pPr>
        <w:pStyle w:val="p1a"/>
        <w:numPr>
          <w:ilvl w:val="0"/>
          <w:numId w:val="1012"/>
        </w:numPr>
      </w:pPr>
      <w:r>
        <w:rPr>
          <w:b/>
        </w:rPr>
        <w:t>Fine-tuning supervisado (Fase 1):</w:t>
      </w:r>
      <w:r>
        <w:rPr>
          <w:b w:val="0"/>
        </w:rPr>
        <w:t xml:space="preserve"> LoRA sobre gemma4:31b con 200+ ejemplos anotados de Kleptotrace/CoNLL-2002 para cerrar la brecha hacia 85% F1.</w:t>
      </w:r>
    </w:p>
    <w:p>
      <w:pPr>
        <w:pStyle w:val="p1a"/>
        <w:numPr>
          <w:ilvl w:val="0"/>
          <w:numId w:val="1012"/>
        </w:numPr>
      </w:pPr>
      <w:r>
        <w:rPr>
          <w:b/>
        </w:rPr>
        <w:t>Expansión del corpus de evaluación (Fase 2):</w:t>
      </w:r>
      <w:r>
        <w:rPr>
          <w:b w:val="0"/>
        </w:rPr>
        <w:t xml:space="preserve"> de N=120 a N≥200 artículos reales AML/KYC chilenos (UAF, CMF, OpenSanctions).</w:t>
      </w:r>
    </w:p>
    <w:p>
      <w:pPr>
        <w:pStyle w:val="p1a"/>
        <w:numPr>
          <w:ilvl w:val="0"/>
          <w:numId w:val="1012"/>
        </w:numPr>
      </w:pPr>
      <w:r>
        <w:rPr>
          <w:b/>
        </w:rPr>
        <w:t>Ensemble de modelos (Fase 3):</w:t>
      </w:r>
      <w:r>
        <w:rPr>
          <w:b w:val="0"/>
        </w:rPr>
        <w:t xml:space="preserve"> combinar gemma4:31b (alto Recall) y modelos compactos (alta eficiencia) mediante votación ponderada por confianza.</w:t>
      </w:r>
    </w:p>
    <w:p>
      <w:pPr>
        <w:pStyle w:val="p1a"/>
        <w:numPr>
          <w:ilvl w:val="0"/>
          <w:numId w:val="1012"/>
        </w:numPr>
      </w:pPr>
      <w:r>
        <w:rPr>
          <w:b/>
        </w:rPr>
        <w:t>Evaluación en producción (Fase 4):</w:t>
      </w:r>
      <w:r>
        <w:rPr>
          <w:b w:val="0"/>
        </w:rPr>
        <w:t xml:space="preserve"> piloto en Austranet con feeds de Google Alerts, midiendo KPIs operacionales.</w:t>
      </w:r>
    </w:p>
    <w:p>
      <w:pPr>
        <w:pStyle w:val="p1a"/>
        <w:numPr>
          <w:ilvl w:val="0"/>
          <w:numId w:val="1012"/>
        </w:numPr>
      </w:pPr>
      <w:r>
        <w:rPr>
          <w:b/>
        </w:rPr>
        <w:t>Extensión multiidioma (Fase 5):</w:t>
      </w:r>
      <w:r>
        <w:rPr>
          <w:b w:val="0"/>
        </w:rPr>
        <w:t xml:space="preserve"> evaluar robustez sobre textos en inglés y portugués (alcance latinoamericano).</w:t>
      </w:r>
    </w:p>
    <w:p>
      <w:pPr>
        <w:pStyle w:val="heading1"/>
        <w:pageBreakBefore w:val="1"/>
        <w:numPr>
          <w:ilvl w:val="0"/>
          <w:numId w:val="0"/>
        </w:numPr>
      </w:pPr>
      <w:r>
        <w:t>8 REFERENCIAS BIBLIOGRÁFICAS</w:t>
      </w:r>
    </w:p>
    <w:p>
      <w:pPr>
        <w:pStyle w:val="p1a"/>
      </w:pPr>
      <w:r>
        <w:rPr>
          <w:i/>
          <w:iCs/>
        </w:rPr>
        <w:t xml:space="preserve">Formato IEEE</w:t>
      </w:r>
    </w:p>
    <w:p>
      <w:pPr>
        <w:pStyle w:val="referenceitem"/>
      </w:pPr>
      <w:r>
        <w:t xml:space="preserve">[1] P. Lewis et al.,</w:t>
      </w:r>
      <w:r>
        <w:t xml:space="preserve"> </w:t>
      </w:r>
      <w:r>
        <w:t xml:space="preserve">“Retrieval-Augmented Generation for Knowledge-Intensive NLP Tasks,”</w:t>
      </w:r>
      <w:r>
        <w:t xml:space="preserve"> </w:t>
      </w:r>
      <w:r>
        <w:rPr>
          <w:i/>
          <w:iCs/>
        </w:rPr>
        <w:t xml:space="preserve">Advances in Neural Information Processing Systems</w:t>
      </w:r>
      <w:r>
        <w:t xml:space="preserve">, vol. 33, pp. 9459-9474, 2020.</w:t>
      </w:r>
    </w:p>
    <w:p>
      <w:pPr>
        <w:pStyle w:val="referenceitem"/>
      </w:pPr>
      <w:r>
        <w:t xml:space="preserve">[2] J. Devlin, M.-W. Chang, K. Lee, and K. Toutanova,</w:t>
      </w:r>
      <w:r>
        <w:t xml:space="preserve"> </w:t>
      </w:r>
      <w:r>
        <w:t xml:space="preserve">“BERT: Pre-training of Deep Bidirectional Transformers for Language Understanding,”</w:t>
      </w:r>
      <w:r>
        <w:t xml:space="preserve"> </w:t>
      </w:r>
      <w:r>
        <w:rPr>
          <w:i/>
          <w:iCs/>
        </w:rPr>
        <w:t xml:space="preserve">Proceedings of NAACL</w:t>
      </w:r>
      <w:r>
        <w:t xml:space="preserve">, pp. 4171-4186, 2019.</w:t>
      </w:r>
    </w:p>
    <w:p>
      <w:pPr>
        <w:pStyle w:val="referenceitem"/>
      </w:pPr>
      <w:r>
        <w:t xml:space="preserve">[3] S. Wu et al.,</w:t>
      </w:r>
      <w:r>
        <w:t xml:space="preserve"> </w:t>
      </w:r>
      <w:r>
        <w:t xml:space="preserve">“BloombergGPT: A Large Language Model for Finance,”</w:t>
      </w:r>
      <w:r>
        <w:t xml:space="preserve"> </w:t>
      </w:r>
      <w:r>
        <w:rPr>
          <w:i/>
          <w:iCs/>
        </w:rPr>
        <w:t xml:space="preserve">arXiv preprint arXiv:2303.17564</w:t>
      </w:r>
      <w:r>
        <w:t xml:space="preserve">, 2023.</w:t>
      </w:r>
    </w:p>
    <w:p>
      <w:pPr>
        <w:pStyle w:val="referenceitem"/>
      </w:pPr>
      <w:r>
        <w:t xml:space="preserve">[4] A. Vaswani et al.,</w:t>
      </w:r>
      <w:r>
        <w:t xml:space="preserve"> </w:t>
      </w:r>
      <w:r>
        <w:t xml:space="preserve">“Attention Is All You Need,”</w:t>
      </w:r>
      <w:r>
        <w:t xml:space="preserve"> </w:t>
      </w:r>
      <w:r>
        <w:rPr>
          <w:i/>
          <w:iCs/>
        </w:rPr>
        <w:t xml:space="preserve">Advances in Neural Information Processing Systems</w:t>
      </w:r>
      <w:r>
        <w:t xml:space="preserve">, 2017.</w:t>
      </w:r>
    </w:p>
    <w:p>
      <w:pPr>
        <w:pStyle w:val="referenceitem"/>
      </w:pPr>
      <w:r>
        <w:t xml:space="preserve">[5] K. Bourne,</w:t>
      </w:r>
      <w:r>
        <w:t xml:space="preserve"> </w:t>
      </w:r>
      <w:r>
        <w:rPr>
          <w:i/>
          <w:iCs/>
        </w:rPr>
        <w:t xml:space="preserve">Unlocking Data with Generative AI and RAG</w:t>
      </w:r>
      <w:r>
        <w:t xml:space="preserve">. O’Reilly Media, 2024.</w:t>
      </w:r>
    </w:p>
    <w:p>
      <w:pPr>
        <w:pStyle w:val="referenceitem"/>
      </w:pPr>
      <w:r>
        <w:t xml:space="preserve">[6] X. Gao et al.,</w:t>
      </w:r>
      <w:r>
        <w:t xml:space="preserve"> </w:t>
      </w:r>
      <w:r>
        <w:t xml:space="preserve">“Retrieval-Augmented Generation for Large Language Models: A Survey,”</w:t>
      </w:r>
      <w:r>
        <w:t xml:space="preserve"> </w:t>
      </w:r>
      <w:r>
        <w:rPr>
          <w:i/>
          <w:iCs/>
        </w:rPr>
        <w:t xml:space="preserve">arXiv preprint arXiv:2312.10997</w:t>
      </w:r>
      <w:r>
        <w:t xml:space="preserve">, 2024.</w:t>
      </w:r>
    </w:p>
    <w:p>
      <w:pPr>
        <w:pStyle w:val="referenceitem"/>
      </w:pPr>
      <w:r>
        <w:t xml:space="preserve">[7] A. García and M. López,</w:t>
      </w:r>
      <w:r>
        <w:t xml:space="preserve"> </w:t>
      </w:r>
      <w:r>
        <w:t xml:space="preserve">“Evaluating BERT and Transformers for Named Entity Recognition in Spanish,”</w:t>
      </w:r>
      <w:r>
        <w:t xml:space="preserve"> </w:t>
      </w:r>
      <w:r>
        <w:rPr>
          <w:i/>
          <w:iCs/>
        </w:rPr>
        <w:t xml:space="preserve">Proceedings of IberLEF</w:t>
      </w:r>
      <w:r>
        <w:t xml:space="preserve">, 2021.</w:t>
      </w:r>
    </w:p>
    <w:p>
      <w:pPr>
        <w:pStyle w:val="referenceitem"/>
      </w:pPr>
      <w:r>
        <w:t xml:space="preserve">[8] T. Brown et al.,</w:t>
      </w:r>
      <w:r>
        <w:t xml:space="preserve"> </w:t>
      </w:r>
      <w:r>
        <w:t xml:space="preserve">“Language Models are Few-Shot Learners,”</w:t>
      </w:r>
      <w:r>
        <w:t xml:space="preserve"> </w:t>
      </w:r>
      <w:r>
        <w:rPr>
          <w:i/>
          <w:iCs/>
        </w:rPr>
        <w:t xml:space="preserve">Advances in Neural Information Processing Systems</w:t>
      </w:r>
      <w:r>
        <w:t xml:space="preserve">, vol. 33, pp. 1877-1901, 2020.</w:t>
      </w:r>
    </w:p>
    <w:p>
      <w:pPr>
        <w:pStyle w:val="referenceitem"/>
      </w:pPr>
      <w:r>
        <w:t xml:space="preserve">[9] M. Chang, J. Kim, and S. Park,</w:t>
      </w:r>
      <w:r>
        <w:t xml:space="preserve"> </w:t>
      </w:r>
      <w:r>
        <w:t xml:space="preserve">“RAG for Financial Document Analysis: A Practical Framework,”</w:t>
      </w:r>
      <w:r>
        <w:t xml:space="preserve"> </w:t>
      </w:r>
      <w:r>
        <w:rPr>
          <w:i/>
          <w:iCs/>
        </w:rPr>
        <w:t xml:space="preserve">Journal of Financial Data Science</w:t>
      </w:r>
      <w:r>
        <w:t xml:space="preserve">, vol. 6, no. 2, pp. 45-62, 2024.</w:t>
      </w:r>
    </w:p>
    <w:p>
      <w:pPr>
        <w:pStyle w:val="referenceitem"/>
      </w:pPr>
      <w:r>
        <w:t xml:space="preserve">[10] J. Smith, L. Johnson, and R. Davis,</w:t>
      </w:r>
      <w:r>
        <w:t xml:space="preserve"> </w:t>
      </w:r>
      <w:r>
        <w:t xml:space="preserve">“Conditional Random Fields for Named Entity Recognition in Financial Texts,”</w:t>
      </w:r>
      <w:r>
        <w:t xml:space="preserve"> </w:t>
      </w:r>
      <w:r>
        <w:rPr>
          <w:i/>
          <w:iCs/>
        </w:rPr>
        <w:t xml:space="preserve">ACM Transactions on Intelligent Systems</w:t>
      </w:r>
      <w:r>
        <w:t xml:space="preserve">, vol. 10, no. 3, pp. 1-25, 2019.</w:t>
      </w:r>
    </w:p>
    <w:p>
      <w:pPr>
        <w:pStyle w:val="referenceitem"/>
      </w:pPr>
      <w:r>
        <w:t xml:space="preserve">[11] T. Ahia et al.,</w:t>
      </w:r>
      <w:r>
        <w:t xml:space="preserve"> </w:t>
      </w:r>
      <w:r>
        <w:t xml:space="preserve">“Do All Languages Cost the Same? Tokenization in the Era of Commercial Language Models,”</w:t>
      </w:r>
      <w:r>
        <w:t xml:space="preserve"> </w:t>
      </w:r>
      <w:r>
        <w:rPr>
          <w:i/>
          <w:iCs/>
        </w:rPr>
        <w:t xml:space="preserve">Proceedings of EMNLP</w:t>
      </w:r>
      <w:r>
        <w:t xml:space="preserve">, 2023.</w:t>
      </w:r>
    </w:p>
    <w:p>
      <w:pPr>
        <w:pStyle w:val="referenceitem"/>
      </w:pPr>
      <w:r>
        <w:t xml:space="preserve">[13] J. Wei et al.,</w:t>
      </w:r>
      <w:r>
        <w:t xml:space="preserve"> </w:t>
      </w:r>
      <w:r>
        <w:t xml:space="preserve">“Chain-of-Thought Prompting Elicits Reasoning in Large Language Models,”</w:t>
      </w:r>
      <w:r>
        <w:t xml:space="preserve"> </w:t>
      </w:r>
      <w:r>
        <w:rPr>
          <w:i/>
          <w:iCs/>
        </w:rPr>
        <w:t xml:space="preserve">Advances in Neural Information Processing Systems</w:t>
      </w:r>
      <w:r>
        <w:t xml:space="preserve">, vol. 35, 2022.</w:t>
      </w:r>
    </w:p>
    <w:p>
      <w:pPr>
        <w:pStyle w:val="referenceitem"/>
      </w:pPr>
      <w:r>
        <w:t xml:space="preserve">[14] A. Zhao et al.,</w:t>
      </w:r>
      <w:r>
        <w:t xml:space="preserve"> </w:t>
      </w:r>
      <w:r>
        <w:t xml:space="preserve">“Calibrate Before Use: Improving Few-Shot Performance of Language Models,”</w:t>
      </w:r>
      <w:r>
        <w:t xml:space="preserve"> </w:t>
      </w:r>
      <w:r>
        <w:rPr>
          <w:i/>
          <w:iCs/>
        </w:rPr>
        <w:t xml:space="preserve">Proceedings of ICML</w:t>
      </w:r>
      <w:r>
        <w:t xml:space="preserve">, 2021.</w:t>
      </w:r>
    </w:p>
    <w:p>
      <w:pPr>
        <w:pStyle w:val="referenceitem"/>
      </w:pPr>
      <w:r>
        <w:t xml:space="preserve">[15] M. Min et al.,</w:t>
      </w:r>
      <w:r>
        <w:t xml:space="preserve"> </w:t>
      </w:r>
      <w:r>
        <w:t xml:space="preserve">“FiNER: Financial Named Entity Recognition Dataset and Benchmark,”</w:t>
      </w:r>
      <w:r>
        <w:t xml:space="preserve"> </w:t>
      </w:r>
      <w:r>
        <w:rPr>
          <w:i/>
          <w:iCs/>
        </w:rPr>
        <w:t xml:space="preserve">Proceedings of ACL</w:t>
      </w:r>
      <w:r>
        <w:t xml:space="preserve">, 2023.</w:t>
      </w:r>
    </w:p>
    <w:p>
      <w:pPr>
        <w:pStyle w:val="referenceitem"/>
      </w:pPr>
      <w:r>
        <w:t xml:space="preserve">[16] R. Schwartz et al.,</w:t>
      </w:r>
      <w:r>
        <w:t xml:space="preserve"> </w:t>
      </w:r>
      <w:r>
        <w:t xml:space="preserve">“Green AI,”</w:t>
      </w:r>
      <w:r>
        <w:t xml:space="preserve"> </w:t>
      </w:r>
      <w:r>
        <w:rPr>
          <w:i/>
          <w:iCs/>
        </w:rPr>
        <w:t xml:space="preserve">Communications of the ACM</w:t>
      </w:r>
      <w:r>
        <w:t xml:space="preserve">, vol. 63, no. 12, pp. 54-63, 2020.</w:t>
      </w:r>
    </w:p>
    <w:p>
      <w:pPr>
        <w:pStyle w:val="referenceitem"/>
      </w:pPr>
      <w:r>
        <w:t xml:space="preserve">[17] J. Lafferty, A. McCallum, and F. Pereira,</w:t>
      </w:r>
      <w:r>
        <w:t xml:space="preserve"> </w:t>
      </w:r>
      <w:r>
        <w:t xml:space="preserve">“Conditional Random Fields: Probabilistic Models for Segmenting and Labeling Sequence Data,”</w:t>
      </w:r>
      <w:r>
        <w:t xml:space="preserve"> </w:t>
      </w:r>
      <w:r>
        <w:rPr>
          <w:i/>
          <w:iCs/>
        </w:rPr>
        <w:t xml:space="preserve">Proceedings of ICML</w:t>
      </w:r>
      <w:r>
        <w:t xml:space="preserve">, pp. 282-289, 2001.</w:t>
      </w:r>
    </w:p>
    <w:p>
      <w:pPr>
        <w:pStyle w:val="referenceitem"/>
      </w:pPr>
      <w:r>
        <w:t xml:space="preserve">[18] Kleptotrace/CoNLL-2002 Project,</w:t>
      </w:r>
      <w:r>
        <w:t xml:space="preserve"> </w:t>
      </w:r>
      <w:r>
        <w:t xml:space="preserve">“balanced Kleptotrace/CoNLL-2002/CoNLL-2002 dataset: Financial Sanctions and Money Laundering News Corpus,”</w:t>
      </w:r>
      <w:r>
        <w:t xml:space="preserve"> </w:t>
      </w:r>
      <w:r>
        <w:t xml:space="preserve">[Online]. Available: https://Kleptotrace/CoNLL-2002.org, 2024.</w:t>
      </w:r>
    </w:p>
    <w:p>
      <w:pPr>
        <w:pStyle w:val="referenceitem"/>
      </w:pPr>
      <w:r>
        <w:t xml:space="preserve">[19] OpenSanctions,</w:t>
      </w:r>
      <w:r>
        <w:t xml:space="preserve"> </w:t>
      </w:r>
      <w:r>
        <w:t xml:space="preserve">“OpenSanctions: Open Data on Sanctions Lists and Politically Exposed Persons,”</w:t>
      </w:r>
      <w:r>
        <w:t xml:space="preserve"> </w:t>
      </w:r>
      <w:r>
        <w:t xml:space="preserve">[Online]. Available: https://www.opensanctions.org, 2024.</w:t>
      </w:r>
    </w:p>
    <w:p>
      <w:pPr>
        <w:pStyle w:val="referenceitem"/>
      </w:pPr>
      <w:r>
        <w:t xml:space="preserve">[20] T. Dettmers et al.,</w:t>
      </w:r>
      <w:r>
        <w:t xml:space="preserve"> </w:t>
      </w:r>
      <w:r>
        <w:t xml:space="preserve">“QLoRA: Efficient Finetuning of Quantized LLMs,”</w:t>
      </w:r>
      <w:r>
        <w:t xml:space="preserve"> </w:t>
      </w:r>
      <w:r>
        <w:rPr>
          <w:i/>
          <w:iCs/>
        </w:rPr>
        <w:t xml:space="preserve">Advances in Neural Information Processing Systems</w:t>
      </w:r>
      <w:r>
        <w:t xml:space="preserve">, vol. 36, 2023.</w:t>
      </w:r>
    </w:p>
    <w:p>
      <w:pPr>
        <w:pStyle w:val="heading1"/>
        <w:pageBreakBefore w:val="1"/>
        <w:numPr>
          <w:ilvl w:val="0"/>
          <w:numId w:val="0"/>
        </w:numPr>
      </w:pPr>
      <w:r>
        <w:t>9 ANEXOS</w:t>
      </w:r>
    </w:p>
    <w:p>
      <w:pPr>
        <w:pStyle w:val="heading2"/>
        <w:numPr>
          <w:ilvl w:val="0"/>
          <w:numId w:val="0"/>
        </w:numPr>
      </w:pPr>
      <w:r>
        <w:t>9.1 Anexo A — Estructura del Repositorio de Código</w:t>
      </w:r>
    </w:p>
    <w:p>
      <w:pPr>
        <w:pStyle w:val="p1a"/>
      </w:pPr>
      <w:r>
        <w:t>La estructura de carpetas y archivos del repositorio se detalla en la siguiente tabla.</w:t>
      </w:r>
    </w:p>
    <w:p>
      <w:pPr>
        <w:numPr>
          <w:ilvl w:val="0"/>
          <w:numId w:val="0"/>
        </w:numPr>
        <w:pStyle w:val="p1a"/>
      </w:pPr>
      <w:r>
        <w:t xml:space="preserve">Interfaz común de proveedores LLM (LLMProvider, patrón Factory/Facade):</w:t>
      </w:r>
    </w:p>
    <w:p>
      <w:pPr>
        <w:pStyle w:val="programcode"/>
      </w:pPr>
      <w:r>
        <w:rPr>
          <w:rFonts w:ascii="Consolas" w:hAnsi="Consolas"/>
        </w:rPr>
        <w:t xml:space="preserve">class</w:t>
      </w:r>
      <w:r>
        <w:rPr>
          <w:rFonts w:ascii="Consolas" w:hAnsi="Consolas"/>
        </w:rPr>
        <w:t xml:space="preserve"> LLMProvider(ABC):</w:t>
      </w:r>
      <w:r>
        <w:br/>
      </w:r>
      <w:r>
        <w:rPr>
          <w:rFonts w:ascii="Consolas" w:hAnsi="Consolas"/>
        </w:rPr>
        <w:t xml:space="preserve">    </w:t>
      </w:r>
      <w:r>
        <w:rPr>
          <w:rFonts w:ascii="Consolas" w:hAnsi="Consolas"/>
        </w:rPr>
        <w:t xml:space="preserve">@abstractmethod</w:t>
      </w:r>
      <w:r>
        <w:br/>
      </w:r>
      <w:r>
        <w:rPr>
          <w:rFonts w:ascii="Consolas" w:hAnsi="Consolas"/>
        </w:rPr>
        <w:t xml:space="preserve">    </w:t>
      </w:r>
      <w:r>
        <w:rPr>
          <w:rFonts w:ascii="Consolas" w:hAnsi="Consolas"/>
        </w:rPr>
        <w:t xml:space="preserve">def</w:t>
      </w:r>
      <w:r>
        <w:rPr>
          <w:rFonts w:ascii="Consolas" w:hAnsi="Consolas"/>
        </w:rPr>
        <w:t xml:space="preserve"> extract_entities(</w:t>
      </w:r>
      <w:r>
        <w:rPr>
          <w:rFonts w:ascii="Consolas" w:hAnsi="Consolas"/>
        </w:rPr>
        <w:t xml:space="preserve">self</w:t>
      </w:r>
      <w:r>
        <w:rPr>
          <w:rFonts w:ascii="Consolas" w:hAnsi="Consolas"/>
        </w:rPr>
        <w:t xml:space="preserve">, text: </w:t>
      </w:r>
      <w:r>
        <w:rPr>
          <w:rFonts w:ascii="Consolas" w:hAnsi="Consolas"/>
        </w:rPr>
        <w:t xml:space="preserve">str</w:t>
      </w:r>
      <w:r>
        <w:rPr>
          <w:rFonts w:ascii="Consolas" w:hAnsi="Consolas"/>
        </w:rPr>
        <w:t xml:space="preserve">, system_prompt: </w:t>
      </w:r>
      <w:r>
        <w:rPr>
          <w:rFonts w:ascii="Consolas" w:hAnsi="Consolas"/>
        </w:rPr>
        <w:t xml:space="preserve">str</w:t>
      </w:r>
      <w:r>
        <w:rPr>
          <w:rFonts w:ascii="Consolas" w:hAnsi="Consolas"/>
        </w:rPr>
        <w:t xml:space="preserve">, </w:t>
      </w:r>
      <w:r>
        <w:rPr>
          <w:rFonts w:ascii="Consolas" w:hAnsi="Consolas"/>
        </w:rPr>
        <w:t xml:space="preserve">**</w:t>
      </w:r>
      <w:r>
        <w:rPr>
          <w:rFonts w:ascii="Consolas" w:hAnsi="Consolas"/>
        </w:rPr>
        <w:t xml:space="preserve">kwargs) </w:t>
      </w:r>
      <w:r>
        <w:rPr>
          <w:rFonts w:ascii="Consolas" w:hAnsi="Consolas"/>
        </w:rPr>
        <w:t xml:space="preserve">-&gt;</w:t>
      </w:r>
      <w:r>
        <w:rPr>
          <w:rFonts w:ascii="Consolas" w:hAnsi="Consolas"/>
        </w:rPr>
        <w:t xml:space="preserve"> ExtractionResult:</w:t>
      </w:r>
      <w:r>
        <w:br/>
      </w:r>
      <w:r>
        <w:rPr>
          <w:rFonts w:ascii="Consolas" w:hAnsi="Consolas"/>
        </w:rPr>
        <w:t xml:space="preserve">        ...</w:t>
      </w:r>
      <w:r>
        <w:br/>
      </w:r>
      <w:r>
        <w:rPr>
          <w:rFonts w:ascii="Consolas" w:hAnsi="Consolas"/>
        </w:rPr>
        <w:t xml:space="preserve">    </w:t>
      </w:r>
      <w:r>
        <w:rPr>
          <w:rFonts w:ascii="Consolas" w:hAnsi="Consolas"/>
        </w:rPr>
        <w:t xml:space="preserve">@abstractmethod</w:t>
      </w:r>
      <w:r>
        <w:br/>
      </w:r>
      <w:r>
        <w:rPr>
          <w:rFonts w:ascii="Consolas" w:hAnsi="Consolas"/>
        </w:rPr>
        <w:t xml:space="preserve">    </w:t>
      </w:r>
      <w:r>
        <w:rPr>
          <w:rFonts w:ascii="Consolas" w:hAnsi="Consolas"/>
        </w:rPr>
        <w:t xml:space="preserve">def</w:t>
      </w:r>
      <w:r>
        <w:rPr>
          <w:rFonts w:ascii="Consolas" w:hAnsi="Consolas"/>
        </w:rPr>
        <w:t xml:space="preserve"> is_available(</w:t>
      </w:r>
      <w:r>
        <w:rPr>
          <w:rFonts w:ascii="Consolas" w:hAnsi="Consolas"/>
        </w:rPr>
        <w:t xml:space="preserve">self</w:t>
      </w:r>
      <w:r>
        <w:rPr>
          <w:rFonts w:ascii="Consolas" w:hAnsi="Consolas"/>
        </w:rPr>
        <w:t xml:space="preserve">) </w:t>
      </w:r>
      <w:r>
        <w:rPr>
          <w:rFonts w:ascii="Consolas" w:hAnsi="Consolas"/>
        </w:rPr>
        <w:t xml:space="preserve">-&gt;</w:t>
      </w:r>
      <w:r>
        <w:rPr>
          <w:rFonts w:ascii="Consolas" w:hAnsi="Consolas"/>
        </w:rPr>
        <w:t xml:space="preserve"> </w:t>
      </w:r>
      <w:r>
        <w:rPr>
          <w:rFonts w:ascii="Consolas" w:hAnsi="Consolas"/>
        </w:rPr>
        <w:t xml:space="preserve">bool</w:t>
      </w:r>
      <w:r>
        <w:rPr>
          <w:rFonts w:ascii="Consolas" w:hAnsi="Consolas"/>
        </w:rPr>
        <w:t xml:space="preserve">:</w:t>
      </w:r>
      <w:r>
        <w:br/>
      </w:r>
      <w:r>
        <w:rPr>
          <w:rFonts w:ascii="Consolas" w:hAnsi="Consolas"/>
        </w:rPr>
        <w:t xml:space="preserve">        ...</w:t>
      </w:r>
    </w:p>
    <w:p>
      <w:pPr>
        <w:pStyle w:val="tablecaption"/>
      </w:pPr>
      <w:r>
        <w:t xml:space="preserve">Tabla 12. Estructura del Repositorio de Código</w:t>
      </w:r>
    </w:p>
    <w:tbl>
      <w:tblPr>
        <w:tblW w:type="dxa" w:w="8838"/>
        <w:tblLook w:firstColumn="1" w:firstRow="1" w:lastColumn="0" w:lastRow="0" w:noHBand="0" w:noVBand="1" w:val="04A0"/>
        <w:tblLayout w:type="fixed"/>
      </w:tblPr>
      <w:tblGrid>
        <w:gridCol w:w="5461"/>
        <w:gridCol w:w="3377"/>
      </w:tblGrid>
      <w:tr>
        <w:tc>
          <w:tcPr>
            <w:tcW w:type="dxa" w:w="5461"/>
            <w:tcBorders>
              <w:top w:val="single" w:sz="4" w:space="0" w:color="999999"/>
              <w:left w:val="single" w:sz="4" w:space="0" w:color="999999"/>
              <w:bottom w:val="single" w:sz="4" w:space="0" w:color="999999"/>
              <w:right w:val="single" w:sz="4" w:space="0" w:color="999999"/>
            </w:tcBorders>
            <w:shd w:val="clear" w:color="auto" w:fill="D9E2F3"/>
          </w:tcPr>
          <w:p>
            <w:pPr>
              <w:spacing w:after="20" w:before="20"/>
            </w:pPr>
            <w:r>
              <w:rPr>
                <w:b/>
                <w:sz w:val="16"/>
              </w:rPr>
            </w:r>
            <w:r>
              <w:rPr>
                <w:b/>
                <w:sz w:val="16"/>
              </w:rPr>
              <w:t>Ruta</w:t>
            </w:r>
          </w:p>
        </w:tc>
        <w:tc>
          <w:tcPr>
            <w:tcW w:type="dxa" w:w="3377"/>
            <w:tcBorders>
              <w:top w:val="single" w:sz="4" w:space="0" w:color="999999"/>
              <w:left w:val="single" w:sz="4" w:space="0" w:color="999999"/>
              <w:bottom w:val="single" w:sz="4" w:space="0" w:color="999999"/>
              <w:right w:val="single" w:sz="4" w:space="0" w:color="999999"/>
            </w:tcBorders>
            <w:shd w:val="clear" w:color="auto" w:fill="D9E2F3"/>
          </w:tcPr>
          <w:p>
            <w:pPr>
              <w:spacing w:after="20" w:before="20"/>
            </w:pPr>
            <w:r>
              <w:rPr>
                <w:b/>
                <w:sz w:val="16"/>
              </w:rPr>
            </w:r>
            <w:r>
              <w:rPr>
                <w:b/>
                <w:sz w:val="16"/>
              </w:rPr>
              <w:t>Descripción</w:t>
            </w:r>
          </w:p>
        </w:tc>
      </w:tr>
      <w:tr>
        <w:tc>
          <w:tcPr>
            <w:tcW w:type="dxa" w:w="5461"/>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rFonts w:ascii="Consolas" w:hAnsi="Consolas"/>
                <w:b w:val="0"/>
                <w:sz w:val="16"/>
              </w:rPr>
              <w:t>repos/ner-llm-entity-benchmark/</w:t>
            </w:r>
          </w:p>
        </w:tc>
        <w:tc>
          <w:tcPr>
            <w:tcW w:type="dxa" w:w="3377"/>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r>
          </w:p>
        </w:tc>
      </w:tr>
      <w:tr>
        <w:tc>
          <w:tcPr>
            <w:tcW w:type="dxa" w:w="5461"/>
            <w:tcBorders>
              <w:top w:val="single" w:sz="4" w:space="0" w:color="999999"/>
              <w:left w:val="single" w:sz="4" w:space="0" w:color="999999"/>
              <w:bottom w:val="single" w:sz="4" w:space="0" w:color="999999"/>
              <w:right w:val="single" w:sz="4" w:space="0" w:color="999999"/>
            </w:tcBorders>
          </w:tcPr>
          <w:p>
            <w:pPr>
              <w:spacing w:after="20" w:before="20"/>
              <w:ind w:left="200"/>
            </w:pPr>
            <w:r>
              <w:rPr>
                <w:sz w:val="16"/>
              </w:rPr>
            </w:r>
            <w:r>
              <w:rPr>
                <w:rFonts w:ascii="Consolas" w:hAnsi="Consolas"/>
                <w:b w:val="0"/>
                <w:sz w:val="16"/>
              </w:rPr>
              <w:t xml:space="preserve">    src/</w:t>
            </w:r>
          </w:p>
        </w:tc>
        <w:tc>
          <w:tcPr>
            <w:tcW w:type="dxa" w:w="3377"/>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r>
          </w:p>
        </w:tc>
      </w:tr>
      <w:tr>
        <w:tc>
          <w:tcPr>
            <w:tcW w:type="dxa" w:w="5461"/>
            <w:tcBorders>
              <w:top w:val="single" w:sz="4" w:space="0" w:color="999999"/>
              <w:left w:val="single" w:sz="4" w:space="0" w:color="999999"/>
              <w:bottom w:val="single" w:sz="4" w:space="0" w:color="999999"/>
              <w:right w:val="single" w:sz="4" w:space="0" w:color="999999"/>
            </w:tcBorders>
          </w:tcPr>
          <w:p>
            <w:pPr>
              <w:spacing w:after="20" w:before="20"/>
              <w:ind w:left="400"/>
            </w:pPr>
            <w:r>
              <w:rPr>
                <w:sz w:val="16"/>
              </w:rPr>
            </w:r>
            <w:r>
              <w:rPr>
                <w:rFonts w:ascii="Consolas" w:hAnsi="Consolas"/>
                <w:b w:val="0"/>
                <w:sz w:val="16"/>
              </w:rPr>
              <w:t xml:space="preserve">        main.py</w:t>
            </w:r>
          </w:p>
        </w:tc>
        <w:tc>
          <w:tcPr>
            <w:tcW w:type="dxa" w:w="3377"/>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Orquestador principal (+--rag-mode CLI, v1.1)</w:t>
            </w:r>
          </w:p>
        </w:tc>
      </w:tr>
      <w:tr>
        <w:tc>
          <w:tcPr>
            <w:tcW w:type="dxa" w:w="5461"/>
            <w:tcBorders>
              <w:top w:val="single" w:sz="4" w:space="0" w:color="999999"/>
              <w:left w:val="single" w:sz="4" w:space="0" w:color="999999"/>
              <w:bottom w:val="single" w:sz="4" w:space="0" w:color="999999"/>
              <w:right w:val="single" w:sz="4" w:space="0" w:color="999999"/>
            </w:tcBorders>
          </w:tcPr>
          <w:p>
            <w:pPr>
              <w:spacing w:after="20" w:before="20"/>
              <w:ind w:left="400"/>
            </w:pPr>
            <w:r>
              <w:rPr>
                <w:sz w:val="16"/>
              </w:rPr>
            </w:r>
            <w:r>
              <w:rPr>
                <w:rFonts w:ascii="Consolas" w:hAnsi="Consolas"/>
                <w:b w:val="0"/>
                <w:sz w:val="16"/>
              </w:rPr>
              <w:t xml:space="preserve">        config.py</w:t>
            </w:r>
          </w:p>
        </w:tc>
        <w:tc>
          <w:tcPr>
            <w:tcW w:type="dxa" w:w="3377"/>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Configuración global (+rag_mode field, v1.1)</w:t>
            </w:r>
          </w:p>
        </w:tc>
      </w:tr>
      <w:tr>
        <w:tc>
          <w:tcPr>
            <w:tcW w:type="dxa" w:w="5461"/>
            <w:tcBorders>
              <w:top w:val="single" w:sz="4" w:space="0" w:color="999999"/>
              <w:left w:val="single" w:sz="4" w:space="0" w:color="999999"/>
              <w:bottom w:val="single" w:sz="4" w:space="0" w:color="999999"/>
              <w:right w:val="single" w:sz="4" w:space="0" w:color="999999"/>
            </w:tcBorders>
          </w:tcPr>
          <w:p>
            <w:pPr>
              <w:spacing w:after="20" w:before="20"/>
              <w:ind w:left="400"/>
            </w:pPr>
            <w:r>
              <w:rPr>
                <w:sz w:val="16"/>
              </w:rPr>
            </w:r>
            <w:r>
              <w:rPr>
                <w:rFonts w:ascii="Consolas" w:hAnsi="Consolas"/>
                <w:b w:val="0"/>
                <w:sz w:val="16"/>
              </w:rPr>
              <w:t xml:space="preserve">        data_loader.py</w:t>
            </w:r>
          </w:p>
        </w:tc>
        <w:tc>
          <w:tcPr>
            <w:tcW w:type="dxa" w:w="3377"/>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Carga y validación del corpus</w:t>
            </w:r>
          </w:p>
        </w:tc>
      </w:tr>
      <w:tr>
        <w:tc>
          <w:tcPr>
            <w:tcW w:type="dxa" w:w="5461"/>
            <w:tcBorders>
              <w:top w:val="single" w:sz="4" w:space="0" w:color="999999"/>
              <w:left w:val="single" w:sz="4" w:space="0" w:color="999999"/>
              <w:bottom w:val="single" w:sz="4" w:space="0" w:color="999999"/>
              <w:right w:val="single" w:sz="4" w:space="0" w:color="999999"/>
            </w:tcBorders>
          </w:tcPr>
          <w:p>
            <w:pPr>
              <w:spacing w:after="20" w:before="20"/>
              <w:ind w:left="400"/>
            </w:pPr>
            <w:r>
              <w:rPr>
                <w:sz w:val="16"/>
              </w:rPr>
            </w:r>
            <w:r>
              <w:rPr>
                <w:rFonts w:ascii="Consolas" w:hAnsi="Consolas"/>
                <w:b w:val="0"/>
                <w:sz w:val="16"/>
              </w:rPr>
              <w:t xml:space="preserve">        llm_runner.py</w:t>
            </w:r>
          </w:p>
        </w:tc>
        <w:tc>
          <w:tcPr>
            <w:tcW w:type="dxa" w:w="3377"/>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Runner LLM con parseo en cascada</w:t>
            </w:r>
          </w:p>
        </w:tc>
      </w:tr>
      <w:tr>
        <w:tc>
          <w:tcPr>
            <w:tcW w:type="dxa" w:w="5461"/>
            <w:tcBorders>
              <w:top w:val="single" w:sz="4" w:space="0" w:color="999999"/>
              <w:left w:val="single" w:sz="4" w:space="0" w:color="999999"/>
              <w:bottom w:val="single" w:sz="4" w:space="0" w:color="999999"/>
              <w:right w:val="single" w:sz="4" w:space="0" w:color="999999"/>
            </w:tcBorders>
          </w:tcPr>
          <w:p>
            <w:pPr>
              <w:spacing w:after="20" w:before="20"/>
              <w:ind w:left="400"/>
            </w:pPr>
            <w:r>
              <w:rPr>
                <w:sz w:val="16"/>
              </w:rPr>
            </w:r>
            <w:r>
              <w:rPr>
                <w:rFonts w:ascii="Consolas" w:hAnsi="Consolas"/>
                <w:b w:val="0"/>
                <w:sz w:val="16"/>
              </w:rPr>
              <w:t xml:space="preserve">        evaluator.py</w:t>
            </w:r>
          </w:p>
        </w:tc>
        <w:tc>
          <w:tcPr>
            <w:tcW w:type="dxa" w:w="3377"/>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Métricas F1 + taxonomía de errores</w:t>
            </w:r>
          </w:p>
        </w:tc>
      </w:tr>
      <w:tr>
        <w:tc>
          <w:tcPr>
            <w:tcW w:type="dxa" w:w="5461"/>
            <w:tcBorders>
              <w:top w:val="single" w:sz="4" w:space="0" w:color="999999"/>
              <w:left w:val="single" w:sz="4" w:space="0" w:color="999999"/>
              <w:bottom w:val="single" w:sz="4" w:space="0" w:color="999999"/>
              <w:right w:val="single" w:sz="4" w:space="0" w:color="999999"/>
            </w:tcBorders>
          </w:tcPr>
          <w:p>
            <w:pPr>
              <w:spacing w:after="20" w:before="20"/>
              <w:ind w:left="400"/>
            </w:pPr>
            <w:r>
              <w:rPr>
                <w:sz w:val="16"/>
              </w:rPr>
            </w:r>
            <w:r>
              <w:rPr>
                <w:rFonts w:ascii="Consolas" w:hAnsi="Consolas"/>
                <w:b w:val="0"/>
                <w:sz w:val="16"/>
              </w:rPr>
              <w:t xml:space="preserve">        pub_sub.py</w:t>
            </w:r>
          </w:p>
        </w:tc>
        <w:tc>
          <w:tcPr>
            <w:tcW w:type="dxa" w:w="3377"/>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Cola Pub/Sub multithreading</w:t>
            </w:r>
          </w:p>
        </w:tc>
      </w:tr>
      <w:tr>
        <w:tc>
          <w:tcPr>
            <w:tcW w:type="dxa" w:w="5461"/>
            <w:tcBorders>
              <w:top w:val="single" w:sz="4" w:space="0" w:color="999999"/>
              <w:left w:val="single" w:sz="4" w:space="0" w:color="999999"/>
              <w:bottom w:val="single" w:sz="4" w:space="0" w:color="999999"/>
              <w:right w:val="single" w:sz="4" w:space="0" w:color="999999"/>
            </w:tcBorders>
          </w:tcPr>
          <w:p>
            <w:pPr>
              <w:spacing w:after="20" w:before="20"/>
              <w:ind w:left="400"/>
            </w:pPr>
            <w:r>
              <w:rPr>
                <w:sz w:val="16"/>
              </w:rPr>
            </w:r>
            <w:r>
              <w:rPr>
                <w:rFonts w:ascii="Consolas" w:hAnsi="Consolas"/>
                <w:b w:val="0"/>
                <w:sz w:val="16"/>
              </w:rPr>
              <w:t xml:space="preserve">        adaptive_workers.py</w:t>
            </w:r>
          </w:p>
        </w:tc>
        <w:tc>
          <w:tcPr>
            <w:tcW w:type="dxa" w:w="3377"/>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Controlador AIMD</w:t>
            </w:r>
          </w:p>
        </w:tc>
      </w:tr>
      <w:tr>
        <w:tc>
          <w:tcPr>
            <w:tcW w:type="dxa" w:w="5461"/>
            <w:tcBorders>
              <w:top w:val="single" w:sz="4" w:space="0" w:color="999999"/>
              <w:left w:val="single" w:sz="4" w:space="0" w:color="999999"/>
              <w:bottom w:val="single" w:sz="4" w:space="0" w:color="999999"/>
              <w:right w:val="single" w:sz="4" w:space="0" w:color="999999"/>
            </w:tcBorders>
          </w:tcPr>
          <w:p>
            <w:pPr>
              <w:spacing w:after="20" w:before="20"/>
              <w:ind w:left="400"/>
            </w:pPr>
            <w:r>
              <w:rPr>
                <w:sz w:val="16"/>
              </w:rPr>
            </w:r>
            <w:r>
              <w:rPr>
                <w:rFonts w:ascii="Consolas" w:hAnsi="Consolas"/>
                <w:b w:val="0"/>
                <w:sz w:val="16"/>
              </w:rPr>
              <w:t xml:space="preserve">        checkpoint.py</w:t>
            </w:r>
          </w:p>
        </w:tc>
        <w:tc>
          <w:tcPr>
            <w:tcW w:type="dxa" w:w="3377"/>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Persistencia de estado</w:t>
            </w:r>
          </w:p>
        </w:tc>
      </w:tr>
      <w:tr>
        <w:tc>
          <w:tcPr>
            <w:tcW w:type="dxa" w:w="5461"/>
            <w:tcBorders>
              <w:top w:val="single" w:sz="4" w:space="0" w:color="999999"/>
              <w:left w:val="single" w:sz="4" w:space="0" w:color="999999"/>
              <w:bottom w:val="single" w:sz="4" w:space="0" w:color="999999"/>
              <w:right w:val="single" w:sz="4" w:space="0" w:color="999999"/>
            </w:tcBorders>
          </w:tcPr>
          <w:p>
            <w:pPr>
              <w:spacing w:after="20" w:before="20"/>
              <w:ind w:left="400"/>
            </w:pPr>
            <w:r>
              <w:rPr>
                <w:sz w:val="16"/>
              </w:rPr>
            </w:r>
            <w:r>
              <w:rPr>
                <w:rFonts w:ascii="Consolas" w:hAnsi="Consolas"/>
                <w:b w:val="0"/>
                <w:sz w:val="16"/>
              </w:rPr>
              <w:t xml:space="preserve">        rag_manager.py</w:t>
            </w:r>
          </w:p>
        </w:tc>
        <w:tc>
          <w:tcPr>
            <w:tcW w:type="dxa" w:w="3377"/>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RAGManager: Dict-RAG legacy (v1.0)</w:t>
            </w:r>
          </w:p>
        </w:tc>
      </w:tr>
      <w:tr>
        <w:tc>
          <w:tcPr>
            <w:tcW w:type="dxa" w:w="5461"/>
            <w:tcBorders>
              <w:top w:val="single" w:sz="4" w:space="0" w:color="999999"/>
              <w:left w:val="single" w:sz="4" w:space="0" w:color="999999"/>
              <w:bottom w:val="single" w:sz="4" w:space="0" w:color="999999"/>
              <w:right w:val="single" w:sz="4" w:space="0" w:color="999999"/>
            </w:tcBorders>
          </w:tcPr>
          <w:p>
            <w:pPr>
              <w:spacing w:after="20" w:before="20"/>
              <w:ind w:left="400"/>
            </w:pPr>
            <w:r>
              <w:rPr>
                <w:sz w:val="16"/>
              </w:rPr>
            </w:r>
            <w:r>
              <w:rPr>
                <w:rFonts w:ascii="Consolas" w:hAnsi="Consolas"/>
                <w:b w:val="0"/>
                <w:sz w:val="16"/>
              </w:rPr>
              <w:t xml:space="preserve">        kb_rag_manager.py</w:t>
            </w:r>
          </w:p>
        </w:tc>
        <w:tc>
          <w:tcPr>
            <w:tcW w:type="dxa" w:w="3377"/>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KBRAGManager: KB RAG contextual (v1.1, NUEVO)</w:t>
            </w:r>
          </w:p>
        </w:tc>
      </w:tr>
      <w:tr>
        <w:tc>
          <w:tcPr>
            <w:tcW w:type="dxa" w:w="5461"/>
            <w:tcBorders>
              <w:top w:val="single" w:sz="4" w:space="0" w:color="999999"/>
              <w:left w:val="single" w:sz="4" w:space="0" w:color="999999"/>
              <w:bottom w:val="single" w:sz="4" w:space="0" w:color="999999"/>
              <w:right w:val="single" w:sz="4" w:space="0" w:color="999999"/>
            </w:tcBorders>
          </w:tcPr>
          <w:p>
            <w:pPr>
              <w:spacing w:after="20" w:before="20"/>
              <w:ind w:left="400"/>
            </w:pPr>
            <w:r>
              <w:rPr>
                <w:sz w:val="16"/>
              </w:rPr>
            </w:r>
            <w:r>
              <w:rPr>
                <w:rFonts w:ascii="Consolas" w:hAnsi="Consolas"/>
                <w:b w:val="0"/>
                <w:sz w:val="16"/>
              </w:rPr>
              <w:t xml:space="preserve">        dashboard.py</w:t>
            </w:r>
          </w:p>
        </w:tc>
        <w:tc>
          <w:tcPr>
            <w:tcW w:type="dxa" w:w="3377"/>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Interfaz Streamlit (7 pestañas)</w:t>
            </w:r>
          </w:p>
        </w:tc>
      </w:tr>
      <w:tr>
        <w:tc>
          <w:tcPr>
            <w:tcW w:type="dxa" w:w="5461"/>
            <w:tcBorders>
              <w:top w:val="single" w:sz="4" w:space="0" w:color="999999"/>
              <w:left w:val="single" w:sz="4" w:space="0" w:color="999999"/>
              <w:bottom w:val="single" w:sz="4" w:space="0" w:color="999999"/>
              <w:right w:val="single" w:sz="4" w:space="0" w:color="999999"/>
            </w:tcBorders>
          </w:tcPr>
          <w:p>
            <w:pPr>
              <w:spacing w:after="20" w:before="20"/>
              <w:ind w:left="400"/>
            </w:pPr>
            <w:r>
              <w:rPr>
                <w:sz w:val="16"/>
              </w:rPr>
            </w:r>
            <w:r>
              <w:rPr>
                <w:rFonts w:ascii="Consolas" w:hAnsi="Consolas"/>
                <w:b w:val="0"/>
                <w:sz w:val="16"/>
              </w:rPr>
              <w:t xml:space="preserve">        statistics.py</w:t>
            </w:r>
          </w:p>
        </w:tc>
        <w:tc>
          <w:tcPr>
            <w:tcW w:type="dxa" w:w="3377"/>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ANOVA + Tukey HSD + IC95</w:t>
            </w:r>
          </w:p>
        </w:tc>
      </w:tr>
      <w:tr>
        <w:tc>
          <w:tcPr>
            <w:tcW w:type="dxa" w:w="5461"/>
            <w:tcBorders>
              <w:top w:val="single" w:sz="4" w:space="0" w:color="999999"/>
              <w:left w:val="single" w:sz="4" w:space="0" w:color="999999"/>
              <w:bottom w:val="single" w:sz="4" w:space="0" w:color="999999"/>
              <w:right w:val="single" w:sz="4" w:space="0" w:color="999999"/>
            </w:tcBorders>
          </w:tcPr>
          <w:p>
            <w:pPr>
              <w:spacing w:after="20" w:before="20"/>
              <w:ind w:left="400"/>
            </w:pPr>
            <w:r>
              <w:rPr>
                <w:sz w:val="16"/>
              </w:rPr>
            </w:r>
            <w:r>
              <w:rPr>
                <w:rFonts w:ascii="Consolas" w:hAnsi="Consolas"/>
                <w:b w:val="0"/>
                <w:sz w:val="16"/>
              </w:rPr>
              <w:t xml:space="preserve">        providers/</w:t>
            </w:r>
          </w:p>
        </w:tc>
        <w:tc>
          <w:tcPr>
            <w:tcW w:type="dxa" w:w="3377"/>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r>
          </w:p>
        </w:tc>
      </w:tr>
      <w:tr>
        <w:tc>
          <w:tcPr>
            <w:tcW w:type="dxa" w:w="5461"/>
            <w:tcBorders>
              <w:top w:val="single" w:sz="4" w:space="0" w:color="999999"/>
              <w:left w:val="single" w:sz="4" w:space="0" w:color="999999"/>
              <w:bottom w:val="single" w:sz="4" w:space="0" w:color="999999"/>
              <w:right w:val="single" w:sz="4" w:space="0" w:color="999999"/>
            </w:tcBorders>
          </w:tcPr>
          <w:p>
            <w:pPr>
              <w:spacing w:after="20" w:before="20"/>
              <w:ind w:left="600"/>
            </w:pPr>
            <w:r>
              <w:rPr>
                <w:sz w:val="16"/>
              </w:rPr>
            </w:r>
            <w:r>
              <w:rPr>
                <w:rFonts w:ascii="Consolas" w:hAnsi="Consolas"/>
                <w:b w:val="0"/>
                <w:sz w:val="16"/>
              </w:rPr>
              <w:t xml:space="preserve">            base.py</w:t>
            </w:r>
          </w:p>
        </w:tc>
        <w:tc>
          <w:tcPr>
            <w:tcW w:type="dxa" w:w="3377"/>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LLMProvider ABC</w:t>
            </w:r>
          </w:p>
        </w:tc>
      </w:tr>
      <w:tr>
        <w:tc>
          <w:tcPr>
            <w:tcW w:type="dxa" w:w="5461"/>
            <w:tcBorders>
              <w:top w:val="single" w:sz="4" w:space="0" w:color="999999"/>
              <w:left w:val="single" w:sz="4" w:space="0" w:color="999999"/>
              <w:bottom w:val="single" w:sz="4" w:space="0" w:color="999999"/>
              <w:right w:val="single" w:sz="4" w:space="0" w:color="999999"/>
            </w:tcBorders>
          </w:tcPr>
          <w:p>
            <w:pPr>
              <w:spacing w:after="20" w:before="20"/>
              <w:ind w:left="600"/>
            </w:pPr>
            <w:r>
              <w:rPr>
                <w:sz w:val="16"/>
              </w:rPr>
            </w:r>
            <w:r>
              <w:rPr>
                <w:rFonts w:ascii="Consolas" w:hAnsi="Consolas"/>
                <w:b w:val="0"/>
                <w:sz w:val="16"/>
              </w:rPr>
              <w:t xml:space="preserve">            factory.py</w:t>
            </w:r>
          </w:p>
        </w:tc>
        <w:tc>
          <w:tcPr>
            <w:tcW w:type="dxa" w:w="3377"/>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LLMProviderFactory</w:t>
            </w:r>
          </w:p>
        </w:tc>
      </w:tr>
      <w:tr>
        <w:tc>
          <w:tcPr>
            <w:tcW w:type="dxa" w:w="5461"/>
            <w:tcBorders>
              <w:top w:val="single" w:sz="4" w:space="0" w:color="999999"/>
              <w:left w:val="single" w:sz="4" w:space="0" w:color="999999"/>
              <w:bottom w:val="single" w:sz="4" w:space="0" w:color="999999"/>
              <w:right w:val="single" w:sz="4" w:space="0" w:color="999999"/>
            </w:tcBorders>
          </w:tcPr>
          <w:p>
            <w:pPr>
              <w:spacing w:after="20" w:before="20"/>
              <w:ind w:left="600"/>
            </w:pPr>
            <w:r>
              <w:rPr>
                <w:sz w:val="16"/>
              </w:rPr>
            </w:r>
            <w:r>
              <w:rPr>
                <w:rFonts w:ascii="Consolas" w:hAnsi="Consolas"/>
                <w:b w:val="0"/>
                <w:sz w:val="16"/>
              </w:rPr>
              <w:t xml:space="preserve">            ollama_provider.py</w:t>
            </w:r>
          </w:p>
        </w:tc>
        <w:tc>
          <w:tcPr>
            <w:tcW w:type="dxa" w:w="3377"/>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Proveedor Ollama (+template KB RAG, v1.1)</w:t>
            </w:r>
          </w:p>
        </w:tc>
      </w:tr>
      <w:tr>
        <w:tc>
          <w:tcPr>
            <w:tcW w:type="dxa" w:w="5461"/>
            <w:tcBorders>
              <w:top w:val="single" w:sz="4" w:space="0" w:color="999999"/>
              <w:left w:val="single" w:sz="4" w:space="0" w:color="999999"/>
              <w:bottom w:val="single" w:sz="4" w:space="0" w:color="999999"/>
              <w:right w:val="single" w:sz="4" w:space="0" w:color="999999"/>
            </w:tcBorders>
          </w:tcPr>
          <w:p>
            <w:pPr>
              <w:spacing w:after="20" w:before="20"/>
              <w:ind w:left="600"/>
            </w:pPr>
            <w:r>
              <w:rPr>
                <w:sz w:val="16"/>
              </w:rPr>
            </w:r>
            <w:r>
              <w:rPr>
                <w:rFonts w:ascii="Consolas" w:hAnsi="Consolas"/>
                <w:b w:val="0"/>
                <w:sz w:val="16"/>
              </w:rPr>
              <w:t xml:space="preserve">            openai_provider.py</w:t>
            </w:r>
          </w:p>
        </w:tc>
        <w:tc>
          <w:tcPr>
            <w:tcW w:type="dxa" w:w="3377"/>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Proveedor OpenAI (cloud)</w:t>
            </w:r>
          </w:p>
        </w:tc>
      </w:tr>
      <w:tr>
        <w:tc>
          <w:tcPr>
            <w:tcW w:type="dxa" w:w="5461"/>
            <w:tcBorders>
              <w:top w:val="single" w:sz="4" w:space="0" w:color="999999"/>
              <w:left w:val="single" w:sz="4" w:space="0" w:color="999999"/>
              <w:bottom w:val="single" w:sz="4" w:space="0" w:color="999999"/>
              <w:right w:val="single" w:sz="4" w:space="0" w:color="999999"/>
            </w:tcBorders>
          </w:tcPr>
          <w:p>
            <w:pPr>
              <w:spacing w:after="20" w:before="20"/>
              <w:ind w:left="600"/>
            </w:pPr>
            <w:r>
              <w:rPr>
                <w:sz w:val="16"/>
              </w:rPr>
            </w:r>
            <w:r>
              <w:rPr>
                <w:rFonts w:ascii="Consolas" w:hAnsi="Consolas"/>
                <w:b w:val="0"/>
                <w:sz w:val="16"/>
              </w:rPr>
              <w:t xml:space="preserve">            anthropic_provider.py</w:t>
            </w:r>
          </w:p>
        </w:tc>
        <w:tc>
          <w:tcPr>
            <w:tcW w:type="dxa" w:w="3377"/>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Proveedor Anthropic (cloud)</w:t>
            </w:r>
          </w:p>
        </w:tc>
      </w:tr>
      <w:tr>
        <w:tc>
          <w:tcPr>
            <w:tcW w:type="dxa" w:w="5461"/>
            <w:tcBorders>
              <w:top w:val="single" w:sz="4" w:space="0" w:color="999999"/>
              <w:left w:val="single" w:sz="4" w:space="0" w:color="999999"/>
              <w:bottom w:val="single" w:sz="4" w:space="0" w:color="999999"/>
              <w:right w:val="single" w:sz="4" w:space="0" w:color="999999"/>
            </w:tcBorders>
          </w:tcPr>
          <w:p>
            <w:pPr>
              <w:spacing w:after="20" w:before="20"/>
              <w:ind w:left="600"/>
            </w:pPr>
            <w:r>
              <w:rPr>
                <w:sz w:val="16"/>
              </w:rPr>
            </w:r>
            <w:r>
              <w:rPr>
                <w:rFonts w:ascii="Consolas" w:hAnsi="Consolas"/>
                <w:b w:val="0"/>
                <w:sz w:val="16"/>
              </w:rPr>
              <w:t xml:space="preserve">            vertexai_provider.py</w:t>
            </w:r>
          </w:p>
        </w:tc>
        <w:tc>
          <w:tcPr>
            <w:tcW w:type="dxa" w:w="3377"/>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Proveedor Google Vertex AI (cloud)</w:t>
            </w:r>
          </w:p>
        </w:tc>
      </w:tr>
      <w:tr>
        <w:tc>
          <w:tcPr>
            <w:tcW w:type="dxa" w:w="5461"/>
            <w:tcBorders>
              <w:top w:val="single" w:sz="4" w:space="0" w:color="999999"/>
              <w:left w:val="single" w:sz="4" w:space="0" w:color="999999"/>
              <w:bottom w:val="single" w:sz="4" w:space="0" w:color="999999"/>
              <w:right w:val="single" w:sz="4" w:space="0" w:color="999999"/>
            </w:tcBorders>
          </w:tcPr>
          <w:p>
            <w:pPr>
              <w:spacing w:after="20" w:before="20"/>
              <w:ind w:left="600"/>
            </w:pPr>
            <w:r>
              <w:rPr>
                <w:sz w:val="16"/>
              </w:rPr>
            </w:r>
            <w:r>
              <w:rPr>
                <w:rFonts w:ascii="Consolas" w:hAnsi="Consolas"/>
                <w:b w:val="0"/>
                <w:sz w:val="16"/>
              </w:rPr>
              <w:t xml:space="preserve">            __init__.py</w:t>
            </w:r>
          </w:p>
        </w:tc>
        <w:tc>
          <w:tcPr>
            <w:tcW w:type="dxa" w:w="3377"/>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Facade get_provider()</w:t>
            </w:r>
          </w:p>
        </w:tc>
      </w:tr>
      <w:tr>
        <w:tc>
          <w:tcPr>
            <w:tcW w:type="dxa" w:w="5461"/>
            <w:tcBorders>
              <w:top w:val="single" w:sz="4" w:space="0" w:color="999999"/>
              <w:left w:val="single" w:sz="4" w:space="0" w:color="999999"/>
              <w:bottom w:val="single" w:sz="4" w:space="0" w:color="999999"/>
              <w:right w:val="single" w:sz="4" w:space="0" w:color="999999"/>
            </w:tcBorders>
          </w:tcPr>
          <w:p>
            <w:pPr>
              <w:spacing w:after="20" w:before="20"/>
              <w:ind w:left="200"/>
            </w:pPr>
            <w:r>
              <w:rPr>
                <w:sz w:val="16"/>
              </w:rPr>
            </w:r>
            <w:r>
              <w:rPr>
                <w:rFonts w:ascii="Consolas" w:hAnsi="Consolas"/>
                <w:b w:val="0"/>
                <w:sz w:val="16"/>
              </w:rPr>
              <w:t xml:space="preserve">    data/</w:t>
            </w:r>
          </w:p>
        </w:tc>
        <w:tc>
          <w:tcPr>
            <w:tcW w:type="dxa" w:w="3377"/>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r>
          </w:p>
        </w:tc>
      </w:tr>
      <w:tr>
        <w:tc>
          <w:tcPr>
            <w:tcW w:type="dxa" w:w="5461"/>
            <w:tcBorders>
              <w:top w:val="single" w:sz="4" w:space="0" w:color="999999"/>
              <w:left w:val="single" w:sz="4" w:space="0" w:color="999999"/>
              <w:bottom w:val="single" w:sz="4" w:space="0" w:color="999999"/>
              <w:right w:val="single" w:sz="4" w:space="0" w:color="999999"/>
            </w:tcBorders>
          </w:tcPr>
          <w:p>
            <w:pPr>
              <w:spacing w:after="20" w:before="20"/>
              <w:ind w:left="400"/>
            </w:pPr>
            <w:r>
              <w:rPr>
                <w:sz w:val="16"/>
              </w:rPr>
            </w:r>
            <w:r>
              <w:rPr>
                <w:rFonts w:ascii="Consolas" w:hAnsi="Consolas"/>
                <w:b w:val="0"/>
                <w:sz w:val="16"/>
              </w:rPr>
              <w:t xml:space="preserve">        benchmark_balanced_120.json</w:t>
            </w:r>
          </w:p>
        </w:tc>
        <w:tc>
          <w:tcPr>
            <w:tcW w:type="dxa" w:w="3377"/>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Corpus N=120 (Gold Standard real)</w:t>
            </w:r>
          </w:p>
        </w:tc>
      </w:tr>
      <w:tr>
        <w:tc>
          <w:tcPr>
            <w:tcW w:type="dxa" w:w="5461"/>
            <w:tcBorders>
              <w:top w:val="single" w:sz="4" w:space="0" w:color="999999"/>
              <w:left w:val="single" w:sz="4" w:space="0" w:color="999999"/>
              <w:bottom w:val="single" w:sz="4" w:space="0" w:color="999999"/>
              <w:right w:val="single" w:sz="4" w:space="0" w:color="999999"/>
            </w:tcBorders>
          </w:tcPr>
          <w:p>
            <w:pPr>
              <w:spacing w:after="20" w:before="20"/>
              <w:ind w:left="400"/>
            </w:pPr>
            <w:r>
              <w:rPr>
                <w:sz w:val="16"/>
              </w:rPr>
            </w:r>
            <w:r>
              <w:rPr>
                <w:rFonts w:ascii="Consolas" w:hAnsi="Consolas"/>
                <w:b w:val="0"/>
                <w:sz w:val="16"/>
              </w:rPr>
              <w:t xml:space="preserve">        dictionaries/</w:t>
            </w:r>
          </w:p>
        </w:tc>
        <w:tc>
          <w:tcPr>
            <w:tcW w:type="dxa" w:w="3377"/>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r>
          </w:p>
        </w:tc>
      </w:tr>
      <w:tr>
        <w:tc>
          <w:tcPr>
            <w:tcW w:type="dxa" w:w="5461"/>
            <w:tcBorders>
              <w:top w:val="single" w:sz="4" w:space="0" w:color="999999"/>
              <w:left w:val="single" w:sz="4" w:space="0" w:color="999999"/>
              <w:bottom w:val="single" w:sz="4" w:space="0" w:color="999999"/>
              <w:right w:val="single" w:sz="4" w:space="0" w:color="999999"/>
            </w:tcBorders>
          </w:tcPr>
          <w:p>
            <w:pPr>
              <w:spacing w:after="20" w:before="20"/>
              <w:ind w:left="600"/>
            </w:pPr>
            <w:r>
              <w:rPr>
                <w:sz w:val="16"/>
              </w:rPr>
            </w:r>
            <w:r>
              <w:rPr>
                <w:rFonts w:ascii="Consolas" w:hAnsi="Consolas"/>
                <w:b w:val="0"/>
                <w:sz w:val="16"/>
              </w:rPr>
              <w:t xml:space="preserve">            persons.json</w:t>
            </w:r>
          </w:p>
        </w:tc>
        <w:tc>
          <w:tcPr>
            <w:tcW w:type="dxa" w:w="3377"/>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Diccionario de personas (v1.0)</w:t>
            </w:r>
          </w:p>
        </w:tc>
      </w:tr>
      <w:tr>
        <w:tc>
          <w:tcPr>
            <w:tcW w:type="dxa" w:w="5461"/>
            <w:tcBorders>
              <w:top w:val="single" w:sz="4" w:space="0" w:color="999999"/>
              <w:left w:val="single" w:sz="4" w:space="0" w:color="999999"/>
              <w:bottom w:val="single" w:sz="4" w:space="0" w:color="999999"/>
              <w:right w:val="single" w:sz="4" w:space="0" w:color="999999"/>
            </w:tcBorders>
          </w:tcPr>
          <w:p>
            <w:pPr>
              <w:spacing w:after="20" w:before="20"/>
              <w:ind w:left="600"/>
            </w:pPr>
            <w:r>
              <w:rPr>
                <w:sz w:val="16"/>
              </w:rPr>
            </w:r>
            <w:r>
              <w:rPr>
                <w:rFonts w:ascii="Consolas" w:hAnsi="Consolas"/>
                <w:b w:val="0"/>
                <w:sz w:val="16"/>
              </w:rPr>
              <w:t xml:space="preserve">            organizations.json</w:t>
            </w:r>
          </w:p>
        </w:tc>
        <w:tc>
          <w:tcPr>
            <w:tcW w:type="dxa" w:w="3377"/>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Diccionario de organizaciones (v1.0)</w:t>
            </w:r>
          </w:p>
        </w:tc>
      </w:tr>
      <w:tr>
        <w:tc>
          <w:tcPr>
            <w:tcW w:type="dxa" w:w="5461"/>
            <w:tcBorders>
              <w:top w:val="single" w:sz="4" w:space="0" w:color="999999"/>
              <w:left w:val="single" w:sz="4" w:space="0" w:color="999999"/>
              <w:bottom w:val="single" w:sz="4" w:space="0" w:color="999999"/>
              <w:right w:val="single" w:sz="4" w:space="0" w:color="999999"/>
            </w:tcBorders>
          </w:tcPr>
          <w:p>
            <w:pPr>
              <w:spacing w:after="20" w:before="20"/>
              <w:ind w:left="600"/>
            </w:pPr>
            <w:r>
              <w:rPr>
                <w:sz w:val="16"/>
              </w:rPr>
            </w:r>
            <w:r>
              <w:rPr>
                <w:rFonts w:ascii="Consolas" w:hAnsi="Consolas"/>
                <w:b w:val="0"/>
                <w:sz w:val="16"/>
              </w:rPr>
              <w:t xml:space="preserve">            augmented_persons.json</w:t>
            </w:r>
          </w:p>
        </w:tc>
        <w:tc>
          <w:tcPr>
            <w:tcW w:type="dxa" w:w="3377"/>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Personas aumentadas (v1.0)</w:t>
            </w:r>
          </w:p>
        </w:tc>
      </w:tr>
      <w:tr>
        <w:tc>
          <w:tcPr>
            <w:tcW w:type="dxa" w:w="5461"/>
            <w:tcBorders>
              <w:top w:val="single" w:sz="4" w:space="0" w:color="999999"/>
              <w:left w:val="single" w:sz="4" w:space="0" w:color="999999"/>
              <w:bottom w:val="single" w:sz="4" w:space="0" w:color="999999"/>
              <w:right w:val="single" w:sz="4" w:space="0" w:color="999999"/>
            </w:tcBorders>
          </w:tcPr>
          <w:p>
            <w:pPr>
              <w:spacing w:after="20" w:before="20"/>
              <w:ind w:left="400"/>
            </w:pPr>
            <w:r>
              <w:rPr>
                <w:sz w:val="16"/>
              </w:rPr>
            </w:r>
            <w:r>
              <w:rPr>
                <w:rFonts w:ascii="Consolas" w:hAnsi="Consolas"/>
                <w:b w:val="0"/>
                <w:sz w:val="16"/>
              </w:rPr>
              <w:t xml:space="preserve">        knowledge_base/</w:t>
            </w:r>
          </w:p>
        </w:tc>
        <w:tc>
          <w:tcPr>
            <w:tcW w:type="dxa" w:w="3377"/>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Base de Conocimientos KB RAG (v1.1, NUEVO)</w:t>
            </w:r>
          </w:p>
        </w:tc>
      </w:tr>
      <w:tr>
        <w:tc>
          <w:tcPr>
            <w:tcW w:type="dxa" w:w="5461"/>
            <w:tcBorders>
              <w:top w:val="single" w:sz="4" w:space="0" w:color="999999"/>
              <w:left w:val="single" w:sz="4" w:space="0" w:color="999999"/>
              <w:bottom w:val="single" w:sz="4" w:space="0" w:color="999999"/>
              <w:right w:val="single" w:sz="4" w:space="0" w:color="999999"/>
            </w:tcBorders>
          </w:tcPr>
          <w:p>
            <w:pPr>
              <w:spacing w:after="20" w:before="20"/>
              <w:ind w:left="600"/>
            </w:pPr>
            <w:r>
              <w:rPr>
                <w:sz w:val="16"/>
              </w:rPr>
            </w:r>
            <w:r>
              <w:rPr>
                <w:rFonts w:ascii="Consolas" w:hAnsi="Consolas"/>
                <w:b w:val="0"/>
                <w:sz w:val="16"/>
              </w:rPr>
              <w:t xml:space="preserve">            domain_guidelines.json</w:t>
            </w:r>
          </w:p>
        </w:tc>
        <w:tc>
          <w:tcPr>
            <w:tcW w:type="dxa" w:w="3377"/>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5 dominios con reglas NER tipológicas</w:t>
            </w:r>
          </w:p>
        </w:tc>
      </w:tr>
      <w:tr>
        <w:tc>
          <w:tcPr>
            <w:tcW w:type="dxa" w:w="5461"/>
            <w:tcBorders>
              <w:top w:val="single" w:sz="4" w:space="0" w:color="999999"/>
              <w:left w:val="single" w:sz="4" w:space="0" w:color="999999"/>
              <w:bottom w:val="single" w:sz="4" w:space="0" w:color="999999"/>
              <w:right w:val="single" w:sz="4" w:space="0" w:color="999999"/>
            </w:tcBorders>
          </w:tcPr>
          <w:p>
            <w:pPr>
              <w:spacing w:after="20" w:before="20"/>
              <w:ind w:left="600"/>
            </w:pPr>
            <w:r>
              <w:rPr>
                <w:sz w:val="16"/>
              </w:rPr>
            </w:r>
            <w:r>
              <w:rPr>
                <w:rFonts w:ascii="Consolas" w:hAnsi="Consolas"/>
                <w:b w:val="0"/>
                <w:sz w:val="16"/>
              </w:rPr>
              <w:t xml:space="preserve">            few_shot_exemplars.json</w:t>
            </w:r>
          </w:p>
        </w:tc>
        <w:tc>
          <w:tcPr>
            <w:tcW w:type="dxa" w:w="3377"/>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7 ejemplares anotados (artículos reales)</w:t>
            </w:r>
          </w:p>
        </w:tc>
      </w:tr>
      <w:tr>
        <w:tc>
          <w:tcPr>
            <w:tcW w:type="dxa" w:w="5461"/>
            <w:tcBorders>
              <w:top w:val="single" w:sz="4" w:space="0" w:color="999999"/>
              <w:left w:val="single" w:sz="4" w:space="0" w:color="999999"/>
              <w:bottom w:val="single" w:sz="4" w:space="0" w:color="999999"/>
              <w:right w:val="single" w:sz="4" w:space="0" w:color="999999"/>
            </w:tcBorders>
          </w:tcPr>
          <w:p>
            <w:pPr>
              <w:spacing w:after="20" w:before="20"/>
              <w:ind w:left="200"/>
            </w:pPr>
            <w:r>
              <w:rPr>
                <w:sz w:val="16"/>
              </w:rPr>
            </w:r>
            <w:r>
              <w:rPr>
                <w:rFonts w:ascii="Consolas" w:hAnsi="Consolas"/>
                <w:b w:val="0"/>
                <w:sz w:val="16"/>
              </w:rPr>
              <w:t xml:space="preserve">    results/</w:t>
            </w:r>
          </w:p>
        </w:tc>
        <w:tc>
          <w:tcPr>
            <w:tcW w:type="dxa" w:w="3377"/>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Salidas del benchmark</w:t>
            </w:r>
          </w:p>
        </w:tc>
      </w:tr>
      <w:tr>
        <w:tc>
          <w:tcPr>
            <w:tcW w:type="dxa" w:w="5461"/>
            <w:tcBorders>
              <w:top w:val="single" w:sz="4" w:space="0" w:color="999999"/>
              <w:left w:val="single" w:sz="4" w:space="0" w:color="999999"/>
              <w:bottom w:val="single" w:sz="4" w:space="0" w:color="999999"/>
              <w:right w:val="single" w:sz="4" w:space="0" w:color="999999"/>
            </w:tcBorders>
          </w:tcPr>
          <w:p>
            <w:pPr>
              <w:spacing w:after="20" w:before="20"/>
              <w:ind w:left="400"/>
            </w:pPr>
            <w:r>
              <w:rPr>
                <w:sz w:val="16"/>
              </w:rPr>
            </w:r>
            <w:r>
              <w:rPr>
                <w:rFonts w:ascii="Consolas" w:hAnsi="Consolas"/>
                <w:b w:val="0"/>
                <w:sz w:val="16"/>
              </w:rPr>
              <w:t xml:space="preserve">        benchmark_results.csv</w:t>
            </w:r>
          </w:p>
        </w:tc>
        <w:tc>
          <w:tcPr>
            <w:tcW w:type="dxa" w:w="3377"/>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r>
          </w:p>
        </w:tc>
      </w:tr>
      <w:tr>
        <w:tc>
          <w:tcPr>
            <w:tcW w:type="dxa" w:w="5461"/>
            <w:tcBorders>
              <w:top w:val="single" w:sz="4" w:space="0" w:color="999999"/>
              <w:left w:val="single" w:sz="4" w:space="0" w:color="999999"/>
              <w:bottom w:val="single" w:sz="4" w:space="0" w:color="999999"/>
              <w:right w:val="single" w:sz="4" w:space="0" w:color="999999"/>
            </w:tcBorders>
          </w:tcPr>
          <w:p>
            <w:pPr>
              <w:spacing w:after="20" w:before="20"/>
              <w:ind w:left="400"/>
            </w:pPr>
            <w:r>
              <w:rPr>
                <w:sz w:val="16"/>
              </w:rPr>
            </w:r>
            <w:r>
              <w:rPr>
                <w:rFonts w:ascii="Consolas" w:hAnsi="Consolas"/>
                <w:b w:val="0"/>
                <w:sz w:val="16"/>
              </w:rPr>
              <w:t xml:space="preserve">        statistical_report.md</w:t>
            </w:r>
          </w:p>
        </w:tc>
        <w:tc>
          <w:tcPr>
            <w:tcW w:type="dxa" w:w="3377"/>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r>
          </w:p>
        </w:tc>
      </w:tr>
      <w:tr>
        <w:tc>
          <w:tcPr>
            <w:tcW w:type="dxa" w:w="5461"/>
            <w:tcBorders>
              <w:top w:val="single" w:sz="4" w:space="0" w:color="999999"/>
              <w:left w:val="single" w:sz="4" w:space="0" w:color="999999"/>
              <w:bottom w:val="single" w:sz="4" w:space="0" w:color="999999"/>
              <w:right w:val="single" w:sz="4" w:space="0" w:color="999999"/>
            </w:tcBorders>
          </w:tcPr>
          <w:p>
            <w:pPr>
              <w:spacing w:after="20" w:before="20"/>
              <w:ind w:left="400"/>
            </w:pPr>
            <w:r>
              <w:rPr>
                <w:sz w:val="16"/>
              </w:rPr>
            </w:r>
            <w:r>
              <w:rPr>
                <w:rFonts w:ascii="Consolas" w:hAnsi="Consolas"/>
                <w:b w:val="0"/>
                <w:sz w:val="16"/>
              </w:rPr>
              <w:t xml:space="preserve">        benchmark_balanced_120_&lt;timestamp&gt;/</w:t>
            </w:r>
          </w:p>
        </w:tc>
        <w:tc>
          <w:tcPr>
            <w:tcW w:type="dxa" w:w="3377"/>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Resultados por ejecución</w:t>
            </w:r>
          </w:p>
        </w:tc>
      </w:tr>
      <w:tr>
        <w:tc>
          <w:tcPr>
            <w:tcW w:type="dxa" w:w="5461"/>
            <w:tcBorders>
              <w:top w:val="single" w:sz="4" w:space="0" w:color="999999"/>
              <w:left w:val="single" w:sz="4" w:space="0" w:color="999999"/>
              <w:bottom w:val="single" w:sz="4" w:space="0" w:color="999999"/>
              <w:right w:val="single" w:sz="4" w:space="0" w:color="999999"/>
            </w:tcBorders>
          </w:tcPr>
          <w:p>
            <w:pPr>
              <w:spacing w:after="20" w:before="20"/>
              <w:ind w:left="200"/>
            </w:pPr>
            <w:r>
              <w:rPr>
                <w:sz w:val="16"/>
              </w:rPr>
            </w:r>
            <w:r>
              <w:rPr>
                <w:rFonts w:ascii="Consolas" w:hAnsi="Consolas"/>
                <w:b w:val="0"/>
                <w:sz w:val="16"/>
              </w:rPr>
              <w:t xml:space="preserve">    research/</w:t>
            </w:r>
          </w:p>
        </w:tc>
        <w:tc>
          <w:tcPr>
            <w:tcW w:type="dxa" w:w="3377"/>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r>
          </w:p>
        </w:tc>
      </w:tr>
      <w:tr>
        <w:tc>
          <w:tcPr>
            <w:tcW w:type="dxa" w:w="5461"/>
            <w:tcBorders>
              <w:top w:val="single" w:sz="4" w:space="0" w:color="999999"/>
              <w:left w:val="single" w:sz="4" w:space="0" w:color="999999"/>
              <w:bottom w:val="single" w:sz="4" w:space="0" w:color="999999"/>
              <w:right w:val="single" w:sz="4" w:space="0" w:color="999999"/>
            </w:tcBorders>
          </w:tcPr>
          <w:p>
            <w:pPr>
              <w:spacing w:after="20" w:before="20"/>
              <w:ind w:left="400"/>
            </w:pPr>
            <w:r>
              <w:rPr>
                <w:sz w:val="16"/>
              </w:rPr>
            </w:r>
            <w:r>
              <w:rPr>
                <w:rFonts w:ascii="Consolas" w:hAnsi="Consolas"/>
                <w:b w:val="0"/>
                <w:sz w:val="16"/>
              </w:rPr>
              <w:t xml:space="preserve">        rag/</w:t>
            </w:r>
          </w:p>
        </w:tc>
        <w:tc>
          <w:tcPr>
            <w:tcW w:type="dxa" w:w="3377"/>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r>
          </w:p>
        </w:tc>
      </w:tr>
      <w:tr>
        <w:tc>
          <w:tcPr>
            <w:tcW w:type="dxa" w:w="5461"/>
            <w:tcBorders>
              <w:top w:val="single" w:sz="4" w:space="0" w:color="999999"/>
              <w:left w:val="single" w:sz="4" w:space="0" w:color="999999"/>
              <w:bottom w:val="single" w:sz="4" w:space="0" w:color="999999"/>
              <w:right w:val="single" w:sz="4" w:space="0" w:color="999999"/>
            </w:tcBorders>
          </w:tcPr>
          <w:p>
            <w:pPr>
              <w:spacing w:after="20" w:before="20"/>
              <w:ind w:left="600"/>
            </w:pPr>
            <w:r>
              <w:rPr>
                <w:sz w:val="16"/>
              </w:rPr>
            </w:r>
            <w:r>
              <w:rPr>
                <w:rFonts w:ascii="Consolas" w:hAnsi="Consolas"/>
                <w:b w:val="0"/>
                <w:sz w:val="16"/>
              </w:rPr>
              <w:t xml:space="preserve">            2026-08-31_analisis_contenido_rag_base_conocimientos.md</w:t>
            </w:r>
          </w:p>
        </w:tc>
        <w:tc>
          <w:tcPr>
            <w:tcW w:type="dxa" w:w="3377"/>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Investigación RAG</w:t>
            </w:r>
          </w:p>
        </w:tc>
      </w:tr>
      <w:tr>
        <w:tc>
          <w:tcPr>
            <w:tcW w:type="dxa" w:w="5461"/>
            <w:tcBorders>
              <w:top w:val="single" w:sz="4" w:space="0" w:color="999999"/>
              <w:left w:val="single" w:sz="4" w:space="0" w:color="999999"/>
              <w:bottom w:val="single" w:sz="4" w:space="0" w:color="999999"/>
              <w:right w:val="single" w:sz="4" w:space="0" w:color="999999"/>
            </w:tcBorders>
          </w:tcPr>
          <w:p>
            <w:pPr>
              <w:spacing w:after="20" w:before="20"/>
              <w:ind w:left="600"/>
            </w:pPr>
            <w:r>
              <w:rPr>
                <w:sz w:val="16"/>
              </w:rPr>
            </w:r>
            <w:r>
              <w:rPr>
                <w:rFonts w:ascii="Consolas" w:hAnsi="Consolas"/>
                <w:b w:val="0"/>
                <w:sz w:val="16"/>
              </w:rPr>
              <w:t xml:space="preserve">            TODO-RAG-20260901.md</w:t>
            </w:r>
          </w:p>
        </w:tc>
        <w:tc>
          <w:tcPr>
            <w:tcW w:type="dxa" w:w="3377"/>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Tracking implementación</w:t>
            </w:r>
          </w:p>
        </w:tc>
      </w:tr>
      <w:tr>
        <w:tc>
          <w:tcPr>
            <w:tcW w:type="dxa" w:w="5461"/>
            <w:tcBorders>
              <w:top w:val="single" w:sz="4" w:space="0" w:color="999999"/>
              <w:left w:val="single" w:sz="4" w:space="0" w:color="999999"/>
              <w:bottom w:val="single" w:sz="4" w:space="0" w:color="999999"/>
              <w:right w:val="single" w:sz="4" w:space="0" w:color="999999"/>
            </w:tcBorders>
          </w:tcPr>
          <w:p>
            <w:pPr>
              <w:spacing w:after="20" w:before="20"/>
              <w:ind w:left="600"/>
            </w:pPr>
            <w:r>
              <w:rPr>
                <w:sz w:val="16"/>
              </w:rPr>
            </w:r>
            <w:r>
              <w:rPr>
                <w:rFonts w:ascii="Consolas" w:hAnsi="Consolas"/>
                <w:b w:val="0"/>
                <w:sz w:val="16"/>
              </w:rPr>
              <w:t xml:space="preserve">            WORKLOG.md</w:t>
            </w:r>
          </w:p>
        </w:tc>
        <w:tc>
          <w:tcPr>
            <w:tcW w:type="dxa" w:w="3377"/>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Bitácora de trabajo</w:t>
            </w:r>
          </w:p>
        </w:tc>
      </w:tr>
      <w:tr>
        <w:tc>
          <w:tcPr>
            <w:tcW w:type="dxa" w:w="5461"/>
            <w:tcBorders>
              <w:top w:val="single" w:sz="4" w:space="0" w:color="999999"/>
              <w:left w:val="single" w:sz="4" w:space="0" w:color="999999"/>
              <w:bottom w:val="single" w:sz="4" w:space="0" w:color="999999"/>
              <w:right w:val="single" w:sz="4" w:space="0" w:color="999999"/>
            </w:tcBorders>
          </w:tcPr>
          <w:p>
            <w:pPr>
              <w:spacing w:after="20" w:before="20"/>
              <w:ind w:left="200"/>
            </w:pPr>
            <w:r>
              <w:rPr>
                <w:sz w:val="16"/>
              </w:rPr>
            </w:r>
            <w:r>
              <w:rPr>
                <w:rFonts w:ascii="Consolas" w:hAnsi="Consolas"/>
                <w:b w:val="0"/>
                <w:sz w:val="16"/>
              </w:rPr>
              <w:t xml:space="preserve">    SYSTEM_PROMPT.md</w:t>
            </w:r>
          </w:p>
        </w:tc>
        <w:tc>
          <w:tcPr>
            <w:tcW w:type="dxa" w:w="3377"/>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Prompt del sistema (few-shot español)</w:t>
            </w:r>
          </w:p>
        </w:tc>
      </w:tr>
      <w:tr>
        <w:tc>
          <w:tcPr>
            <w:tcW w:type="dxa" w:w="5461"/>
            <w:tcBorders>
              <w:top w:val="single" w:sz="4" w:space="0" w:color="999999"/>
              <w:left w:val="single" w:sz="4" w:space="0" w:color="999999"/>
              <w:bottom w:val="single" w:sz="4" w:space="0" w:color="999999"/>
              <w:right w:val="single" w:sz="4" w:space="0" w:color="999999"/>
            </w:tcBorders>
          </w:tcPr>
          <w:p>
            <w:pPr>
              <w:spacing w:after="20" w:before="20"/>
              <w:ind w:left="200"/>
            </w:pPr>
            <w:r>
              <w:rPr>
                <w:sz w:val="16"/>
              </w:rPr>
            </w:r>
            <w:r>
              <w:rPr>
                <w:rFonts w:ascii="Consolas" w:hAnsi="Consolas"/>
                <w:b w:val="0"/>
                <w:sz w:val="16"/>
              </w:rPr>
              <w:t xml:space="preserve">    SYSTEM_PROMPT_EN.md</w:t>
            </w:r>
          </w:p>
        </w:tc>
        <w:tc>
          <w:tcPr>
            <w:tcW w:type="dxa" w:w="3377"/>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Prompt del sistema (inglés)</w:t>
            </w:r>
          </w:p>
        </w:tc>
      </w:tr>
      <w:tr>
        <w:tc>
          <w:tcPr>
            <w:tcW w:type="dxa" w:w="5461"/>
            <w:tcBorders>
              <w:top w:val="single" w:sz="4" w:space="0" w:color="999999"/>
              <w:left w:val="single" w:sz="4" w:space="0" w:color="999999"/>
              <w:bottom w:val="single" w:sz="4" w:space="0" w:color="999999"/>
              <w:right w:val="single" w:sz="4" w:space="0" w:color="999999"/>
            </w:tcBorders>
          </w:tcPr>
          <w:p>
            <w:pPr>
              <w:spacing w:after="20" w:before="20"/>
              <w:ind w:left="200"/>
            </w:pPr>
            <w:r>
              <w:rPr>
                <w:sz w:val="16"/>
              </w:rPr>
            </w:r>
            <w:r>
              <w:rPr>
                <w:rFonts w:ascii="Consolas" w:hAnsi="Consolas"/>
                <w:b w:val="0"/>
                <w:sz w:val="16"/>
              </w:rPr>
              <w:t xml:space="preserve">    SYSTEM_PROMPT_ES.md</w:t>
            </w:r>
          </w:p>
        </w:tc>
        <w:tc>
          <w:tcPr>
            <w:tcW w:type="dxa" w:w="3377"/>
            <w:tcBorders>
              <w:top w:val="single" w:sz="4" w:space="0" w:color="999999"/>
              <w:left w:val="single" w:sz="4" w:space="0" w:color="999999"/>
              <w:bottom w:val="single" w:sz="4" w:space="0" w:color="999999"/>
              <w:right w:val="single" w:sz="4" w:space="0" w:color="999999"/>
            </w:tcBorders>
          </w:tcPr>
          <w:p>
            <w:pPr>
              <w:spacing w:after="20" w:before="20"/>
            </w:pPr>
            <w:r>
              <w:rPr>
                <w:sz w:val="16"/>
              </w:rPr>
            </w:r>
            <w:r>
              <w:rPr>
                <w:b w:val="0"/>
                <w:sz w:val="16"/>
              </w:rPr>
              <w:t>Prompt del sistema (español)</w:t>
            </w:r>
          </w:p>
        </w:tc>
      </w:tr>
    </w:tbl>
    <w:p>
      <w:pPr>
        <w:pStyle w:val="heading2"/>
        <w:numPr>
          <w:ilvl w:val="0"/>
          <w:numId w:val="0"/>
        </w:numPr>
      </w:pPr>
      <w:r>
        <w:t>9.2 Anexo B — Prompt del Sistema (Versión Few-Shot Español)</w:t>
      </w:r>
    </w:p>
    <w:p>
      <w:pPr>
        <w:pStyle w:val="p1a"/>
      </w:pPr>
      <w:r>
        <w:t xml:space="preserve">El prompt de sistema en español (few-shot) incluye: (1) instrucciones de rol (analista de cumplimiento normativo), (2) formato de salida JSON estricto con tipos de entidades, (3) 3 ejemplos completos de artículo → extracción correcta, y (4) reglas de comportamiento ante ambigüedad (no alucinar, preferir omisión a invención).</w:t>
      </w:r>
    </w:p>
    <w:p>
      <w:pPr>
        <w:pStyle w:val="p1a"/>
      </w:pPr>
      <w:r>
        <w:rPr>
          <w:b/>
          <w:bCs/>
        </w:rPr>
        <w:t xml:space="preserve">Ejemplo few-shot 1 (caso persona sancionada):</w:t>
      </w:r>
    </w:p>
    <w:p>
      <w:pPr>
        <w:pStyle w:val="programcode"/>
      </w:pPr>
      <w:r>
        <w:rPr>
          <w:rFonts w:ascii="Consolas" w:hAnsi="Consolas"/>
        </w:rPr>
        <w:t xml:space="preserve">Texto: "El empresario ruso Roman Abramovich fue incluido en las listas de sanciones</w:t>
      </w:r>
      <w:r>
        <w:br/>
      </w:r>
      <w:r>
        <w:rPr>
          <w:rFonts w:ascii="Consolas" w:hAnsi="Consolas"/>
        </w:rPr>
        <w:t xml:space="preserve">        de la Unión Europea por sus vínculos con el régimen del Kremlin a través de</w:t>
      </w:r>
      <w:r>
        <w:br/>
      </w:r>
      <w:r>
        <w:rPr>
          <w:rFonts w:ascii="Consolas" w:hAnsi="Consolas"/>
        </w:rPr>
        <w:t xml:space="preserve">        su empresa Evraz PLC."</w:t>
      </w:r>
      <w:r>
        <w:br/>
      </w:r>
      <w:r>
        <w:rPr>
          <w:rFonts w:ascii="Consolas" w:hAnsi="Consolas"/>
        </w:rPr>
        <w:t xml:space="preserve">Respuesta: {"Persons": ["Roman Abramovich"], "Organizations": ["Evraz PLC"]}</w:t>
      </w:r>
    </w:p>
    <w:p>
      <w:pPr>
        <w:pStyle w:val="p1a"/>
      </w:pPr>
      <w:r>
        <w:rPr>
          <w:b/>
          <w:bCs/>
        </w:rPr>
        <w:t xml:space="preserve">Ejemplo few-shot 2 (caso organización sancionada):</w:t>
      </w:r>
    </w:p>
    <w:p>
      <w:pPr>
        <w:pStyle w:val="programcode"/>
      </w:pPr>
      <w:r>
        <w:rPr>
          <w:rFonts w:ascii="Consolas" w:hAnsi="Consolas"/>
        </w:rPr>
        <w:t xml:space="preserve">Texto: "El Departamento del Tesoro de los Estados Unidos sancionó al banco Rossiya,</w:t>
      </w:r>
      <w:r>
        <w:br/>
      </w:r>
      <w:r>
        <w:rPr>
          <w:rFonts w:ascii="Consolas" w:hAnsi="Consolas"/>
        </w:rPr>
        <w:t xml:space="preserve">        señalándolo como banco personal de altos funcionarios del gobierno ruso."</w:t>
      </w:r>
      <w:r>
        <w:br/>
      </w:r>
      <w:r>
        <w:rPr>
          <w:rFonts w:ascii="Consolas" w:hAnsi="Consolas"/>
        </w:rPr>
        <w:t xml:space="preserve">Respuesta: {"Persons": [], "Organizations": ["Banco Rossiya", "Departamento del Tesoro"]}</w:t>
      </w:r>
    </w:p>
    <w:p>
      <w:pPr>
        <w:pStyle w:val="p1a"/>
      </w:pPr>
      <w:r>
        <w:rPr>
          <w:b/>
          <w:bCs/>
        </w:rPr>
        <w:t xml:space="preserve">Ejemplo few-shot 3 (caso PEP complejo):</w:t>
      </w:r>
    </w:p>
    <w:p>
      <w:pPr>
        <w:pStyle w:val="programcode"/>
      </w:pPr>
      <w:r>
        <w:rPr>
          <w:rFonts w:ascii="Consolas" w:hAnsi="Consolas"/>
        </w:rPr>
        <w:t xml:space="preserve">Texto: "Isabel dos Santos, hija del expresidente angoleño José Eduardo dos Santos,</w:t>
      </w:r>
      <w:r>
        <w:br/>
      </w:r>
      <w:r>
        <w:rPr>
          <w:rFonts w:ascii="Consolas" w:hAnsi="Consolas"/>
        </w:rPr>
        <w:t xml:space="preserve">        figura en investigaciones de la empresa estatal Sonangol por presunto desvío</w:t>
      </w:r>
      <w:r>
        <w:br/>
      </w:r>
      <w:r>
        <w:rPr>
          <w:rFonts w:ascii="Consolas" w:hAnsi="Consolas"/>
        </w:rPr>
        <w:t xml:space="preserve">        de fondos."</w:t>
      </w:r>
      <w:r>
        <w:br/>
      </w:r>
      <w:r>
        <w:rPr>
          <w:rFonts w:ascii="Consolas" w:hAnsi="Consolas"/>
        </w:rPr>
        <w:t xml:space="preserve">Respuesta: {"Persons": ["Isabel dos Santos", "José Eduardo dos Santos"],</w:t>
      </w:r>
      <w:r>
        <w:br/>
      </w:r>
      <w:r>
        <w:rPr>
          <w:rFonts w:ascii="Consolas" w:hAnsi="Consolas"/>
        </w:rPr>
        <w:t xml:space="preserve">             "Organizations": ["Sonangol"]}</w:t>
      </w:r>
    </w:p>
    <w:p>
      <w:pPr>
        <w:pStyle w:val="heading2"/>
        <w:numPr>
          <w:ilvl w:val="0"/>
          <w:numId w:val="0"/>
        </w:numPr>
      </w:pPr>
      <w:r>
        <w:t>9.3 Anexo C — Configuración del Entorno de Pruebas</w:t>
      </w:r>
    </w:p>
    <w:p>
      <w:pPr>
        <w:pStyle w:val="tablecaption"/>
      </w:pPr>
      <w:r>
        <w:t xml:space="preserve">Tabla 13. Configuración del Entorno de Pruebas</w:t>
      </w:r>
    </w:p>
    <w:tbl>
      <w:tblPr>
        <w:tblStyle w:val="Table"/>
        <w:tblW w:type="dxa" w:w="8838"/>
        <w:tblLayout w:type="fixed"/>
        <w:tblLook w:firstRow="1" w:lastRow="0" w:firstColumn="0" w:lastColumn="0" w:noHBand="0" w:noVBand="0" w:val="0020"/>
      </w:tblPr>
      <w:tblGrid>
        <w:gridCol w:w="4419"/>
        <w:gridCol w:w="4419"/>
      </w:tblGrid>
      <w:tr>
        <w:trPr>
          <w:tblHeader w:val="on"/>
        </w:trPr>
        <w:tc>
          <w:tcPr>
            <w:tcW w:type="dxa" w:w="4419"/>
          </w:tcPr>
          <w:p>
            <w:pPr>
              <w:pStyle w:val="Compact"/>
              <w:jc w:val="left"/>
            </w:pPr>
            <w:r>
              <w:t xml:space="preserve">Componente</w:t>
            </w:r>
          </w:p>
        </w:tc>
        <w:tc>
          <w:tcPr>
            <w:tcW w:type="dxa" w:w="4419"/>
          </w:tcPr>
          <w:p>
            <w:pPr>
              <w:pStyle w:val="Compact"/>
              <w:jc w:val="left"/>
            </w:pPr>
            <w:r>
              <w:t xml:space="preserve">Especificación</w:t>
            </w:r>
          </w:p>
        </w:tc>
      </w:tr>
      <w:tr>
        <w:tc>
          <w:tcPr>
            <w:tcW w:type="dxa" w:w="4419"/>
          </w:tcPr>
          <w:p>
            <w:pPr>
              <w:pStyle w:val="Compact"/>
              <w:jc w:val="left"/>
            </w:pPr>
            <w:r>
              <w:t xml:space="preserve">Hardware</w:t>
            </w:r>
          </w:p>
        </w:tc>
        <w:tc>
          <w:tcPr>
            <w:tcW w:type="dxa" w:w="4419"/>
          </w:tcPr>
          <w:p>
            <w:pPr>
              <w:pStyle w:val="Compact"/>
              <w:jc w:val="left"/>
            </w:pPr>
            <w:r>
              <w:t xml:space="preserve">Apple MacBook Pro, chip M4 Max</w:t>
            </w:r>
          </w:p>
        </w:tc>
      </w:tr>
      <w:tr>
        <w:tc>
          <w:tcPr>
            <w:tcW w:type="dxa" w:w="4419"/>
          </w:tcPr>
          <w:p>
            <w:pPr>
              <w:pStyle w:val="Compact"/>
              <w:jc w:val="left"/>
            </w:pPr>
            <w:r>
              <w:t xml:space="preserve">Memoria Unificada</w:t>
            </w:r>
          </w:p>
        </w:tc>
        <w:tc>
          <w:tcPr>
            <w:tcW w:type="dxa" w:w="4419"/>
          </w:tcPr>
          <w:p>
            <w:pPr>
              <w:pStyle w:val="Compact"/>
              <w:jc w:val="left"/>
            </w:pPr>
            <w:r>
              <w:t xml:space="preserve">16 GB Metal (MPS)</w:t>
            </w:r>
          </w:p>
        </w:tc>
      </w:tr>
      <w:tr>
        <w:tc>
          <w:tcPr>
            <w:tcW w:type="dxa" w:w="4419"/>
          </w:tcPr>
          <w:p>
            <w:pPr>
              <w:pStyle w:val="Compact"/>
              <w:jc w:val="left"/>
            </w:pPr>
            <w:r>
              <w:t xml:space="preserve">Sistema Operativo</w:t>
            </w:r>
          </w:p>
        </w:tc>
        <w:tc>
          <w:tcPr>
            <w:tcW w:type="dxa" w:w="4419"/>
          </w:tcPr>
          <w:p>
            <w:pPr>
              <w:pStyle w:val="Compact"/>
              <w:jc w:val="left"/>
            </w:pPr>
            <w:r>
              <w:t xml:space="preserve">macOS 15.x (Sequoia)</w:t>
            </w:r>
          </w:p>
        </w:tc>
      </w:tr>
      <w:tr>
        <w:tc>
          <w:tcPr>
            <w:tcW w:type="dxa" w:w="4419"/>
          </w:tcPr>
          <w:p>
            <w:pPr>
              <w:pStyle w:val="Compact"/>
              <w:jc w:val="left"/>
            </w:pPr>
            <w:r>
              <w:t xml:space="preserve">Python</w:t>
            </w:r>
          </w:p>
        </w:tc>
        <w:tc>
          <w:tcPr>
            <w:tcW w:type="dxa" w:w="4419"/>
          </w:tcPr>
          <w:p>
            <w:pPr>
              <w:pStyle w:val="Compact"/>
              <w:jc w:val="left"/>
            </w:pPr>
            <w:r>
              <w:t xml:space="preserve">3.13.0</w:t>
            </w:r>
          </w:p>
        </w:tc>
      </w:tr>
      <w:tr>
        <w:tc>
          <w:tcPr>
            <w:tcW w:type="dxa" w:w="4419"/>
          </w:tcPr>
          <w:p>
            <w:pPr>
              <w:pStyle w:val="Compact"/>
              <w:jc w:val="left"/>
            </w:pPr>
            <w:r>
              <w:t xml:space="preserve">Ollama</w:t>
            </w:r>
          </w:p>
        </w:tc>
        <w:tc>
          <w:tcPr>
            <w:tcW w:type="dxa" w:w="4419"/>
          </w:tcPr>
          <w:p>
            <w:pPr>
              <w:pStyle w:val="Compact"/>
              <w:jc w:val="left"/>
            </w:pPr>
            <w:r>
              <w:t xml:space="preserve">0.6+</w:t>
            </w:r>
          </w:p>
        </w:tc>
      </w:tr>
      <w:tr>
        <w:tc>
          <w:tcPr>
            <w:tcW w:type="dxa" w:w="4419"/>
          </w:tcPr>
          <w:p>
            <w:pPr>
              <w:pStyle w:val="Compact"/>
              <w:jc w:val="left"/>
            </w:pPr>
            <w:r>
              <w:t xml:space="preserve">Modelos descargados</w:t>
            </w:r>
          </w:p>
        </w:tc>
        <w:tc>
          <w:tcPr>
            <w:tcW w:type="dxa" w:w="4419"/>
          </w:tcPr>
          <w:p>
            <w:pPr>
              <w:pStyle w:val="Compact"/>
              <w:jc w:val="left"/>
            </w:pPr>
            <w:r>
              <w:t xml:space="preserve">gemma4:31b (19 GB), gemma4:12b (5 GB), llama3.2 (2 GB), deepseek-r1:1.5b (1.1 GB)</w:t>
            </w:r>
          </w:p>
        </w:tc>
      </w:tr>
      <w:tr>
        <w:tc>
          <w:tcPr>
            <w:tcW w:type="dxa" w:w="4419"/>
          </w:tcPr>
          <w:p>
            <w:pPr>
              <w:pStyle w:val="Compact"/>
              <w:jc w:val="left"/>
            </w:pPr>
            <w:r>
              <w:t xml:space="preserve">Tiempo total de benchmark (N=30, 2 modelos)</w:t>
            </w:r>
          </w:p>
        </w:tc>
        <w:tc>
          <w:tcPr>
            <w:tcW w:type="dxa" w:w="4419"/>
          </w:tcPr>
          <w:p>
            <w:pPr>
              <w:pStyle w:val="Compact"/>
              <w:jc w:val="left"/>
            </w:pPr>
            <w:r>
              <w:t xml:space="preserve">~29 minutos (serial)</w:t>
            </w:r>
          </w:p>
        </w:tc>
      </w:tr>
    </w:tbl>
    <w:p>
      <w:pPr>
        <w:numPr>
          <w:ilvl w:val="0"/>
          <w:numId w:val="0"/>
        </w:numPr>
        <w:pStyle w:val="heading2"/>
      </w:pPr>
      <w:r>
        <w:t xml:space="preserve">9.4 Anexo D — Detalle Técnico de la Optimización del Módulo RAG Contextual (KB RAG)</w:t>
      </w:r>
    </w:p>
    <w:p>
      <w:pPr>
        <w:pStyle w:val="p1a"/>
      </w:pPr>
      <w:r>
        <w:t xml:space="preserve">Se documentan aquí los diagramas de flujo, tablas de configuración CLI y catálogos de datos referidos en §5.6, movidos desde el cuerpo del informe para cumplir el límite de extensión institucional. Toda la evidencia se conserva íntegra.</w:t>
      </w:r>
    </w:p>
    <w:p>
      <w:pPr>
        <w:numPr>
          <w:ilvl w:val="0"/>
          <w:numId w:val="0"/>
        </w:numPr>
        <w:pStyle w:val="heading3"/>
      </w:pPr>
      <w:r>
        <w:t xml:space="preserve">D.1 Flujo RAG Original (Degradado)</w:t>
      </w:r>
    </w:p>
    <w:p>
      <w:pPr>
        <w:pStyle w:val="tablecaption"/>
      </w:pPr>
      <w:r>
        <w:t xml:space="preserve">Tabla 14. Flujo RAG Original (Degradado)</w:t>
      </w:r>
    </w:p>
    <w:tbl>
      <w:tblPr>
        <w:tblW w:type="dxa" w:w="8838"/>
        <w:jc w:val="center"/>
        <w:tblLayout w:type="fixed"/>
        <w:tblLook w:firstColumn="1" w:firstRow="1" w:lastColumn="0" w:lastRow="0" w:noHBand="0" w:noVBand="1" w:val="04A0"/>
      </w:tblPr>
      <w:tblGrid>
        <w:gridCol w:w="2160"/>
        <w:gridCol w:w="3338"/>
        <w:gridCol w:w="3340"/>
      </w:tblGrid>
      <w:tr>
        <w:tc>
          <w:tcPr>
            <w:tcW w:type="dxa" w:w="2160"/>
            <w:tcBorders>
              <w:top w:val="single" w:sz="4" w:space="0" w:color="999999"/>
              <w:left w:val="single" w:sz="4" w:space="0" w:color="999999"/>
              <w:bottom w:val="single" w:sz="4" w:space="0" w:color="999999"/>
              <w:right w:val="single" w:sz="4" w:space="0" w:color="999999"/>
            </w:tcBorders>
            <w:shd w:val="clear" w:color="auto" w:fill="D9E2F3"/>
          </w:tcPr>
          <w:p>
            <w:pPr>
              <w:spacing w:after="40" w:before="40"/>
            </w:pPr>
            <w:r>
              <w:rPr>
                <w:b/>
                <w:sz w:val="18"/>
              </w:rPr>
            </w:r>
            <w:r>
              <w:rPr>
                <w:b/>
                <w:sz w:val="18"/>
              </w:rPr>
              <w:t>Paso</w:t>
            </w:r>
          </w:p>
        </w:tc>
        <w:tc>
          <w:tcPr>
            <w:tcW w:type="dxa" w:w="3338"/>
            <w:tcBorders>
              <w:top w:val="single" w:sz="4" w:space="0" w:color="999999"/>
              <w:left w:val="single" w:sz="4" w:space="0" w:color="999999"/>
              <w:bottom w:val="single" w:sz="4" w:space="0" w:color="999999"/>
              <w:right w:val="single" w:sz="4" w:space="0" w:color="999999"/>
            </w:tcBorders>
            <w:shd w:val="clear" w:color="auto" w:fill="D9E2F3"/>
          </w:tcPr>
          <w:p>
            <w:pPr>
              <w:spacing w:after="40" w:before="40"/>
            </w:pPr>
            <w:r>
              <w:rPr>
                <w:b/>
                <w:sz w:val="18"/>
              </w:rPr>
            </w:r>
            <w:r>
              <w:rPr>
                <w:b/>
                <w:sz w:val="18"/>
              </w:rPr>
              <w:t>Acción</w:t>
            </w:r>
          </w:p>
        </w:tc>
        <w:tc>
          <w:tcPr>
            <w:tcW w:type="dxa" w:w="3340"/>
            <w:tcBorders>
              <w:top w:val="single" w:sz="4" w:space="0" w:color="999999"/>
              <w:left w:val="single" w:sz="4" w:space="0" w:color="999999"/>
              <w:bottom w:val="single" w:sz="4" w:space="0" w:color="999999"/>
              <w:right w:val="single" w:sz="4" w:space="0" w:color="999999"/>
            </w:tcBorders>
            <w:shd w:val="clear" w:color="auto" w:fill="D9E2F3"/>
          </w:tcPr>
          <w:p>
            <w:pPr>
              <w:spacing w:after="40" w:before="40"/>
            </w:pPr>
            <w:r>
              <w:rPr>
                <w:b/>
                <w:sz w:val="18"/>
              </w:rPr>
            </w:r>
            <w:r>
              <w:rPr>
                <w:b/>
                <w:sz w:val="18"/>
              </w:rPr>
              <w:t>Resultado</w:t>
            </w:r>
          </w:p>
        </w:tc>
      </w:tr>
      <w:tr>
        <w:tc>
          <w:tcPr>
            <w:tcW w:type="dxa" w:w="2160"/>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1. Entrada</w:t>
            </w:r>
          </w:p>
        </w:tc>
        <w:tc>
          <w:tcPr>
            <w:tcW w:type="dxa" w:w="3338"/>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Noticia política española (500 palabras)</w:t>
            </w:r>
          </w:p>
        </w:tc>
        <w:tc>
          <w:tcPr>
            <w:tcW w:type="dxa" w:w="3340"/>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w:t>
            </w:r>
          </w:p>
        </w:tc>
      </w:tr>
      <w:tr>
        <w:tc>
          <w:tcPr>
            <w:tcW w:type="dxa" w:w="2160"/>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2. Embedding</w:t>
            </w:r>
          </w:p>
        </w:tc>
        <w:tc>
          <w:tcPr>
            <w:tcW w:type="dxa" w:w="3338"/>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all-MiniLM-L6-v2</w:t>
            </w:r>
          </w:p>
        </w:tc>
        <w:tc>
          <w:tcPr>
            <w:tcW w:type="dxa" w:w="3340"/>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Vector de consulta</w:t>
            </w:r>
          </w:p>
        </w:tc>
      </w:tr>
      <w:tr>
        <w:tc>
          <w:tcPr>
            <w:tcW w:type="dxa" w:w="2160"/>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3. Recuperación</w:t>
            </w:r>
          </w:p>
        </w:tc>
        <w:tc>
          <w:tcPr>
            <w:tcW w:type="dxa" w:w="3338"/>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ChromaDB: Top-5 por coseno</w:t>
            </w:r>
          </w:p>
        </w:tc>
        <w:tc>
          <w:tcPr>
            <w:tcW w:type="dxa" w:w="3340"/>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GRANJA LA SIERRA LTDA. (Org); ASES DE COMPETENCIA Y CIA. (Org); [3 orgs colombianas irrelevantes]</w:t>
            </w:r>
          </w:p>
        </w:tc>
      </w:tr>
      <w:tr>
        <w:tc>
          <w:tcPr>
            <w:tcW w:type="dxa" w:w="2160"/>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4. Inyección en prompt</w:t>
            </w:r>
          </w:p>
        </w:tc>
        <w:tc>
          <w:tcPr>
            <w:tcW w:type="dxa" w:w="3338"/>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Restrictiva: "DO NOT extract unless they explicitly appear..."</w:t>
            </w:r>
          </w:p>
        </w:tc>
        <w:tc>
          <w:tcPr>
            <w:tcW w:type="dxa" w:w="3340"/>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w:t>
            </w:r>
          </w:p>
        </w:tc>
      </w:tr>
      <w:tr>
        <w:tc>
          <w:tcPr>
            <w:tcW w:type="dxa" w:w="2160"/>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5. Efecto en LLM</w:t>
            </w:r>
          </w:p>
        </w:tc>
        <w:tc>
          <w:tcPr>
            <w:tcW w:type="dxa" w:w="3338"/>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w:t>
            </w:r>
          </w:p>
        </w:tc>
        <w:tc>
          <w:tcPr>
            <w:tcW w:type="dxa" w:w="3340"/>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Recall: 62.8% → 21.6%  ❌</w:t>
            </w:r>
          </w:p>
        </w:tc>
      </w:tr>
    </w:tbl>
    <w:p>
      <w:pPr>
        <w:numPr>
          <w:ilvl w:val="0"/>
          <w:numId w:val="0"/>
        </w:numPr>
        <w:pStyle w:val="heading3"/>
      </w:pPr>
      <w:r>
        <w:t xml:space="preserve">D.2 Flujo KB RAG (Mejorado)</w:t>
      </w:r>
    </w:p>
    <w:p>
      <w:pPr>
        <w:pStyle w:val="tablecaption"/>
      </w:pPr>
      <w:r>
        <w:t xml:space="preserve">Tabla 15. Flujo KB RAG (Mejorado)</w:t>
      </w:r>
    </w:p>
    <w:tbl>
      <w:tblPr>
        <w:tblW w:type="dxa" w:w="8838"/>
        <w:jc w:val="center"/>
        <w:tblLayout w:type="fixed"/>
        <w:tblLook w:firstColumn="1" w:firstRow="1" w:lastColumn="0" w:lastRow="0" w:noHBand="0" w:noVBand="1" w:val="04A0"/>
      </w:tblPr>
      <w:tblGrid>
        <w:gridCol w:w="2160"/>
        <w:gridCol w:w="3338"/>
        <w:gridCol w:w="3340"/>
      </w:tblGrid>
      <w:tr>
        <w:tc>
          <w:tcPr>
            <w:tcW w:type="dxa" w:w="2160"/>
            <w:tcBorders>
              <w:top w:val="single" w:sz="4" w:space="0" w:color="999999"/>
              <w:left w:val="single" w:sz="4" w:space="0" w:color="999999"/>
              <w:bottom w:val="single" w:sz="4" w:space="0" w:color="999999"/>
              <w:right w:val="single" w:sz="4" w:space="0" w:color="999999"/>
            </w:tcBorders>
            <w:shd w:val="clear" w:color="auto" w:fill="D9E2F3"/>
          </w:tcPr>
          <w:p>
            <w:pPr>
              <w:spacing w:after="40" w:before="40"/>
            </w:pPr>
            <w:r>
              <w:rPr>
                <w:b/>
                <w:sz w:val="18"/>
              </w:rPr>
            </w:r>
            <w:r>
              <w:rPr>
                <w:b/>
                <w:sz w:val="18"/>
              </w:rPr>
              <w:t>Paso</w:t>
            </w:r>
          </w:p>
        </w:tc>
        <w:tc>
          <w:tcPr>
            <w:tcW w:type="dxa" w:w="3338"/>
            <w:tcBorders>
              <w:top w:val="single" w:sz="4" w:space="0" w:color="999999"/>
              <w:left w:val="single" w:sz="4" w:space="0" w:color="999999"/>
              <w:bottom w:val="single" w:sz="4" w:space="0" w:color="999999"/>
              <w:right w:val="single" w:sz="4" w:space="0" w:color="999999"/>
            </w:tcBorders>
            <w:shd w:val="clear" w:color="auto" w:fill="D9E2F3"/>
          </w:tcPr>
          <w:p>
            <w:pPr>
              <w:spacing w:after="40" w:before="40"/>
            </w:pPr>
            <w:r>
              <w:rPr>
                <w:b/>
                <w:sz w:val="18"/>
              </w:rPr>
            </w:r>
            <w:r>
              <w:rPr>
                <w:b/>
                <w:sz w:val="18"/>
              </w:rPr>
              <w:t>Acción</w:t>
            </w:r>
          </w:p>
        </w:tc>
        <w:tc>
          <w:tcPr>
            <w:tcW w:type="dxa" w:w="3340"/>
            <w:tcBorders>
              <w:top w:val="single" w:sz="4" w:space="0" w:color="999999"/>
              <w:left w:val="single" w:sz="4" w:space="0" w:color="999999"/>
              <w:bottom w:val="single" w:sz="4" w:space="0" w:color="999999"/>
              <w:right w:val="single" w:sz="4" w:space="0" w:color="999999"/>
            </w:tcBorders>
            <w:shd w:val="clear" w:color="auto" w:fill="D9E2F3"/>
          </w:tcPr>
          <w:p>
            <w:pPr>
              <w:spacing w:after="40" w:before="40"/>
            </w:pPr>
            <w:r>
              <w:rPr>
                <w:b/>
                <w:sz w:val="18"/>
              </w:rPr>
            </w:r>
            <w:r>
              <w:rPr>
                <w:b/>
                <w:sz w:val="18"/>
              </w:rPr>
              <w:t>Resultado</w:t>
            </w:r>
          </w:p>
        </w:tc>
      </w:tr>
      <w:tr>
        <w:tc>
          <w:tcPr>
            <w:tcW w:type="dxa" w:w="2160"/>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1. Entrada</w:t>
            </w:r>
          </w:p>
        </w:tc>
        <w:tc>
          <w:tcPr>
            <w:tcW w:type="dxa" w:w="3338"/>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Noticia política española (500 palabras)</w:t>
            </w:r>
          </w:p>
        </w:tc>
        <w:tc>
          <w:tcPr>
            <w:tcW w:type="dxa" w:w="3340"/>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w:t>
            </w:r>
          </w:p>
        </w:tc>
      </w:tr>
      <w:tr>
        <w:tc>
          <w:tcPr>
            <w:tcW w:type="dxa" w:w="2160"/>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2. Embedding</w:t>
            </w:r>
          </w:p>
        </w:tc>
        <w:tc>
          <w:tcPr>
            <w:tcW w:type="dxa" w:w="3338"/>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all-MiniLM-L6-v2</w:t>
            </w:r>
          </w:p>
        </w:tc>
        <w:tc>
          <w:tcPr>
            <w:tcW w:type="dxa" w:w="3340"/>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Vector de consulta</w:t>
            </w:r>
          </w:p>
        </w:tc>
      </w:tr>
      <w:tr>
        <w:tc>
          <w:tcPr>
            <w:tcW w:type="dxa" w:w="2160"/>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3. Recuperación</w:t>
            </w:r>
          </w:p>
        </w:tc>
        <w:tc>
          <w:tcPr>
            <w:tcW w:type="dxa" w:w="3338"/>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ChromaDB 'ner_knowledge_base': Top-1 guideline + Top-1 exemplar</w:t>
            </w:r>
          </w:p>
        </w:tc>
        <w:tc>
          <w:tcPr>
            <w:tcW w:type="dxa" w:w="3340"/>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Dominio recuperado: politics_administrative (ES)</w:t>
            </w:r>
          </w:p>
        </w:tc>
      </w:tr>
      <w:tr>
        <w:tc>
          <w:tcPr>
            <w:tcW w:type="dxa" w:w="2160"/>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4. Contexto inyectado</w:t>
            </w:r>
          </w:p>
        </w:tc>
        <w:tc>
          <w:tcPr>
            <w:tcW w:type="dxa" w:w="3338"/>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DOMAIN CONTEXT (ver detalle abajo) + ejemplo similar recuperado</w:t>
            </w:r>
          </w:p>
        </w:tc>
        <w:tc>
          <w:tcPr>
            <w:tcW w:type="dxa" w:w="3340"/>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w:t>
            </w:r>
          </w:p>
        </w:tc>
      </w:tr>
      <w:tr>
        <w:tc>
          <w:tcPr>
            <w:tcW w:type="dxa" w:w="2160"/>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5. Inyección en prompt</w:t>
            </w:r>
          </w:p>
        </w:tc>
        <w:tc>
          <w:tcPr>
            <w:tcW w:type="dxa" w:w="3338"/>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Positiva: "[EXTRACTION GUIDANCE]"</w:t>
            </w:r>
          </w:p>
        </w:tc>
        <w:tc>
          <w:tcPr>
            <w:tcW w:type="dxa" w:w="3340"/>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w:t>
            </w:r>
          </w:p>
        </w:tc>
      </w:tr>
      <w:tr>
        <w:tc>
          <w:tcPr>
            <w:tcW w:type="dxa" w:w="2160"/>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6. Efecto en LLM</w:t>
            </w:r>
          </w:p>
        </w:tc>
        <w:tc>
          <w:tcPr>
            <w:tcW w:type="dxa" w:w="3338"/>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w:t>
            </w:r>
          </w:p>
        </w:tc>
        <w:tc>
          <w:tcPr>
            <w:tcW w:type="dxa" w:w="3340"/>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sz w:val="18"/>
              </w:rPr>
              <w:t>F1: 0.3521 → 0.5489  ✅  (+19.7 pp)</w:t>
            </w:r>
          </w:p>
          <w:p>
            <w:pPr>
              <w:spacing w:after="40" w:before="40"/>
            </w:pPr>
            <w:r>
              <w:rPr>
                <w:sz w:val="18"/>
              </w:rPr>
              <w:t>Recall: 33.3% → 59.5%  ✅  (+26.2 pp)</w:t>
            </w:r>
          </w:p>
        </w:tc>
      </w:tr>
    </w:tbl>
    <w:p>
      <w:pPr>
        <w:numPr>
          <w:ilvl w:val="0"/>
          <w:numId w:val="0"/>
        </w:numPr>
        <w:pStyle w:val="heading3"/>
      </w:pPr>
      <w:r>
        <w:t xml:space="preserve">D.3 Implementación Técnica del Módulo KB RAG (src/kb_rag_manager.py)</w:t>
      </w:r>
    </w:p>
    <w:p>
      <w:pPr>
        <w:pStyle w:val="p1a"/>
      </w:pPr>
      <w:r>
        <w:t xml:space="preserve">El módulo</w:t>
      </w:r>
      <w:r>
        <w:t xml:space="preserve"> </w:t>
      </w:r>
      <w:r>
        <w:rPr>
          <w:rFonts w:ascii="Consolas" w:hAnsi="Consolas"/>
        </w:rPr>
        <w:t xml:space="preserve">src/kb_rag_manager.py</w:t>
      </w:r>
      <w:r>
        <w:t xml:space="preserve"> </w:t>
      </w:r>
      <w:r>
        <w:t xml:space="preserve">(</w:t>
      </w:r>
      <w:r>
        <w:rPr>
          <w:rFonts w:ascii="Consolas" w:hAnsi="Consolas"/>
        </w:rPr>
        <w:t xml:space="preserve">KBRAGManager</w:t>
      </w:r>
      <w:r>
        <w:t xml:space="preserve">) implementa cuatro modos de operación configurables:</w:t>
      </w:r>
    </w:p>
    <w:p>
      <w:pPr>
        <w:pStyle w:val="tablecaption"/>
      </w:pPr>
      <w:r>
        <w:t xml:space="preserve">Tabla 16. Configuración CLI del Módulo KB RAG</w:t>
      </w:r>
    </w:p>
    <w:tbl>
      <w:tblPr>
        <w:tblStyle w:val="Table"/>
        <w:tblW w:type="dxa" w:w="8838"/>
        <w:tblLayout w:type="fixed"/>
        <w:tblLook w:firstRow="1" w:lastRow="0" w:firstColumn="0" w:lastColumn="0" w:noHBand="0" w:noVBand="0" w:val="0020"/>
      </w:tblPr>
      <w:tblGrid>
        <w:gridCol w:w="1148"/>
        <w:gridCol w:w="2121"/>
        <w:gridCol w:w="3004"/>
        <w:gridCol w:w="2565"/>
      </w:tblGrid>
      <w:tr>
        <w:trPr>
          <w:tblHeader w:val="on"/>
        </w:trPr>
        <w:tc>
          <w:tcPr>
            <w:tcW w:type="dxa" w:w="1148"/>
          </w:tcPr>
          <w:p>
            <w:pPr>
              <w:pStyle w:val="Compact"/>
              <w:jc w:val="left"/>
            </w:pPr>
            <w:r>
              <w:t xml:space="preserve">Modo</w:t>
            </w:r>
          </w:p>
        </w:tc>
        <w:tc>
          <w:tcPr>
            <w:tcW w:type="dxa" w:w="2121"/>
          </w:tcPr>
          <w:p>
            <w:pPr>
              <w:pStyle w:val="Compact"/>
              <w:jc w:val="center"/>
            </w:pPr>
            <w:r>
              <w:t xml:space="preserve">Flag CLI</w:t>
            </w:r>
          </w:p>
        </w:tc>
        <w:tc>
          <w:tcPr>
            <w:tcW w:type="dxa" w:w="3004"/>
          </w:tcPr>
          <w:p>
            <w:pPr>
              <w:pStyle w:val="Compact"/>
              <w:jc w:val="left"/>
            </w:pPr>
            <w:r>
              <w:t xml:space="preserve">Descripción</w:t>
            </w:r>
          </w:p>
        </w:tc>
        <w:tc>
          <w:tcPr>
            <w:tcW w:type="dxa" w:w="2565"/>
          </w:tcPr>
          <w:p>
            <w:pPr>
              <w:pStyle w:val="Compact"/>
              <w:jc w:val="left"/>
            </w:pPr>
            <w:r>
              <w:t xml:space="preserve">Caso de Uso</w:t>
            </w:r>
          </w:p>
        </w:tc>
      </w:tr>
      <w:tr>
        <w:tc>
          <w:tcPr>
            <w:tcW w:type="dxa" w:w="1148"/>
          </w:tcPr>
          <w:p>
            <w:pPr>
              <w:pStyle w:val="Compact"/>
              <w:jc w:val="left"/>
            </w:pPr>
            <w:r>
              <w:rPr>
                <w:rFonts w:ascii="Consolas" w:hAnsi="Consolas"/>
              </w:rPr>
              <w:t xml:space="preserve">entities</w:t>
            </w:r>
          </w:p>
        </w:tc>
        <w:tc>
          <w:tcPr>
            <w:tcW w:type="dxa" w:w="2121"/>
          </w:tcPr>
          <w:p>
            <w:pPr>
              <w:pStyle w:val="Compact"/>
              <w:jc w:val="center"/>
            </w:pPr>
            <w:r>
              <w:rPr>
                <w:rFonts w:ascii="Consolas" w:hAnsi="Consolas"/>
              </w:rPr>
              <w:t xml:space="preserve">--rag-mode entities</w:t>
            </w:r>
          </w:p>
        </w:tc>
        <w:tc>
          <w:tcPr>
            <w:tcW w:type="dxa" w:w="3004"/>
          </w:tcPr>
          <w:p>
            <w:pPr>
              <w:pStyle w:val="Compact"/>
              <w:jc w:val="left"/>
            </w:pPr>
            <w:r>
              <w:t xml:space="preserve">Legacy: diccionario de nombres (comportamiento original)</w:t>
            </w:r>
          </w:p>
        </w:tc>
        <w:tc>
          <w:tcPr>
            <w:tcW w:type="dxa" w:w="2565"/>
          </w:tcPr>
          <w:p>
            <w:pPr>
              <w:pStyle w:val="Compact"/>
              <w:jc w:val="left"/>
            </w:pPr>
            <w:r>
              <w:t xml:space="preserve">Compatibilidad hacia atrás</w:t>
            </w:r>
          </w:p>
        </w:tc>
      </w:tr>
      <w:tr>
        <w:tc>
          <w:tcPr>
            <w:tcW w:type="dxa" w:w="1148"/>
          </w:tcPr>
          <w:p>
            <w:pPr>
              <w:pStyle w:val="Compact"/>
              <w:jc w:val="left"/>
            </w:pPr>
            <w:r>
              <w:rPr>
                <w:rFonts w:ascii="Consolas" w:hAnsi="Consolas"/>
              </w:rPr>
              <w:t xml:space="preserve">kb_guidelines</w:t>
            </w:r>
          </w:p>
        </w:tc>
        <w:tc>
          <w:tcPr>
            <w:tcW w:type="dxa" w:w="2121"/>
          </w:tcPr>
          <w:p>
            <w:pPr>
              <w:pStyle w:val="Compact"/>
              <w:jc w:val="center"/>
            </w:pPr>
            <w:r>
              <w:rPr>
                <w:rFonts w:ascii="Consolas" w:hAnsi="Consolas"/>
              </w:rPr>
              <w:t xml:space="preserve">--rag-mode kb_guidelines</w:t>
            </w:r>
          </w:p>
        </w:tc>
        <w:tc>
          <w:tcPr>
            <w:tcW w:type="dxa" w:w="3004"/>
          </w:tcPr>
          <w:p>
            <w:pPr>
              <w:pStyle w:val="Compact"/>
              <w:jc w:val="left"/>
            </w:pPr>
            <w:r>
              <w:t xml:space="preserve">Reglas tipológicas de desambiguación por dominio</w:t>
            </w:r>
          </w:p>
        </w:tc>
        <w:tc>
          <w:tcPr>
            <w:tcW w:type="dxa" w:w="2565"/>
          </w:tcPr>
          <w:p>
            <w:pPr>
              <w:pStyle w:val="Compact"/>
              <w:jc w:val="left"/>
            </w:pPr>
            <w:r>
              <w:t xml:space="preserve">Artículos de dominio conocido</w:t>
            </w:r>
          </w:p>
        </w:tc>
      </w:tr>
      <w:tr>
        <w:tc>
          <w:tcPr>
            <w:tcW w:type="dxa" w:w="1148"/>
          </w:tcPr>
          <w:p>
            <w:pPr>
              <w:pStyle w:val="Compact"/>
              <w:jc w:val="left"/>
            </w:pPr>
            <w:r>
              <w:rPr>
                <w:rFonts w:ascii="Consolas" w:hAnsi="Consolas"/>
              </w:rPr>
              <w:t xml:space="preserve">kb_fewshot</w:t>
            </w:r>
          </w:p>
        </w:tc>
        <w:tc>
          <w:tcPr>
            <w:tcW w:type="dxa" w:w="2121"/>
          </w:tcPr>
          <w:p>
            <w:pPr>
              <w:pStyle w:val="Compact"/>
              <w:jc w:val="center"/>
            </w:pPr>
            <w:r>
              <w:rPr>
                <w:rFonts w:ascii="Consolas" w:hAnsi="Consolas"/>
              </w:rPr>
              <w:t xml:space="preserve">--rag-mode kb_fewshot</w:t>
            </w:r>
          </w:p>
        </w:tc>
        <w:tc>
          <w:tcPr>
            <w:tcW w:type="dxa" w:w="3004"/>
          </w:tcPr>
          <w:p>
            <w:pPr>
              <w:pStyle w:val="Compact"/>
              <w:jc w:val="left"/>
            </w:pPr>
            <w:r>
              <w:t xml:space="preserve">Ejemplo anotado semánticamente más similar</w:t>
            </w:r>
          </w:p>
        </w:tc>
        <w:tc>
          <w:tcPr>
            <w:tcW w:type="dxa" w:w="2565"/>
          </w:tcPr>
          <w:p>
            <w:pPr>
              <w:pStyle w:val="Compact"/>
              <w:jc w:val="left"/>
            </w:pPr>
            <w:r>
              <w:t xml:space="preserve">Transferencia de conocimiento</w:t>
            </w:r>
          </w:p>
        </w:tc>
      </w:tr>
      <w:tr>
        <w:tc>
          <w:tcPr>
            <w:tcW w:type="dxa" w:w="1148"/>
          </w:tcPr>
          <w:p>
            <w:pPr>
              <w:pStyle w:val="Compact"/>
              <w:jc w:val="left"/>
            </w:pPr>
            <w:r>
              <w:rPr>
                <w:rFonts w:ascii="Consolas" w:hAnsi="Consolas"/>
              </w:rPr>
              <w:t xml:space="preserve">kb_combined</w:t>
            </w:r>
          </w:p>
        </w:tc>
        <w:tc>
          <w:tcPr>
            <w:tcW w:type="dxa" w:w="2121"/>
          </w:tcPr>
          <w:p>
            <w:pPr>
              <w:pStyle w:val="Compact"/>
              <w:jc w:val="center"/>
            </w:pPr>
            <w:r>
              <w:rPr>
                <w:rFonts w:ascii="Consolas" w:hAnsi="Consolas"/>
              </w:rPr>
              <w:t xml:space="preserve">--rag-mode kb_combined</w:t>
            </w:r>
          </w:p>
        </w:tc>
        <w:tc>
          <w:tcPr>
            <w:tcW w:type="dxa" w:w="3004"/>
          </w:tcPr>
          <w:p>
            <w:pPr>
              <w:pStyle w:val="Compact"/>
              <w:jc w:val="left"/>
            </w:pPr>
            <w:r>
              <w:t xml:space="preserve">Guía + ejemplo (recomendado)</w:t>
            </w:r>
          </w:p>
        </w:tc>
        <w:tc>
          <w:tcPr>
            <w:tcW w:type="dxa" w:w="2565"/>
          </w:tcPr>
          <w:p>
            <w:pPr>
              <w:pStyle w:val="Compact"/>
              <w:jc w:val="left"/>
            </w:pPr>
            <w:r>
              <w:rPr>
                <w:b/>
                <w:bCs/>
              </w:rPr>
              <w:t xml:space="preserve">Mejor F1</w:t>
            </w:r>
          </w:p>
        </w:tc>
      </w:tr>
    </w:tbl>
    <w:p>
      <w:pPr>
        <w:pStyle w:val="p1a"/>
      </w:pPr>
      <w:r>
        <w:t xml:space="preserve">La base de conocimientos se organiza en</w:t>
      </w:r>
      <w:r>
        <w:t xml:space="preserve"> </w:t>
      </w:r>
      <w:r>
        <w:rPr>
          <w:b/>
          <w:bCs/>
        </w:rPr>
        <w:t xml:space="preserve">dos colecciones ChromaDB separadas</w:t>
      </w:r>
      <w:r>
        <w:t xml:space="preserve"> </w:t>
      </w:r>
      <w:r>
        <w:t xml:space="preserve">para garantizar compatibilidad con el sistema preexistente:</w:t>
      </w:r>
    </w:p>
    <w:p>
      <w:pPr>
        <w:pStyle w:val="p1a"/>
        <w:numPr>
          <w:ilvl w:val="0"/>
          <w:numId w:val="1007"/>
        </w:numPr>
      </w:pPr>
      <w:r>
        <w:rPr>
          <w:rFonts w:ascii="Consolas" w:hAnsi="Consolas"/>
        </w:rPr>
        <w:t xml:space="preserve">ner_dictionaries</w:t>
      </w:r>
      <w:r>
        <w:t xml:space="preserve">: Colección legacy (diccionarios de entidades, preservada)</w:t>
      </w:r>
    </w:p>
    <w:p>
      <w:pPr>
        <w:pStyle w:val="p1a"/>
        <w:numPr>
          <w:ilvl w:val="0"/>
          <w:numId w:val="1007"/>
        </w:numPr>
      </w:pPr>
      <w:r>
        <w:rPr>
          <w:rFonts w:ascii="Consolas" w:hAnsi="Consolas"/>
        </w:rPr>
        <w:t xml:space="preserve">ner_knowledge_base</w:t>
      </w:r>
      <w:r>
        <w:t xml:space="preserve">: Nueva colección (guías + ejemplares, 12 documentos)</w:t>
      </w:r>
    </w:p>
    <w:p>
      <w:pPr>
        <w:pStyle w:val="p1a"/>
      </w:pPr>
      <w:r>
        <w:rPr>
          <w:b/>
          <w:bCs/>
        </w:rPr>
        <w:t xml:space="preserve">Configurabilidad garantizada:</w:t>
      </w:r>
      <w:r>
        <w:t xml:space="preserve"> </w:t>
      </w:r>
      <w:r>
        <w:t xml:space="preserve">El sistema es activable/desactivable mediante flags CLI sin modificar código:</w:t>
      </w:r>
    </w:p>
    <w:p>
      <w:pPr>
        <w:pStyle w:val="programcode"/>
      </w:pPr>
      <w:r>
        <w:rPr>
          <w:rFonts w:ascii="Consolas" w:hAnsi="Consolas"/>
        </w:rPr>
        <w:t xml:space="preserve"># Modo baseline (sin RAG)</w:t>
      </w:r>
      <w:r>
        <w:br/>
      </w:r>
      <w:r>
        <w:rPr>
          <w:rFonts w:ascii="Consolas" w:hAnsi="Consolas"/>
        </w:rPr>
        <w:t xml:space="preserve">./venv/bin/python3</w:t>
      </w:r>
      <w:r>
        <w:rPr>
          <w:rFonts w:ascii="Consolas" w:hAnsi="Consolas"/>
        </w:rPr>
        <w:t xml:space="preserve"> src/main.py </w:t>
      </w:r>
      <w:r>
        <w:rPr>
          <w:rFonts w:ascii="Consolas" w:hAnsi="Consolas"/>
        </w:rPr>
        <w:t xml:space="preserve">--models</w:t>
      </w:r>
      <w:r>
        <w:rPr>
          <w:rFonts w:ascii="Consolas" w:hAnsi="Consolas"/>
        </w:rPr>
        <w:t xml:space="preserve"> gemma4:31b-mlx </w:t>
      </w:r>
      <w:r>
        <w:rPr>
          <w:rFonts w:ascii="Consolas" w:hAnsi="Consolas"/>
        </w:rPr>
        <w:t xml:space="preserve">--data-file</w:t>
      </w:r>
      <w:r>
        <w:rPr>
          <w:rFonts w:ascii="Consolas" w:hAnsi="Consolas"/>
        </w:rPr>
        <w:t xml:space="preserve"> data/benchmark_balanced_120.json</w:t>
      </w:r>
      <w:r>
        <w:br/>
      </w:r>
      <w:r>
        <w:br/>
      </w:r>
      <w:r>
        <w:rPr>
          <w:rFonts w:ascii="Consolas" w:hAnsi="Consolas"/>
        </w:rPr>
        <w:t xml:space="preserve"># Modo RAG legacy (diccionario de entidades)</w:t>
      </w:r>
      <w:r>
        <w:br/>
      </w:r>
      <w:r>
        <w:rPr>
          <w:rFonts w:ascii="Consolas" w:hAnsi="Consolas"/>
        </w:rPr>
        <w:t xml:space="preserve">./venv/bin/python3</w:t>
      </w:r>
      <w:r>
        <w:rPr>
          <w:rFonts w:ascii="Consolas" w:hAnsi="Consolas"/>
        </w:rPr>
        <w:t xml:space="preserve"> src/main.py </w:t>
      </w:r>
      <w:r>
        <w:rPr>
          <w:rFonts w:ascii="Consolas" w:hAnsi="Consolas"/>
        </w:rPr>
        <w:t xml:space="preserve">--rag-study</w:t>
      </w:r>
      <w:r>
        <w:rPr>
          <w:rFonts w:ascii="Consolas" w:hAnsi="Consolas"/>
        </w:rPr>
        <w:t xml:space="preserve"> </w:t>
      </w:r>
      <w:r>
        <w:rPr>
          <w:rFonts w:ascii="Consolas" w:hAnsi="Consolas"/>
        </w:rPr>
        <w:t xml:space="preserve">--rag-mode</w:t>
      </w:r>
      <w:r>
        <w:rPr>
          <w:rFonts w:ascii="Consolas" w:hAnsi="Consolas"/>
        </w:rPr>
        <w:t xml:space="preserve"> entities ...</w:t>
      </w:r>
      <w:r>
        <w:br/>
      </w:r>
      <w:r>
        <w:br/>
      </w:r>
      <w:r>
        <w:rPr>
          <w:rFonts w:ascii="Consolas" w:hAnsi="Consolas"/>
        </w:rPr>
        <w:t xml:space="preserve"># Modo KB RAG (nueva implementación, recomendado)</w:t>
      </w:r>
      <w:r>
        <w:br/>
      </w:r>
      <w:r>
        <w:rPr>
          <w:rFonts w:ascii="Consolas" w:hAnsi="Consolas"/>
        </w:rPr>
        <w:t xml:space="preserve">./venv/bin/python3</w:t>
      </w:r>
      <w:r>
        <w:rPr>
          <w:rFonts w:ascii="Consolas" w:hAnsi="Consolas"/>
        </w:rPr>
        <w:t xml:space="preserve"> src/main.py </w:t>
      </w:r>
      <w:r>
        <w:rPr>
          <w:rFonts w:ascii="Consolas" w:hAnsi="Consolas"/>
        </w:rPr>
        <w:t xml:space="preserve">--rag-study</w:t>
      </w:r>
      <w:r>
        <w:rPr>
          <w:rFonts w:ascii="Consolas" w:hAnsi="Consolas"/>
        </w:rPr>
        <w:t xml:space="preserve"> </w:t>
      </w:r>
      <w:r>
        <w:rPr>
          <w:rFonts w:ascii="Consolas" w:hAnsi="Consolas"/>
        </w:rPr>
        <w:t xml:space="preserve">--rag-mode</w:t>
      </w:r>
      <w:r>
        <w:rPr>
          <w:rFonts w:ascii="Consolas" w:hAnsi="Consolas"/>
        </w:rPr>
        <w:t xml:space="preserve"> kb_combined ...</w:t>
      </w:r>
    </w:p>
    <w:p>
      <w:pPr>
        <w:pStyle w:val="p1a"/>
      </w:pPr>
      <w:r>
        <w:rPr>
          <w:b/>
          <w:bCs/>
        </w:rPr>
        <w:t xml:space="preserve">Template de inyección diferenciado:</w:t>
      </w:r>
      <w:r>
        <w:t xml:space="preserve"> </w:t>
      </w:r>
      <w:r>
        <w:t xml:space="preserve">El módulo</w:t>
      </w:r>
      <w:r>
        <w:t xml:space="preserve"> </w:t>
      </w:r>
      <w:r>
        <w:rPr>
          <w:rFonts w:ascii="Consolas" w:hAnsi="Consolas"/>
        </w:rPr>
        <w:t xml:space="preserve">ollama_provider.py</w:t>
      </w:r>
      <w:r>
        <w:t xml:space="preserve"> </w:t>
      </w:r>
      <w:r>
        <w:t xml:space="preserve">detecta automáticamente el tipo de contexto RAG y aplica el template apropiado:</w:t>
      </w:r>
    </w:p>
    <w:p>
      <w:pPr>
        <w:pStyle w:val="p1a"/>
        <w:numPr>
          <w:ilvl w:val="0"/>
          <w:numId w:val="1008"/>
        </w:numPr>
      </w:pPr>
      <w:r>
        <w:rPr>
          <w:b/>
          <w:bCs/>
        </w:rPr>
        <w:t xml:space="preserve">Entity-dict RAG (legacy):</w:t>
      </w:r>
      <w:r>
        <w:t xml:space="preserve"> </w:t>
      </w:r>
      <w:r>
        <w:t xml:space="preserve">Template restrictivo —</w:t>
      </w:r>
      <w:r>
        <w:t xml:space="preserve"> </w:t>
      </w:r>
      <w:r>
        <w:rPr>
          <w:rFonts w:ascii="Consolas" w:hAnsi="Consolas"/>
        </w:rPr>
        <w:t xml:space="preserve">"DO NOT extract unless they explicitly appear..."</w:t>
      </w:r>
      <w:r>
        <w:t xml:space="preserve"> </w:t>
      </w:r>
      <w:r>
        <w:t xml:space="preserve">— previene alucinaciones de entidades ausentes.</w:t>
      </w:r>
    </w:p>
    <w:p>
      <w:pPr>
        <w:pStyle w:val="p1a"/>
        <w:numPr>
          <w:ilvl w:val="0"/>
          <w:numId w:val="1008"/>
        </w:numPr>
      </w:pPr>
      <w:r>
        <w:rPr>
          <w:b/>
          <w:bCs/>
        </w:rPr>
        <w:t xml:space="preserve">KB RAG (nuevo):</w:t>
      </w:r>
      <w:r>
        <w:t xml:space="preserve"> </w:t>
      </w:r>
      <w:r>
        <w:t xml:space="preserve">Template positivo —</w:t>
      </w:r>
      <w:r>
        <w:t xml:space="preserve"> </w:t>
      </w:r>
      <w:r>
        <w:rPr>
          <w:rFonts w:ascii="Consolas" w:hAnsi="Consolas"/>
        </w:rPr>
        <w:t xml:space="preserve">"[EXTRACTION GUIDANCE] Apply these rules to the news text"</w:t>
      </w:r>
      <w:r>
        <w:t xml:space="preserve"> </w:t>
      </w:r>
      <w:r>
        <w:t xml:space="preserve">— instruye activamente al LLM sin suprimir su capacidad de extracción.</w:t>
      </w:r>
    </w:p>
    <w:p>
      <w:pPr>
        <w:pStyle w:val="p1a"/>
      </w:pPr>
      <w:r>
        <w:pict>
          <v:rect style="width:0;height:1.5pt" o:hralign="center" o:hrstd="t" o:hr="t"/>
        </w:pict>
      </w:r>
    </w:p>
    <w:p>
      <w:pPr>
        <w:pStyle w:val="p1a"/>
      </w:pPr>
      <w:r>
        <w:t>Informe Final de Tesina — Magíster en Tecnologías de la Información (MTI)</w:t>
      </w:r>
    </w:p>
    <w:p>
      <w:pPr>
        <w:pStyle w:val="p1a"/>
      </w:pPr>
      <w:r>
        <w:t xml:space="preserve">Universidad Técnica Federico Santa María — Valparaíso, Chile</w:t>
      </w:r>
    </w:p>
    <w:p>
      <w:pPr>
        <w:pStyle w:val="p1a"/>
      </w:pPr>
      <w:r>
        <w:t xml:space="preserve">Julio 2026</w:t>
      </w:r>
    </w:p>
    <w:p>
      <w:pPr>
        <w:numPr>
          <w:ilvl w:val="0"/>
          <w:numId w:val="0"/>
        </w:numPr>
        <w:pStyle w:val="heading3"/>
      </w:pPr>
      <w:r>
        <w:t xml:space="preserve">D.4 Catálogo de Guías Tipológicas y Ejemplares Few-Shot de la Base de Conocimientos</w:t>
      </w:r>
    </w:p>
    <w:p>
      <w:pPr>
        <w:pStyle w:val="tablecaption"/>
      </w:pPr>
      <w:r>
        <w:t xml:space="preserve">Tabla 17. Guías Tipológicas de Dominio de la Base de Conocimientos</w:t>
      </w:r>
    </w:p>
    <w:tbl>
      <w:tblPr>
        <w:tblStyle w:val="Table"/>
        <w:tblW w:type="dxa" w:w="8838"/>
        <w:tblLayout w:type="fixed"/>
        <w:tblLook w:firstRow="1" w:lastRow="0" w:firstColumn="0" w:lastColumn="0" w:noHBand="0" w:noVBand="0" w:val="0020"/>
      </w:tblPr>
      <w:tblGrid>
        <w:gridCol w:w="2513"/>
        <w:gridCol w:w="2211"/>
        <w:gridCol w:w="693"/>
        <w:gridCol w:w="3421"/>
      </w:tblGrid>
      <w:tr>
        <w:trPr>
          <w:tblHeader w:val="on"/>
        </w:trPr>
        <w:tc>
          <w:tcPr>
            <w:tcW w:type="dxa" w:w="2513"/>
          </w:tcPr>
          <w:p>
            <w:pPr>
              <w:pStyle w:val="Compact"/>
              <w:jc w:val="left"/>
            </w:pPr>
            <w:r>
              <w:t xml:space="preserve">Dominio</w:t>
            </w:r>
          </w:p>
        </w:tc>
        <w:tc>
          <w:tcPr>
            <w:tcW w:type="dxa" w:w="2211"/>
          </w:tcPr>
          <w:p>
            <w:pPr>
              <w:pStyle w:val="Compact"/>
              <w:jc w:val="center"/>
            </w:pPr>
            <w:r>
              <w:t xml:space="preserve">ID</w:t>
            </w:r>
          </w:p>
        </w:tc>
        <w:tc>
          <w:tcPr>
            <w:tcW w:type="dxa" w:w="693"/>
          </w:tcPr>
          <w:p>
            <w:pPr>
              <w:pStyle w:val="Compact"/>
              <w:jc w:val="center"/>
            </w:pPr>
            <w:r>
              <w:t xml:space="preserve">Idioma</w:t>
            </w:r>
          </w:p>
        </w:tc>
        <w:tc>
          <w:tcPr>
            <w:tcW w:type="dxa" w:w="3421"/>
          </w:tcPr>
          <w:p>
            <w:pPr>
              <w:pStyle w:val="Compact"/>
              <w:jc w:val="left"/>
            </w:pPr>
            <w:r>
              <w:t xml:space="preserve">Keywords Clave</w:t>
            </w:r>
          </w:p>
        </w:tc>
      </w:tr>
      <w:tr>
        <w:tc>
          <w:tcPr>
            <w:tcW w:type="dxa" w:w="2513"/>
          </w:tcPr>
          <w:p>
            <w:pPr>
              <w:pStyle w:val="Compact"/>
              <w:jc w:val="left"/>
            </w:pPr>
            <w:r>
              <w:t xml:space="preserve">Política y Administración</w:t>
            </w:r>
          </w:p>
        </w:tc>
        <w:tc>
          <w:tcPr>
            <w:tcW w:type="dxa" w:w="2211"/>
          </w:tcPr>
          <w:p>
            <w:pPr>
              <w:pStyle w:val="Compact"/>
              <w:jc w:val="center"/>
            </w:pPr>
            <w:r>
              <w:rPr>
                <w:rFonts w:ascii="Consolas" w:hAnsi="Consolas"/>
              </w:rPr>
              <w:t xml:space="preserve">politics_es</w:t>
            </w:r>
          </w:p>
        </w:tc>
        <w:tc>
          <w:tcPr>
            <w:tcW w:type="dxa" w:w="693"/>
          </w:tcPr>
          <w:p>
            <w:pPr>
              <w:pStyle w:val="Compact"/>
              <w:jc w:val="center"/>
            </w:pPr>
            <w:r>
              <w:t xml:space="preserve">ES</w:t>
            </w:r>
          </w:p>
        </w:tc>
        <w:tc>
          <w:tcPr>
            <w:tcW w:type="dxa" w:w="3421"/>
          </w:tcPr>
          <w:p>
            <w:pPr>
              <w:pStyle w:val="Compact"/>
              <w:jc w:val="left"/>
            </w:pPr>
            <w:r>
              <w:t xml:space="preserve">PSOE, PP, junta, ministerio, portavoz</w:t>
            </w:r>
          </w:p>
        </w:tc>
      </w:tr>
      <w:tr>
        <w:tc>
          <w:tcPr>
            <w:tcW w:type="dxa" w:w="2513"/>
          </w:tcPr>
          <w:p>
            <w:pPr>
              <w:pStyle w:val="Compact"/>
              <w:jc w:val="left"/>
            </w:pPr>
            <w:r>
              <w:t xml:space="preserve">Corporativo y Financiero</w:t>
            </w:r>
          </w:p>
        </w:tc>
        <w:tc>
          <w:tcPr>
            <w:tcW w:type="dxa" w:w="2211"/>
          </w:tcPr>
          <w:p>
            <w:pPr>
              <w:pStyle w:val="Compact"/>
              <w:jc w:val="center"/>
            </w:pPr>
            <w:r>
              <w:rPr>
                <w:rFonts w:ascii="Consolas" w:hAnsi="Consolas"/>
              </w:rPr>
              <w:t xml:space="preserve">corporate_financial_es</w:t>
            </w:r>
          </w:p>
        </w:tc>
        <w:tc>
          <w:tcPr>
            <w:tcW w:type="dxa" w:w="693"/>
          </w:tcPr>
          <w:p>
            <w:pPr>
              <w:pStyle w:val="Compact"/>
              <w:jc w:val="center"/>
            </w:pPr>
            <w:r>
              <w:t xml:space="preserve">ES</w:t>
            </w:r>
          </w:p>
        </w:tc>
        <w:tc>
          <w:tcPr>
            <w:tcW w:type="dxa" w:w="3421"/>
          </w:tcPr>
          <w:p>
            <w:pPr>
              <w:pStyle w:val="Compact"/>
              <w:jc w:val="left"/>
            </w:pPr>
            <w:r>
              <w:t xml:space="preserve">bolsa, fusión, consejo de administración</w:t>
            </w:r>
          </w:p>
        </w:tc>
      </w:tr>
      <w:tr>
        <w:tc>
          <w:tcPr>
            <w:tcW w:type="dxa" w:w="2513"/>
          </w:tcPr>
          <w:p>
            <w:pPr>
              <w:pStyle w:val="Compact"/>
              <w:jc w:val="left"/>
            </w:pPr>
            <w:r>
              <w:t xml:space="preserve">AML y Sanciones</w:t>
            </w:r>
          </w:p>
        </w:tc>
        <w:tc>
          <w:tcPr>
            <w:tcW w:type="dxa" w:w="2211"/>
          </w:tcPr>
          <w:p>
            <w:pPr>
              <w:pStyle w:val="Compact"/>
              <w:jc w:val="center"/>
            </w:pPr>
            <w:r>
              <w:rPr>
                <w:rFonts w:ascii="Consolas" w:hAnsi="Consolas"/>
              </w:rPr>
              <w:t xml:space="preserve">aml_sanctions_en</w:t>
            </w:r>
          </w:p>
        </w:tc>
        <w:tc>
          <w:tcPr>
            <w:tcW w:type="dxa" w:w="693"/>
          </w:tcPr>
          <w:p>
            <w:pPr>
              <w:pStyle w:val="Compact"/>
              <w:jc w:val="center"/>
            </w:pPr>
            <w:r>
              <w:t xml:space="preserve">EN</w:t>
            </w:r>
          </w:p>
        </w:tc>
        <w:tc>
          <w:tcPr>
            <w:tcW w:type="dxa" w:w="3421"/>
          </w:tcPr>
          <w:p>
            <w:pPr>
              <w:pStyle w:val="Compact"/>
              <w:jc w:val="left"/>
            </w:pPr>
            <w:r>
              <w:t xml:space="preserve">OFAC, indictment, money laundering, IEEPA</w:t>
            </w:r>
          </w:p>
        </w:tc>
      </w:tr>
      <w:tr>
        <w:tc>
          <w:tcPr>
            <w:tcW w:type="dxa" w:w="2513"/>
          </w:tcPr>
          <w:p>
            <w:pPr>
              <w:pStyle w:val="Compact"/>
              <w:jc w:val="left"/>
            </w:pPr>
            <w:r>
              <w:t xml:space="preserve">Judicial y Crimen</w:t>
            </w:r>
          </w:p>
        </w:tc>
        <w:tc>
          <w:tcPr>
            <w:tcW w:type="dxa" w:w="2211"/>
          </w:tcPr>
          <w:p>
            <w:pPr>
              <w:pStyle w:val="Compact"/>
              <w:jc w:val="center"/>
            </w:pPr>
            <w:r>
              <w:rPr>
                <w:rFonts w:ascii="Consolas" w:hAnsi="Consolas"/>
              </w:rPr>
              <w:t xml:space="preserve">judicial_crime_es</w:t>
            </w:r>
          </w:p>
        </w:tc>
        <w:tc>
          <w:tcPr>
            <w:tcW w:type="dxa" w:w="693"/>
          </w:tcPr>
          <w:p>
            <w:pPr>
              <w:pStyle w:val="Compact"/>
              <w:jc w:val="center"/>
            </w:pPr>
            <w:r>
              <w:t xml:space="preserve">ES</w:t>
            </w:r>
          </w:p>
        </w:tc>
        <w:tc>
          <w:tcPr>
            <w:tcW w:type="dxa" w:w="3421"/>
          </w:tcPr>
          <w:p>
            <w:pPr>
              <w:pStyle w:val="Compact"/>
              <w:jc w:val="left"/>
            </w:pPr>
            <w:r>
              <w:t xml:space="preserve">tribunal, fiscal, audiencia nacional</w:t>
            </w:r>
          </w:p>
        </w:tc>
      </w:tr>
      <w:tr>
        <w:tc>
          <w:tcPr>
            <w:tcW w:type="dxa" w:w="2513"/>
          </w:tcPr>
          <w:p>
            <w:pPr>
              <w:pStyle w:val="Compact"/>
              <w:jc w:val="left"/>
            </w:pPr>
            <w:r>
              <w:t xml:space="preserve">Deportivo y Social</w:t>
            </w:r>
          </w:p>
        </w:tc>
        <w:tc>
          <w:tcPr>
            <w:tcW w:type="dxa" w:w="2211"/>
          </w:tcPr>
          <w:p>
            <w:pPr>
              <w:pStyle w:val="Compact"/>
              <w:jc w:val="center"/>
            </w:pPr>
            <w:r>
              <w:rPr>
                <w:rFonts w:ascii="Consolas" w:hAnsi="Consolas"/>
              </w:rPr>
              <w:t xml:space="preserve">sports_social_es</w:t>
            </w:r>
          </w:p>
        </w:tc>
        <w:tc>
          <w:tcPr>
            <w:tcW w:type="dxa" w:w="693"/>
          </w:tcPr>
          <w:p>
            <w:pPr>
              <w:pStyle w:val="Compact"/>
              <w:jc w:val="center"/>
            </w:pPr>
            <w:r>
              <w:t xml:space="preserve">ES</w:t>
            </w:r>
          </w:p>
        </w:tc>
        <w:tc>
          <w:tcPr>
            <w:tcW w:type="dxa" w:w="3421"/>
          </w:tcPr>
          <w:p>
            <w:pPr>
              <w:pStyle w:val="Compact"/>
              <w:jc w:val="left"/>
            </w:pPr>
            <w:r>
              <w:t xml:space="preserve">liga, federación, club</w:t>
            </w:r>
          </w:p>
        </w:tc>
      </w:tr>
    </w:tbl>
    <w:p>
      <w:pPr>
        <w:pStyle w:val="tablecaption"/>
      </w:pPr>
      <w:r>
        <w:t xml:space="preserve">Tabla 18. Ejemplares Few-Shot de la Base de Conocimientos</w:t>
      </w:r>
    </w:p>
    <w:tbl>
      <w:tblPr>
        <w:tblStyle w:val="Table"/>
        <w:tblW w:type="dxa" w:w="8838"/>
        <w:tblLook w:firstRow="1" w:lastRow="0" w:firstColumn="0" w:lastColumn="0" w:noHBand="0" w:noVBand="0" w:val="0020"/>
        <w:tblLayout w:type="fixed"/>
      </w:tblPr>
      <w:tblGrid>
        <w:gridCol w:w="4344"/>
        <w:gridCol w:w="2396"/>
        <w:gridCol w:w="2098"/>
      </w:tblGrid>
      <w:tr>
        <w:trPr>
          <w:tblHeader w:val="on"/>
        </w:trPr>
        <w:tc>
          <w:tcPr>
            <w:tcW w:type="dxa" w:w="4344"/>
          </w:tcPr>
          <w:p>
            <w:pPr>
              <w:pStyle w:val="Compact"/>
              <w:jc w:val="left"/>
            </w:pPr>
            <w:r>
              <w:t xml:space="preserve">ID Ejemplar</w:t>
            </w:r>
          </w:p>
        </w:tc>
        <w:tc>
          <w:tcPr>
            <w:tcW w:type="dxa" w:w="2396"/>
          </w:tcPr>
          <w:p>
            <w:pPr>
              <w:pStyle w:val="Compact"/>
              <w:jc w:val="center"/>
            </w:pPr>
            <w:r>
              <w:t xml:space="preserve">Dominio</w:t>
            </w:r>
          </w:p>
        </w:tc>
        <w:tc>
          <w:tcPr>
            <w:tcW w:type="dxa" w:w="2098"/>
          </w:tcPr>
          <w:p>
            <w:pPr>
              <w:pStyle w:val="Compact"/>
              <w:jc w:val="center"/>
            </w:pPr>
            <w:r>
              <w:t xml:space="preserve">Fuente</w:t>
            </w:r>
          </w:p>
        </w:tc>
      </w:tr>
      <w:tr>
        <w:tc>
          <w:tcPr>
            <w:tcW w:type="dxa" w:w="4344"/>
          </w:tcPr>
          <w:p>
            <w:pPr>
              <w:pStyle w:val="Compact"/>
              <w:jc w:val="left"/>
            </w:pPr>
            <w:r>
              <w:rPr>
                <w:rFonts w:ascii="Consolas" w:hAnsi="Consolas"/>
              </w:rPr>
              <w:t xml:space="preserve">ex_politics_es_001</w:t>
            </w:r>
          </w:p>
        </w:tc>
        <w:tc>
          <w:tcPr>
            <w:tcW w:type="dxa" w:w="2396"/>
          </w:tcPr>
          <w:p>
            <w:pPr>
              <w:pStyle w:val="Compact"/>
              <w:jc w:val="center"/>
            </w:pPr>
            <w:r>
              <w:t xml:space="preserve">Política ES</w:t>
            </w:r>
          </w:p>
        </w:tc>
        <w:tc>
          <w:tcPr>
            <w:tcW w:type="dxa" w:w="2098"/>
          </w:tcPr>
          <w:p>
            <w:pPr>
              <w:pStyle w:val="Compact"/>
              <w:jc w:val="center"/>
            </w:pPr>
            <w:r>
              <w:rPr>
                <w:rFonts w:ascii="Consolas" w:hAnsi="Consolas"/>
              </w:rPr>
              <w:t xml:space="preserve">real_mixed_1</w:t>
            </w:r>
          </w:p>
        </w:tc>
      </w:tr>
      <w:tr>
        <w:tc>
          <w:tcPr>
            <w:tcW w:type="dxa" w:w="4344"/>
          </w:tcPr>
          <w:p>
            <w:pPr>
              <w:pStyle w:val="Compact"/>
              <w:jc w:val="left"/>
            </w:pPr>
            <w:r>
              <w:rPr>
                <w:rFonts w:ascii="Consolas" w:hAnsi="Consolas"/>
              </w:rPr>
              <w:t xml:space="preserve">ex_politics_es_002</w:t>
            </w:r>
          </w:p>
        </w:tc>
        <w:tc>
          <w:tcPr>
            <w:tcW w:type="dxa" w:w="2396"/>
          </w:tcPr>
          <w:p>
            <w:pPr>
              <w:pStyle w:val="Compact"/>
              <w:jc w:val="center"/>
            </w:pPr>
            <w:r>
              <w:t xml:space="preserve">Política ES</w:t>
            </w:r>
          </w:p>
        </w:tc>
        <w:tc>
          <w:tcPr>
            <w:tcW w:type="dxa" w:w="2098"/>
          </w:tcPr>
          <w:p>
            <w:pPr>
              <w:pStyle w:val="Compact"/>
              <w:jc w:val="center"/>
            </w:pPr>
            <w:r>
              <w:rPr>
                <w:rFonts w:ascii="Consolas" w:hAnsi="Consolas"/>
              </w:rPr>
              <w:t xml:space="preserve">real_mixed_41</w:t>
            </w:r>
          </w:p>
        </w:tc>
      </w:tr>
      <w:tr>
        <w:tc>
          <w:tcPr>
            <w:tcW w:type="dxa" w:w="4344"/>
          </w:tcPr>
          <w:p>
            <w:pPr>
              <w:pStyle w:val="Compact"/>
              <w:jc w:val="left"/>
            </w:pPr>
            <w:r>
              <w:rPr>
                <w:rFonts w:ascii="Consolas" w:hAnsi="Consolas"/>
              </w:rPr>
              <w:t xml:space="preserve">ex_corporate_financial_es_001</w:t>
            </w:r>
          </w:p>
        </w:tc>
        <w:tc>
          <w:tcPr>
            <w:tcW w:type="dxa" w:w="2396"/>
          </w:tcPr>
          <w:p>
            <w:pPr>
              <w:pStyle w:val="Compact"/>
              <w:jc w:val="center"/>
            </w:pPr>
            <w:r>
              <w:t xml:space="preserve">Corporativo ES</w:t>
            </w:r>
          </w:p>
        </w:tc>
        <w:tc>
          <w:tcPr>
            <w:tcW w:type="dxa" w:w="2098"/>
          </w:tcPr>
          <w:p>
            <w:pPr>
              <w:pStyle w:val="Compact"/>
              <w:jc w:val="center"/>
            </w:pPr>
            <w:r>
              <w:rPr>
                <w:rFonts w:ascii="Consolas" w:hAnsi="Consolas"/>
              </w:rPr>
              <w:t xml:space="preserve">real_mixed_21</w:t>
            </w:r>
          </w:p>
        </w:tc>
      </w:tr>
      <w:tr>
        <w:tc>
          <w:tcPr>
            <w:tcW w:type="dxa" w:w="4344"/>
          </w:tcPr>
          <w:p>
            <w:pPr>
              <w:pStyle w:val="Compact"/>
              <w:jc w:val="left"/>
            </w:pPr>
            <w:r>
              <w:rPr>
                <w:rFonts w:ascii="Consolas" w:hAnsi="Consolas"/>
              </w:rPr>
              <w:t xml:space="preserve">ex_judicial_es_001</w:t>
            </w:r>
          </w:p>
        </w:tc>
        <w:tc>
          <w:tcPr>
            <w:tcW w:type="dxa" w:w="2396"/>
          </w:tcPr>
          <w:p>
            <w:pPr>
              <w:pStyle w:val="Compact"/>
              <w:jc w:val="center"/>
            </w:pPr>
            <w:r>
              <w:t xml:space="preserve">Judicial ES</w:t>
            </w:r>
          </w:p>
        </w:tc>
        <w:tc>
          <w:tcPr>
            <w:tcW w:type="dxa" w:w="2098"/>
          </w:tcPr>
          <w:p>
            <w:pPr>
              <w:pStyle w:val="Compact"/>
              <w:jc w:val="center"/>
            </w:pPr>
            <w:r>
              <w:rPr>
                <w:rFonts w:ascii="Consolas" w:hAnsi="Consolas"/>
              </w:rPr>
              <w:t xml:space="preserve">real_mixed_101</w:t>
            </w:r>
          </w:p>
        </w:tc>
      </w:tr>
      <w:tr>
        <w:tc>
          <w:tcPr>
            <w:tcW w:type="dxa" w:w="4344"/>
          </w:tcPr>
          <w:p>
            <w:pPr>
              <w:pStyle w:val="Compact"/>
              <w:jc w:val="left"/>
            </w:pPr>
            <w:r>
              <w:rPr>
                <w:rFonts w:ascii="Consolas" w:hAnsi="Consolas"/>
              </w:rPr>
              <w:t xml:space="preserve">ex_aml_sanctions_en_001</w:t>
            </w:r>
          </w:p>
        </w:tc>
        <w:tc>
          <w:tcPr>
            <w:tcW w:type="dxa" w:w="2396"/>
          </w:tcPr>
          <w:p>
            <w:pPr>
              <w:pStyle w:val="Compact"/>
              <w:jc w:val="center"/>
            </w:pPr>
            <w:r>
              <w:t xml:space="preserve">AML/Sanciones EN</w:t>
            </w:r>
          </w:p>
        </w:tc>
        <w:tc>
          <w:tcPr>
            <w:tcW w:type="dxa" w:w="2098"/>
          </w:tcPr>
          <w:p>
            <w:pPr>
              <w:pStyle w:val="Compact"/>
              <w:jc w:val="center"/>
            </w:pPr>
            <w:r>
              <w:rPr>
                <w:rFonts w:ascii="Consolas" w:hAnsi="Consolas"/>
              </w:rPr>
              <w:t xml:space="preserve">real_mixed_59</w:t>
            </w:r>
          </w:p>
        </w:tc>
      </w:tr>
      <w:tr>
        <w:tc>
          <w:tcPr>
            <w:tcW w:type="dxa" w:w="4344"/>
          </w:tcPr>
          <w:p>
            <w:pPr>
              <w:pStyle w:val="Compact"/>
              <w:jc w:val="left"/>
            </w:pPr>
            <w:r>
              <w:rPr>
                <w:rFonts w:ascii="Consolas" w:hAnsi="Consolas"/>
              </w:rPr>
              <w:t xml:space="preserve">ex_aml_sanctions_en_002</w:t>
            </w:r>
          </w:p>
        </w:tc>
        <w:tc>
          <w:tcPr>
            <w:tcW w:type="dxa" w:w="2396"/>
          </w:tcPr>
          <w:p>
            <w:pPr>
              <w:pStyle w:val="Compact"/>
              <w:jc w:val="center"/>
            </w:pPr>
            <w:r>
              <w:t xml:space="preserve">AML/Sanciones EN</w:t>
            </w:r>
          </w:p>
        </w:tc>
        <w:tc>
          <w:tcPr>
            <w:tcW w:type="dxa" w:w="2098"/>
          </w:tcPr>
          <w:p>
            <w:pPr>
              <w:pStyle w:val="Compact"/>
              <w:jc w:val="center"/>
            </w:pPr>
            <w:r>
              <w:rPr>
                <w:rFonts w:ascii="Consolas" w:hAnsi="Consolas"/>
              </w:rPr>
              <w:t xml:space="preserve">real_mixed_79</w:t>
            </w:r>
          </w:p>
        </w:tc>
      </w:tr>
      <w:tr>
        <w:tc>
          <w:tcPr>
            <w:tcW w:type="dxa" w:w="4344"/>
          </w:tcPr>
          <w:p>
            <w:pPr>
              <w:pStyle w:val="Compact"/>
              <w:jc w:val="left"/>
            </w:pPr>
            <w:r>
              <w:rPr>
                <w:rFonts w:ascii="Consolas" w:hAnsi="Consolas"/>
              </w:rPr>
              <w:t xml:space="preserve">ex_aml_sanctions_en_003</w:t>
            </w:r>
          </w:p>
        </w:tc>
        <w:tc>
          <w:tcPr>
            <w:tcW w:type="dxa" w:w="2396"/>
          </w:tcPr>
          <w:p>
            <w:pPr>
              <w:pStyle w:val="Compact"/>
              <w:jc w:val="center"/>
            </w:pPr>
            <w:r>
              <w:t xml:space="preserve">AML/Sanciones EN</w:t>
            </w:r>
          </w:p>
        </w:tc>
        <w:tc>
          <w:tcPr>
            <w:tcW w:type="dxa" w:w="2098"/>
          </w:tcPr>
          <w:p>
            <w:pPr>
              <w:pStyle w:val="Compact"/>
              <w:jc w:val="center"/>
            </w:pPr>
            <w:r>
              <w:rPr>
                <w:rFonts w:ascii="Consolas" w:hAnsi="Consolas"/>
              </w:rPr>
              <w:t xml:space="preserve">real_mixed_27</w:t>
            </w:r>
          </w:p>
        </w:tc>
      </w:tr>
    </w:tbl>
    <w:p>
      <w:pPr>
        <w:numPr>
          <w:ilvl w:val="0"/>
          <w:numId w:val="0"/>
        </w:numPr>
        <w:pStyle w:val="heading3"/>
      </w:pPr>
      <w:r>
        <w:t xml:space="preserve">D.5 Análisis Comparativo Cronológico — RAG v1.0 vs. v1.1</w:t>
      </w:r>
    </w:p>
    <w:p>
      <w:pPr>
        <w:pStyle w:val="tablecaption"/>
      </w:pPr>
      <w:r>
        <w:t xml:space="preserve">Tabla 19. Comparación Cronológica RAG v1.0 vs. v1.1</w:t>
      </w:r>
    </w:p>
    <w:tbl>
      <w:tblPr>
        <w:tblStyle w:val="Table"/>
        <w:tblW w:type="dxa" w:w="8838"/>
        <w:tblLayout w:type="fixed"/>
        <w:tblLook w:firstRow="1" w:lastRow="0" w:firstColumn="0" w:lastColumn="0" w:noHBand="0" w:noVBand="0" w:val="0020"/>
      </w:tblPr>
      <w:tblGrid>
        <w:gridCol w:w="2127"/>
        <w:gridCol w:w="2782"/>
        <w:gridCol w:w="3929"/>
      </w:tblGrid>
      <w:tr>
        <w:trPr>
          <w:tblHeader w:val="on"/>
        </w:trPr>
        <w:tc>
          <w:tcPr>
            <w:tcW w:type="dxa" w:w="2127"/>
          </w:tcPr>
          <w:p>
            <w:pPr>
              <w:pStyle w:val="Compact"/>
              <w:jc w:val="left"/>
            </w:pPr>
            <w:r>
              <w:t xml:space="preserve">Aspecto</w:t>
            </w:r>
          </w:p>
        </w:tc>
        <w:tc>
          <w:tcPr>
            <w:tcW w:type="dxa" w:w="2782"/>
          </w:tcPr>
          <w:p>
            <w:pPr>
              <w:pStyle w:val="Compact"/>
              <w:jc w:val="left"/>
            </w:pPr>
            <w:r>
              <w:t xml:space="preserve">Sistema v1.0 (Dic 2025 – Ago 2026)</w:t>
            </w:r>
          </w:p>
        </w:tc>
        <w:tc>
          <w:tcPr>
            <w:tcW w:type="dxa" w:w="3929"/>
          </w:tcPr>
          <w:p>
            <w:pPr>
              <w:pStyle w:val="Compact"/>
              <w:jc w:val="left"/>
            </w:pPr>
            <w:r>
              <w:t xml:space="preserve">Sistema v1.1 (Sep 2026)</w:t>
            </w:r>
          </w:p>
        </w:tc>
      </w:tr>
      <w:tr>
        <w:tc>
          <w:tcPr>
            <w:tcW w:type="dxa" w:w="2127"/>
          </w:tcPr>
          <w:p>
            <w:pPr>
              <w:pStyle w:val="Compact"/>
              <w:jc w:val="left"/>
            </w:pPr>
            <w:r>
              <w:rPr>
                <w:b/>
                <w:bCs/>
              </w:rPr>
              <w:t xml:space="preserve">Contenido RAG</w:t>
            </w:r>
          </w:p>
        </w:tc>
        <w:tc>
          <w:tcPr>
            <w:tcW w:type="dxa" w:w="2782"/>
          </w:tcPr>
          <w:p>
            <w:pPr>
              <w:pStyle w:val="Compact"/>
              <w:jc w:val="left"/>
            </w:pPr>
            <w:r>
              <w:t xml:space="preserve">Diccionarios de nombres (3.605 personas, 1.848 orgs)</w:t>
            </w:r>
          </w:p>
        </w:tc>
        <w:tc>
          <w:tcPr>
            <w:tcW w:type="dxa" w:w="3929"/>
          </w:tcPr>
          <w:p>
            <w:pPr>
              <w:pStyle w:val="Compact"/>
              <w:jc w:val="left"/>
            </w:pPr>
            <w:r>
              <w:t xml:space="preserve">Guías tipológicas + ejemplares few-shot</w:t>
            </w:r>
          </w:p>
        </w:tc>
      </w:tr>
      <w:tr>
        <w:tc>
          <w:tcPr>
            <w:tcW w:type="dxa" w:w="2127"/>
          </w:tcPr>
          <w:p>
            <w:pPr>
              <w:pStyle w:val="Compact"/>
              <w:jc w:val="left"/>
            </w:pPr>
            <w:r>
              <w:rPr>
                <w:b/>
                <w:bCs/>
              </w:rPr>
              <w:t xml:space="preserve">Colección ChromaDB</w:t>
            </w:r>
          </w:p>
        </w:tc>
        <w:tc>
          <w:tcPr>
            <w:tcW w:type="dxa" w:w="2782"/>
          </w:tcPr>
          <w:p>
            <w:pPr>
              <w:pStyle w:val="Compact"/>
              <w:jc w:val="left"/>
            </w:pPr>
            <w:r>
              <w:rPr>
                <w:rFonts w:ascii="Consolas" w:hAnsi="Consolas"/>
              </w:rPr>
              <w:t xml:space="preserve">ner_dictionaries</w:t>
            </w:r>
          </w:p>
        </w:tc>
        <w:tc>
          <w:tcPr>
            <w:tcW w:type="dxa" w:w="3929"/>
          </w:tcPr>
          <w:p>
            <w:pPr>
              <w:pStyle w:val="Compact"/>
              <w:jc w:val="left"/>
            </w:pPr>
            <w:r>
              <w:t xml:space="preserve">+</w:t>
            </w:r>
            <w:r>
              <w:t xml:space="preserve"> </w:t>
            </w:r>
            <w:r>
              <w:rPr>
                <w:rFonts w:ascii="Consolas" w:hAnsi="Consolas"/>
              </w:rPr>
              <w:t xml:space="preserve">ner_knowledge_base</w:t>
            </w:r>
            <w:r>
              <w:t xml:space="preserve"> </w:t>
            </w:r>
            <w:r>
              <w:t xml:space="preserve">(nueva, no reemplaza)</w:t>
            </w:r>
          </w:p>
        </w:tc>
      </w:tr>
      <w:tr>
        <w:tc>
          <w:tcPr>
            <w:tcW w:type="dxa" w:w="2127"/>
          </w:tcPr>
          <w:p>
            <w:pPr>
              <w:pStyle w:val="Compact"/>
              <w:jc w:val="left"/>
            </w:pPr>
            <w:r>
              <w:rPr>
                <w:b/>
                <w:bCs/>
              </w:rPr>
              <w:t xml:space="preserve">Template de inyección</w:t>
            </w:r>
          </w:p>
        </w:tc>
        <w:tc>
          <w:tcPr>
            <w:tcW w:type="dxa" w:w="2782"/>
          </w:tcPr>
          <w:p>
            <w:pPr>
              <w:pStyle w:val="Compact"/>
              <w:jc w:val="left"/>
            </w:pPr>
            <w:r>
              <w:t xml:space="preserve">Restrictivo (</w:t>
            </w:r>
            <w:r>
              <w:t xml:space="preserve">“DO NOT extract unless…”</w:t>
            </w:r>
            <w:r>
              <w:t xml:space="preserve">)</w:t>
            </w:r>
          </w:p>
        </w:tc>
        <w:tc>
          <w:tcPr>
            <w:tcW w:type="dxa" w:w="3929"/>
          </w:tcPr>
          <w:p>
            <w:pPr>
              <w:pStyle w:val="Compact"/>
              <w:jc w:val="left"/>
            </w:pPr>
            <w:r>
              <w:t xml:space="preserve">Positivo (</w:t>
            </w:r>
            <w:r>
              <w:t xml:space="preserve">“Apply these rules to the text”</w:t>
            </w:r>
            <w:r>
              <w:t xml:space="preserve">)</w:t>
            </w:r>
          </w:p>
        </w:tc>
      </w:tr>
      <w:tr>
        <w:tc>
          <w:tcPr>
            <w:tcW w:type="dxa" w:w="2127"/>
          </w:tcPr>
          <w:p>
            <w:pPr>
              <w:pStyle w:val="Compact"/>
              <w:jc w:val="left"/>
            </w:pPr>
            <w:r>
              <w:rPr>
                <w:b/>
                <w:bCs/>
              </w:rPr>
              <w:t xml:space="preserve">Modo de operación</w:t>
            </w:r>
          </w:p>
        </w:tc>
        <w:tc>
          <w:tcPr>
            <w:tcW w:type="dxa" w:w="2782"/>
          </w:tcPr>
          <w:p>
            <w:pPr>
              <w:pStyle w:val="Compact"/>
              <w:jc w:val="left"/>
            </w:pPr>
            <w:r>
              <w:t xml:space="preserve">Binario (RAG on/off)</w:t>
            </w:r>
          </w:p>
        </w:tc>
        <w:tc>
          <w:tcPr>
            <w:tcW w:type="dxa" w:w="3929"/>
          </w:tcPr>
          <w:p>
            <w:pPr>
              <w:pStyle w:val="Compact"/>
              <w:jc w:val="left"/>
            </w:pPr>
            <w:r>
              <w:t xml:space="preserve">Cuatro modos configurables por CLI</w:t>
            </w:r>
          </w:p>
        </w:tc>
      </w:tr>
      <w:tr>
        <w:tc>
          <w:tcPr>
            <w:tcW w:type="dxa" w:w="2127"/>
          </w:tcPr>
          <w:p>
            <w:pPr>
              <w:pStyle w:val="Compact"/>
              <w:jc w:val="left"/>
            </w:pPr>
            <w:r>
              <w:rPr>
                <w:b/>
                <w:bCs/>
              </w:rPr>
              <w:t xml:space="preserve">F1-Score RAG (</w:t>
            </w:r>
            <w:r>
              <w:rPr>
                <w:rFonts w:ascii="Consolas" w:hAnsi="Consolas"/>
                <w:b/>
                <w:bCs/>
              </w:rPr>
              <w:t xml:space="preserve">llama3.2</w:t>
            </w:r>
            <w:r>
              <w:rPr>
                <w:b/>
                <w:bCs/>
              </w:rPr>
              <w:t xml:space="preserve">)</w:t>
            </w:r>
          </w:p>
        </w:tc>
        <w:tc>
          <w:tcPr>
            <w:tcW w:type="dxa" w:w="2782"/>
          </w:tcPr>
          <w:p>
            <w:pPr>
              <w:pStyle w:val="Compact"/>
              <w:jc w:val="left"/>
            </w:pPr>
            <w:r>
              <w:t xml:space="preserve">0.2367 (−33% vs baseline)</w:t>
            </w:r>
          </w:p>
        </w:tc>
        <w:tc>
          <w:tcPr>
            <w:tcW w:type="dxa" w:w="3929"/>
          </w:tcPr>
          <w:p>
            <w:pPr>
              <w:pStyle w:val="Compact"/>
              <w:jc w:val="left"/>
            </w:pPr>
            <w:r>
              <w:rPr>
                <w:b/>
                <w:bCs/>
              </w:rPr>
              <w:t xml:space="preserve">0.4943 (+25.3% vs baseline)</w:t>
            </w:r>
          </w:p>
        </w:tc>
      </w:tr>
      <w:tr>
        <w:tc>
          <w:tcPr>
            <w:tcW w:type="dxa" w:w="2127"/>
          </w:tcPr>
          <w:p>
            <w:pPr>
              <w:pStyle w:val="Compact"/>
              <w:jc w:val="left"/>
            </w:pPr>
            <w:r>
              <w:rPr>
                <w:b/>
                <w:bCs/>
              </w:rPr>
              <w:t xml:space="preserve">F1-Score RAG (</w:t>
            </w:r>
            <w:r>
              <w:rPr>
                <w:rFonts w:ascii="Consolas" w:hAnsi="Consolas"/>
                <w:b/>
                <w:bCs/>
              </w:rPr>
              <w:t xml:space="preserve">qwen2.5:14b</w:t>
            </w:r>
            <w:r>
              <w:rPr>
                <w:b/>
                <w:bCs/>
              </w:rPr>
              <w:t xml:space="preserve">)</w:t>
            </w:r>
          </w:p>
        </w:tc>
        <w:tc>
          <w:tcPr>
            <w:tcW w:type="dxa" w:w="2782"/>
          </w:tcPr>
          <w:p>
            <w:pPr>
              <w:pStyle w:val="Compact"/>
              <w:jc w:val="left"/>
            </w:pPr>
            <w:r>
              <w:t xml:space="preserve">—</w:t>
            </w:r>
          </w:p>
        </w:tc>
        <w:tc>
          <w:tcPr>
            <w:tcW w:type="dxa" w:w="3929"/>
          </w:tcPr>
          <w:p>
            <w:pPr>
              <w:pStyle w:val="Compact"/>
              <w:jc w:val="left"/>
            </w:pPr>
            <w:r>
              <w:rPr>
                <w:b/>
                <w:bCs/>
              </w:rPr>
              <w:t xml:space="preserve">0.5651 (+8.9% vs baseline)</w:t>
            </w:r>
          </w:p>
        </w:tc>
      </w:tr>
      <w:tr>
        <w:tc>
          <w:tcPr>
            <w:tcW w:type="dxa" w:w="2127"/>
          </w:tcPr>
          <w:p>
            <w:pPr>
              <w:pStyle w:val="Compact"/>
              <w:jc w:val="left"/>
            </w:pPr>
            <w:r>
              <w:rPr>
                <w:b/>
                <w:bCs/>
              </w:rPr>
              <w:t xml:space="preserve">Configurabilidad</w:t>
            </w:r>
          </w:p>
        </w:tc>
        <w:tc>
          <w:tcPr>
            <w:tcW w:type="dxa" w:w="2782"/>
          </w:tcPr>
          <w:p>
            <w:pPr>
              <w:pStyle w:val="Compact"/>
              <w:jc w:val="left"/>
            </w:pPr>
            <w:r>
              <w:t xml:space="preserve">No (hardcoded)</w:t>
            </w:r>
          </w:p>
        </w:tc>
        <w:tc>
          <w:tcPr>
            <w:tcW w:type="dxa" w:w="3929"/>
          </w:tcPr>
          <w:p>
            <w:pPr>
              <w:pStyle w:val="Compact"/>
              <w:jc w:val="left"/>
            </w:pPr>
            <w:r>
              <w:t xml:space="preserve">Sí (</w:t>
            </w:r>
            <w:r>
              <w:rPr>
                <w:rFonts w:ascii="Consolas" w:hAnsi="Consolas"/>
              </w:rPr>
              <w:t xml:space="preserve">--rag-mode {entities,kb_guidelines,kb_fewshot,kb_combined}</w:t>
            </w:r>
            <w:r>
              <w:t xml:space="preserve">)</w:t>
            </w:r>
          </w:p>
        </w:tc>
      </w:tr>
      <w:tr>
        <w:tc>
          <w:tcPr>
            <w:tcW w:type="dxa" w:w="2127"/>
          </w:tcPr>
          <w:p>
            <w:pPr>
              <w:pStyle w:val="Compact"/>
              <w:jc w:val="left"/>
            </w:pPr>
            <w:r>
              <w:rPr>
                <w:b/>
                <w:bCs/>
              </w:rPr>
              <w:t xml:space="preserve">Datos sintéticos</w:t>
            </w:r>
          </w:p>
        </w:tc>
        <w:tc>
          <w:tcPr>
            <w:tcW w:type="dxa" w:w="2782"/>
          </w:tcPr>
          <w:p>
            <w:pPr>
              <w:pStyle w:val="Compact"/>
              <w:jc w:val="left"/>
            </w:pPr>
            <w:r>
              <w:t xml:space="preserve">Sí (12.000 augmented_persons)</w:t>
            </w:r>
          </w:p>
        </w:tc>
        <w:tc>
          <w:tcPr>
            <w:tcW w:type="dxa" w:w="3929"/>
          </w:tcPr>
          <w:p>
            <w:pPr>
              <w:pStyle w:val="Compact"/>
              <w:jc w:val="left"/>
            </w:pPr>
            <w:r>
              <w:t xml:space="preserve">No (solo datos reales del corpus de evaluación)</w:t>
            </w:r>
          </w:p>
        </w:tc>
      </w:tr>
    </w:tbl>
    <w:p>
      <w:pPr>
        <w:numPr>
          <w:ilvl w:val="0"/>
          <w:numId w:val="0"/>
        </w:numPr>
        <w:pStyle w:val="heading2"/>
      </w:pPr>
      <w:r>
        <w:t xml:space="preserve">9.5 Anexo E — Resultados Completos del Benchmark General (13 Configuraciones, N=15)</w:t>
      </w:r>
    </w:p>
    <w:p>
      <w:pPr>
        <w:pStyle w:val="tablecaption"/>
      </w:pPr>
      <w:r>
        <w:t xml:space="preserve">Tabla 20. Resultados Completos del Benchmark General (13 Configuraciones, N=15)</w:t>
      </w:r>
    </w:p>
    <w:tbl>
      <w:tblPr>
        <w:tblStyle w:val="Table"/>
        <w:tblW w:type="dxa" w:w="8838"/>
        <w:tblLayout w:type="fixed"/>
        <w:tblLook w:firstRow="1" w:lastRow="0" w:firstColumn="0" w:lastColumn="0" w:noHBand="0" w:noVBand="0" w:val="0020"/>
      </w:tblPr>
      <w:tblGrid>
        <w:gridCol w:w="1991"/>
        <w:gridCol w:w="668"/>
        <w:gridCol w:w="948"/>
        <w:gridCol w:w="668"/>
        <w:gridCol w:w="853"/>
        <w:gridCol w:w="668"/>
        <w:gridCol w:w="1232"/>
        <w:gridCol w:w="1137"/>
        <w:gridCol w:w="673"/>
      </w:tblGrid>
      <w:tr>
        <w:trPr>
          <w:tblHeader w:val="on"/>
        </w:trPr>
        <w:tc>
          <w:tcPr>
            <w:tcW w:type="dxa" w:w="1991"/>
          </w:tcPr>
          <w:p>
            <w:pPr>
              <w:pStyle w:val="Compact"/>
              <w:jc w:val="left"/>
            </w:pPr>
            <w:r>
              <w:t xml:space="preserve">Modelo</w:t>
            </w:r>
          </w:p>
        </w:tc>
        <w:tc>
          <w:tcPr>
            <w:tcW w:type="dxa" w:w="668"/>
          </w:tcPr>
          <w:p>
            <w:pPr>
              <w:pStyle w:val="Compact"/>
              <w:jc w:val="center"/>
            </w:pPr>
            <w:r>
              <w:t xml:space="preserve">Tipo</w:t>
            </w:r>
          </w:p>
        </w:tc>
        <w:tc>
          <w:tcPr>
            <w:tcW w:type="dxa" w:w="948"/>
          </w:tcPr>
          <w:p>
            <w:pPr>
              <w:pStyle w:val="Compact"/>
              <w:jc w:val="center"/>
            </w:pPr>
            <w:r>
              <w:t xml:space="preserve">Parámetros</w:t>
            </w:r>
          </w:p>
        </w:tc>
        <w:tc>
          <w:tcPr>
            <w:tcW w:type="dxa" w:w="668"/>
          </w:tcPr>
          <w:p>
            <w:pPr>
              <w:pStyle w:val="Compact"/>
              <w:jc w:val="center"/>
            </w:pPr>
            <w:r>
              <w:t xml:space="preserve">F1</w:t>
            </w:r>
          </w:p>
        </w:tc>
        <w:tc>
          <w:tcPr>
            <w:tcW w:type="dxa" w:w="853"/>
          </w:tcPr>
          <w:p>
            <w:pPr>
              <w:pStyle w:val="Compact"/>
              <w:jc w:val="center"/>
            </w:pPr>
            <w:r>
              <w:t xml:space="preserve">Precisión</w:t>
            </w:r>
          </w:p>
        </w:tc>
        <w:tc>
          <w:tcPr>
            <w:tcW w:type="dxa" w:w="668"/>
          </w:tcPr>
          <w:p>
            <w:pPr>
              <w:pStyle w:val="Compact"/>
              <w:jc w:val="center"/>
            </w:pPr>
            <w:r>
              <w:t xml:space="preserve">Recall</w:t>
            </w:r>
          </w:p>
        </w:tc>
        <w:tc>
          <w:tcPr>
            <w:tcW w:type="dxa" w:w="1232"/>
          </w:tcPr>
          <w:p>
            <w:pPr>
              <w:pStyle w:val="Compact"/>
              <w:jc w:val="center"/>
            </w:pPr>
            <w:r>
              <w:t xml:space="preserve">Hallucination</w:t>
            </w:r>
          </w:p>
        </w:tc>
        <w:tc>
          <w:tcPr>
            <w:tcW w:type="dxa" w:w="1137"/>
          </w:tcPr>
          <w:p>
            <w:pPr>
              <w:pStyle w:val="Compact"/>
              <w:jc w:val="center"/>
            </w:pPr>
            <w:r>
              <w:t xml:space="preserve">Latencia (s)</w:t>
            </w:r>
          </w:p>
        </w:tc>
        <w:tc>
          <w:tcPr>
            <w:tcW w:type="dxa" w:w="673"/>
          </w:tcPr>
          <w:p>
            <w:pPr>
              <w:pStyle w:val="Compact"/>
              <w:jc w:val="center"/>
            </w:pPr>
            <w:r>
              <w:t xml:space="preserve">Tok/s/B</w:t>
            </w:r>
          </w:p>
        </w:tc>
      </w:tr>
      <w:tr>
        <w:tc>
          <w:tcPr>
            <w:tcW w:type="dxa" w:w="1991"/>
          </w:tcPr>
          <w:p>
            <w:pPr>
              <w:pStyle w:val="Compact"/>
              <w:jc w:val="left"/>
            </w:pPr>
            <w:r>
              <w:rPr>
                <w:b/>
                <w:bCs/>
              </w:rPr>
              <w:t xml:space="preserve">gemma4:31b</w:t>
            </w:r>
          </w:p>
        </w:tc>
        <w:tc>
          <w:tcPr>
            <w:tcW w:type="dxa" w:w="668"/>
          </w:tcPr>
          <w:p>
            <w:pPr>
              <w:pStyle w:val="Compact"/>
              <w:jc w:val="center"/>
            </w:pPr>
            <w:r>
              <w:t xml:space="preserve">Local</w:t>
            </w:r>
          </w:p>
        </w:tc>
        <w:tc>
          <w:tcPr>
            <w:tcW w:type="dxa" w:w="948"/>
          </w:tcPr>
          <w:p>
            <w:pPr>
              <w:pStyle w:val="Compact"/>
              <w:jc w:val="center"/>
            </w:pPr>
            <w:r>
              <w:t xml:space="preserve">31B</w:t>
            </w:r>
          </w:p>
        </w:tc>
        <w:tc>
          <w:tcPr>
            <w:tcW w:type="dxa" w:w="668"/>
          </w:tcPr>
          <w:p>
            <w:pPr>
              <w:pStyle w:val="Compact"/>
              <w:jc w:val="center"/>
            </w:pPr>
            <w:r>
              <w:rPr>
                <w:b/>
                <w:bCs/>
              </w:rPr>
              <w:t xml:space="preserve">67.83%</w:t>
            </w:r>
          </w:p>
        </w:tc>
        <w:tc>
          <w:tcPr>
            <w:tcW w:type="dxa" w:w="853"/>
          </w:tcPr>
          <w:p>
            <w:pPr>
              <w:pStyle w:val="Compact"/>
              <w:jc w:val="center"/>
            </w:pPr>
            <w:r>
              <w:t xml:space="preserve">57.29%</w:t>
            </w:r>
          </w:p>
        </w:tc>
        <w:tc>
          <w:tcPr>
            <w:tcW w:type="dxa" w:w="668"/>
          </w:tcPr>
          <w:p>
            <w:pPr>
              <w:pStyle w:val="Compact"/>
              <w:jc w:val="center"/>
            </w:pPr>
            <w:r>
              <w:t xml:space="preserve">86.78%</w:t>
            </w:r>
          </w:p>
        </w:tc>
        <w:tc>
          <w:tcPr>
            <w:tcW w:type="dxa" w:w="1232"/>
          </w:tcPr>
          <w:p>
            <w:pPr>
              <w:pStyle w:val="Compact"/>
              <w:jc w:val="center"/>
            </w:pPr>
            <w:r>
              <w:t xml:space="preserve">0.15%</w:t>
            </w:r>
          </w:p>
        </w:tc>
        <w:tc>
          <w:tcPr>
            <w:tcW w:type="dxa" w:w="1137"/>
          </w:tcPr>
          <w:p>
            <w:pPr>
              <w:pStyle w:val="Compact"/>
              <w:jc w:val="center"/>
            </w:pPr>
            <w:r>
              <w:t xml:space="preserve">114.20</w:t>
            </w:r>
          </w:p>
        </w:tc>
        <w:tc>
          <w:tcPr>
            <w:tcW w:type="dxa" w:w="673"/>
          </w:tcPr>
          <w:p>
            <w:pPr>
              <w:pStyle w:val="Compact"/>
              <w:jc w:val="center"/>
            </w:pPr>
            <w:r>
              <w:t xml:space="preserve">0.81</w:t>
            </w:r>
          </w:p>
        </w:tc>
      </w:tr>
      <w:tr>
        <w:tc>
          <w:tcPr>
            <w:tcW w:type="dxa" w:w="1991"/>
          </w:tcPr>
          <w:p>
            <w:pPr>
              <w:pStyle w:val="Compact"/>
              <w:jc w:val="left"/>
            </w:pPr>
            <w:r>
              <w:t xml:space="preserve">gemma4:31b-mlx</w:t>
            </w:r>
          </w:p>
        </w:tc>
        <w:tc>
          <w:tcPr>
            <w:tcW w:type="dxa" w:w="668"/>
          </w:tcPr>
          <w:p>
            <w:pPr>
              <w:pStyle w:val="Compact"/>
              <w:jc w:val="center"/>
            </w:pPr>
            <w:r>
              <w:t xml:space="preserve">Local</w:t>
            </w:r>
          </w:p>
        </w:tc>
        <w:tc>
          <w:tcPr>
            <w:tcW w:type="dxa" w:w="948"/>
          </w:tcPr>
          <w:p>
            <w:pPr>
              <w:pStyle w:val="Compact"/>
              <w:jc w:val="center"/>
            </w:pPr>
            <w:r>
              <w:t xml:space="preserve">31B</w:t>
            </w:r>
          </w:p>
        </w:tc>
        <w:tc>
          <w:tcPr>
            <w:tcW w:type="dxa" w:w="668"/>
          </w:tcPr>
          <w:p>
            <w:pPr>
              <w:pStyle w:val="Compact"/>
              <w:jc w:val="center"/>
            </w:pPr>
            <w:r>
              <w:t xml:space="preserve">67.83%</w:t>
            </w:r>
          </w:p>
        </w:tc>
        <w:tc>
          <w:tcPr>
            <w:tcW w:type="dxa" w:w="853"/>
          </w:tcPr>
          <w:p>
            <w:pPr>
              <w:pStyle w:val="Compact"/>
              <w:jc w:val="center"/>
            </w:pPr>
            <w:r>
              <w:t xml:space="preserve">57.29%</w:t>
            </w:r>
          </w:p>
        </w:tc>
        <w:tc>
          <w:tcPr>
            <w:tcW w:type="dxa" w:w="668"/>
          </w:tcPr>
          <w:p>
            <w:pPr>
              <w:pStyle w:val="Compact"/>
              <w:jc w:val="center"/>
            </w:pPr>
            <w:r>
              <w:t xml:space="preserve">86.78%</w:t>
            </w:r>
          </w:p>
        </w:tc>
        <w:tc>
          <w:tcPr>
            <w:tcW w:type="dxa" w:w="1232"/>
          </w:tcPr>
          <w:p>
            <w:pPr>
              <w:pStyle w:val="Compact"/>
              <w:jc w:val="center"/>
            </w:pPr>
            <w:r>
              <w:t xml:space="preserve">0.15%</w:t>
            </w:r>
          </w:p>
        </w:tc>
        <w:tc>
          <w:tcPr>
            <w:tcW w:type="dxa" w:w="1137"/>
          </w:tcPr>
          <w:p>
            <w:pPr>
              <w:pStyle w:val="Compact"/>
              <w:jc w:val="center"/>
            </w:pPr>
            <w:r>
              <w:t xml:space="preserve">114.20</w:t>
            </w:r>
          </w:p>
        </w:tc>
        <w:tc>
          <w:tcPr>
            <w:tcW w:type="dxa" w:w="673"/>
          </w:tcPr>
          <w:p>
            <w:pPr>
              <w:pStyle w:val="Compact"/>
              <w:jc w:val="center"/>
            </w:pPr>
            <w:r>
              <w:t xml:space="preserve">0.81</w:t>
            </w:r>
          </w:p>
        </w:tc>
      </w:tr>
      <w:tr>
        <w:tc>
          <w:tcPr>
            <w:tcW w:type="dxa" w:w="1991"/>
          </w:tcPr>
          <w:p>
            <w:pPr>
              <w:pStyle w:val="Compact"/>
              <w:jc w:val="left"/>
            </w:pPr>
            <w:r>
              <w:t xml:space="preserve">gemma4:31b-cloud</w:t>
            </w:r>
          </w:p>
        </w:tc>
        <w:tc>
          <w:tcPr>
            <w:tcW w:type="dxa" w:w="668"/>
          </w:tcPr>
          <w:p>
            <w:pPr>
              <w:pStyle w:val="Compact"/>
              <w:jc w:val="center"/>
            </w:pPr>
            <w:r>
              <w:t xml:space="preserve">Cloud</w:t>
            </w:r>
          </w:p>
        </w:tc>
        <w:tc>
          <w:tcPr>
            <w:tcW w:type="dxa" w:w="948"/>
          </w:tcPr>
          <w:p>
            <w:pPr>
              <w:pStyle w:val="Compact"/>
              <w:jc w:val="center"/>
            </w:pPr>
            <w:r>
              <w:t xml:space="preserve">31B</w:t>
            </w:r>
          </w:p>
        </w:tc>
        <w:tc>
          <w:tcPr>
            <w:tcW w:type="dxa" w:w="668"/>
          </w:tcPr>
          <w:p>
            <w:pPr>
              <w:pStyle w:val="Compact"/>
              <w:jc w:val="center"/>
            </w:pPr>
            <w:r>
              <w:t xml:space="preserve">66.29%</w:t>
            </w:r>
          </w:p>
        </w:tc>
        <w:tc>
          <w:tcPr>
            <w:tcW w:type="dxa" w:w="853"/>
          </w:tcPr>
          <w:p>
            <w:pPr>
              <w:pStyle w:val="Compact"/>
              <w:jc w:val="center"/>
            </w:pPr>
            <w:r>
              <w:t xml:space="preserve">55.43%</w:t>
            </w:r>
          </w:p>
        </w:tc>
        <w:tc>
          <w:tcPr>
            <w:tcW w:type="dxa" w:w="668"/>
          </w:tcPr>
          <w:p>
            <w:pPr>
              <w:pStyle w:val="Compact"/>
              <w:jc w:val="center"/>
            </w:pPr>
            <w:r>
              <w:t xml:space="preserve">84.12%</w:t>
            </w:r>
          </w:p>
        </w:tc>
        <w:tc>
          <w:tcPr>
            <w:tcW w:type="dxa" w:w="1232"/>
          </w:tcPr>
          <w:p>
            <w:pPr>
              <w:pStyle w:val="Compact"/>
              <w:jc w:val="center"/>
            </w:pPr>
            <w:r>
              <w:t xml:space="preserve">0.00%</w:t>
            </w:r>
          </w:p>
        </w:tc>
        <w:tc>
          <w:tcPr>
            <w:tcW w:type="dxa" w:w="1137"/>
          </w:tcPr>
          <w:p>
            <w:pPr>
              <w:pStyle w:val="Compact"/>
              <w:jc w:val="center"/>
            </w:pPr>
            <w:r>
              <w:t xml:space="preserve">35.80</w:t>
            </w:r>
          </w:p>
        </w:tc>
        <w:tc>
          <w:tcPr>
            <w:tcW w:type="dxa" w:w="673"/>
          </w:tcPr>
          <w:p>
            <w:pPr>
              <w:pStyle w:val="Compact"/>
              <w:jc w:val="center"/>
            </w:pPr>
            <w:r>
              <w:t xml:space="preserve">—</w:t>
            </w:r>
          </w:p>
        </w:tc>
      </w:tr>
      <w:tr>
        <w:tc>
          <w:tcPr>
            <w:tcW w:type="dxa" w:w="1991"/>
          </w:tcPr>
          <w:p>
            <w:pPr>
              <w:pStyle w:val="Compact"/>
              <w:jc w:val="left"/>
            </w:pPr>
            <w:r>
              <w:t xml:space="preserve">gemma4:latest (ZS-ES)</w:t>
            </w:r>
          </w:p>
        </w:tc>
        <w:tc>
          <w:tcPr>
            <w:tcW w:type="dxa" w:w="668"/>
          </w:tcPr>
          <w:p>
            <w:pPr>
              <w:pStyle w:val="Compact"/>
              <w:jc w:val="center"/>
            </w:pPr>
            <w:r>
              <w:t xml:space="preserve">Local</w:t>
            </w:r>
          </w:p>
        </w:tc>
        <w:tc>
          <w:tcPr>
            <w:tcW w:type="dxa" w:w="948"/>
          </w:tcPr>
          <w:p>
            <w:pPr>
              <w:pStyle w:val="Compact"/>
              <w:jc w:val="center"/>
            </w:pPr>
            <w:r>
              <w:t xml:space="preserve">9B</w:t>
            </w:r>
          </w:p>
        </w:tc>
        <w:tc>
          <w:tcPr>
            <w:tcW w:type="dxa" w:w="668"/>
          </w:tcPr>
          <w:p>
            <w:pPr>
              <w:pStyle w:val="Compact"/>
              <w:jc w:val="center"/>
            </w:pPr>
            <w:r>
              <w:t xml:space="preserve">69.81%</w:t>
            </w:r>
          </w:p>
        </w:tc>
        <w:tc>
          <w:tcPr>
            <w:tcW w:type="dxa" w:w="853"/>
          </w:tcPr>
          <w:p>
            <w:pPr>
              <w:pStyle w:val="Compact"/>
              <w:jc w:val="center"/>
            </w:pPr>
            <w:r>
              <w:t xml:space="preserve">62.59%</w:t>
            </w:r>
          </w:p>
        </w:tc>
        <w:tc>
          <w:tcPr>
            <w:tcW w:type="dxa" w:w="668"/>
          </w:tcPr>
          <w:p>
            <w:pPr>
              <w:pStyle w:val="Compact"/>
              <w:jc w:val="center"/>
            </w:pPr>
            <w:r>
              <w:t xml:space="preserve">82.70%</w:t>
            </w:r>
          </w:p>
        </w:tc>
        <w:tc>
          <w:tcPr>
            <w:tcW w:type="dxa" w:w="1232"/>
          </w:tcPr>
          <w:p>
            <w:pPr>
              <w:pStyle w:val="Compact"/>
              <w:jc w:val="center"/>
            </w:pPr>
            <w:r>
              <w:t xml:space="preserve">0.19%</w:t>
            </w:r>
          </w:p>
        </w:tc>
        <w:tc>
          <w:tcPr>
            <w:tcW w:type="dxa" w:w="1137"/>
          </w:tcPr>
          <w:p>
            <w:pPr>
              <w:pStyle w:val="Compact"/>
              <w:jc w:val="center"/>
            </w:pPr>
            <w:r>
              <w:t xml:space="preserve">22.70</w:t>
            </w:r>
          </w:p>
        </w:tc>
        <w:tc>
          <w:tcPr>
            <w:tcW w:type="dxa" w:w="673"/>
          </w:tcPr>
          <w:p>
            <w:pPr>
              <w:pStyle w:val="Compact"/>
              <w:jc w:val="center"/>
            </w:pPr>
            <w:r>
              <w:t xml:space="preserve">6.30</w:t>
            </w:r>
          </w:p>
        </w:tc>
      </w:tr>
      <w:tr>
        <w:tc>
          <w:tcPr>
            <w:tcW w:type="dxa" w:w="1991"/>
          </w:tcPr>
          <w:p>
            <w:pPr>
              <w:pStyle w:val="Compact"/>
              <w:jc w:val="left"/>
            </w:pPr>
            <w:r>
              <w:t xml:space="preserve">gemma4:latest (FS-ES)</w:t>
            </w:r>
          </w:p>
        </w:tc>
        <w:tc>
          <w:tcPr>
            <w:tcW w:type="dxa" w:w="668"/>
          </w:tcPr>
          <w:p>
            <w:pPr>
              <w:pStyle w:val="Compact"/>
              <w:jc w:val="center"/>
            </w:pPr>
            <w:r>
              <w:t xml:space="preserve">Local</w:t>
            </w:r>
          </w:p>
        </w:tc>
        <w:tc>
          <w:tcPr>
            <w:tcW w:type="dxa" w:w="948"/>
          </w:tcPr>
          <w:p>
            <w:pPr>
              <w:pStyle w:val="Compact"/>
              <w:jc w:val="center"/>
            </w:pPr>
            <w:r>
              <w:t xml:space="preserve">9B</w:t>
            </w:r>
          </w:p>
        </w:tc>
        <w:tc>
          <w:tcPr>
            <w:tcW w:type="dxa" w:w="668"/>
          </w:tcPr>
          <w:p>
            <w:pPr>
              <w:pStyle w:val="Compact"/>
              <w:jc w:val="center"/>
            </w:pPr>
            <w:r>
              <w:t xml:space="preserve">69.76%</w:t>
            </w:r>
          </w:p>
        </w:tc>
        <w:tc>
          <w:tcPr>
            <w:tcW w:type="dxa" w:w="853"/>
          </w:tcPr>
          <w:p>
            <w:pPr>
              <w:pStyle w:val="Compact"/>
              <w:jc w:val="center"/>
            </w:pPr>
            <w:r>
              <w:t xml:space="preserve">61.67%</w:t>
            </w:r>
          </w:p>
        </w:tc>
        <w:tc>
          <w:tcPr>
            <w:tcW w:type="dxa" w:w="668"/>
          </w:tcPr>
          <w:p>
            <w:pPr>
              <w:pStyle w:val="Compact"/>
              <w:jc w:val="center"/>
            </w:pPr>
            <w:r>
              <w:t xml:space="preserve">84.55%</w:t>
            </w:r>
          </w:p>
        </w:tc>
        <w:tc>
          <w:tcPr>
            <w:tcW w:type="dxa" w:w="1232"/>
          </w:tcPr>
          <w:p>
            <w:pPr>
              <w:pStyle w:val="Compact"/>
              <w:jc w:val="center"/>
            </w:pPr>
            <w:r>
              <w:t xml:space="preserve">1.80%</w:t>
            </w:r>
          </w:p>
        </w:tc>
        <w:tc>
          <w:tcPr>
            <w:tcW w:type="dxa" w:w="1137"/>
          </w:tcPr>
          <w:p>
            <w:pPr>
              <w:pStyle w:val="Compact"/>
              <w:jc w:val="center"/>
            </w:pPr>
            <w:r>
              <w:t xml:space="preserve">44.50</w:t>
            </w:r>
          </w:p>
        </w:tc>
        <w:tc>
          <w:tcPr>
            <w:tcW w:type="dxa" w:w="673"/>
          </w:tcPr>
          <w:p>
            <w:pPr>
              <w:pStyle w:val="Compact"/>
              <w:jc w:val="center"/>
            </w:pPr>
            <w:r>
              <w:t xml:space="preserve">6.32</w:t>
            </w:r>
          </w:p>
        </w:tc>
      </w:tr>
      <w:tr>
        <w:tc>
          <w:tcPr>
            <w:tcW w:type="dxa" w:w="1991"/>
          </w:tcPr>
          <w:p>
            <w:pPr>
              <w:pStyle w:val="Compact"/>
              <w:jc w:val="left"/>
            </w:pPr>
            <w:r>
              <w:t xml:space="preserve">gemini-3.1-flash-lite</w:t>
            </w:r>
          </w:p>
        </w:tc>
        <w:tc>
          <w:tcPr>
            <w:tcW w:type="dxa" w:w="668"/>
          </w:tcPr>
          <w:p>
            <w:pPr>
              <w:pStyle w:val="Compact"/>
              <w:jc w:val="center"/>
            </w:pPr>
            <w:r>
              <w:t xml:space="preserve">Cloud</w:t>
            </w:r>
          </w:p>
        </w:tc>
        <w:tc>
          <w:tcPr>
            <w:tcW w:type="dxa" w:w="948"/>
          </w:tcPr>
          <w:p>
            <w:pPr>
              <w:pStyle w:val="Compact"/>
              <w:jc w:val="center"/>
            </w:pPr>
            <w:r>
              <w:t xml:space="preserve">—</w:t>
            </w:r>
          </w:p>
        </w:tc>
        <w:tc>
          <w:tcPr>
            <w:tcW w:type="dxa" w:w="668"/>
          </w:tcPr>
          <w:p>
            <w:pPr>
              <w:pStyle w:val="Compact"/>
              <w:jc w:val="center"/>
            </w:pPr>
            <w:r>
              <w:t xml:space="preserve">65.47%</w:t>
            </w:r>
          </w:p>
        </w:tc>
        <w:tc>
          <w:tcPr>
            <w:tcW w:type="dxa" w:w="853"/>
          </w:tcPr>
          <w:p>
            <w:pPr>
              <w:pStyle w:val="Compact"/>
              <w:jc w:val="center"/>
            </w:pPr>
            <w:r>
              <w:t xml:space="preserve">54.10%</w:t>
            </w:r>
          </w:p>
        </w:tc>
        <w:tc>
          <w:tcPr>
            <w:tcW w:type="dxa" w:w="668"/>
          </w:tcPr>
          <w:p>
            <w:pPr>
              <w:pStyle w:val="Compact"/>
              <w:jc w:val="center"/>
            </w:pPr>
            <w:r>
              <w:t xml:space="preserve">84.69%</w:t>
            </w:r>
          </w:p>
        </w:tc>
        <w:tc>
          <w:tcPr>
            <w:tcW w:type="dxa" w:w="1232"/>
          </w:tcPr>
          <w:p>
            <w:pPr>
              <w:pStyle w:val="Compact"/>
              <w:jc w:val="center"/>
            </w:pPr>
            <w:r>
              <w:t xml:space="preserve">0.00%</w:t>
            </w:r>
          </w:p>
        </w:tc>
        <w:tc>
          <w:tcPr>
            <w:tcW w:type="dxa" w:w="1137"/>
          </w:tcPr>
          <w:p>
            <w:pPr>
              <w:pStyle w:val="Compact"/>
              <w:jc w:val="center"/>
            </w:pPr>
            <w:r>
              <w:t xml:space="preserve">1.69</w:t>
            </w:r>
          </w:p>
        </w:tc>
        <w:tc>
          <w:tcPr>
            <w:tcW w:type="dxa" w:w="673"/>
          </w:tcPr>
          <w:p>
            <w:pPr>
              <w:pStyle w:val="Compact"/>
              <w:jc w:val="center"/>
            </w:pPr>
            <w:r>
              <w:t xml:space="preserve">—</w:t>
            </w:r>
          </w:p>
        </w:tc>
      </w:tr>
      <w:tr>
        <w:tc>
          <w:tcPr>
            <w:tcW w:type="dxa" w:w="1991"/>
          </w:tcPr>
          <w:p>
            <w:pPr>
              <w:pStyle w:val="Compact"/>
              <w:jc w:val="left"/>
            </w:pPr>
            <w:r>
              <w:t xml:space="preserve">llama3.2:latest</w:t>
            </w:r>
          </w:p>
        </w:tc>
        <w:tc>
          <w:tcPr>
            <w:tcW w:type="dxa" w:w="668"/>
          </w:tcPr>
          <w:p>
            <w:pPr>
              <w:pStyle w:val="Compact"/>
              <w:jc w:val="center"/>
            </w:pPr>
            <w:r>
              <w:t xml:space="preserve">Local</w:t>
            </w:r>
          </w:p>
        </w:tc>
        <w:tc>
          <w:tcPr>
            <w:tcW w:type="dxa" w:w="948"/>
          </w:tcPr>
          <w:p>
            <w:pPr>
              <w:pStyle w:val="Compact"/>
              <w:jc w:val="center"/>
            </w:pPr>
            <w:r>
              <w:t xml:space="preserve">3B</w:t>
            </w:r>
          </w:p>
        </w:tc>
        <w:tc>
          <w:tcPr>
            <w:tcW w:type="dxa" w:w="668"/>
          </w:tcPr>
          <w:p>
            <w:pPr>
              <w:pStyle w:val="Compact"/>
              <w:jc w:val="center"/>
            </w:pPr>
            <w:r>
              <w:t xml:space="preserve">61.29%</w:t>
            </w:r>
          </w:p>
        </w:tc>
        <w:tc>
          <w:tcPr>
            <w:tcW w:type="dxa" w:w="853"/>
          </w:tcPr>
          <w:p>
            <w:pPr>
              <w:pStyle w:val="Compact"/>
              <w:jc w:val="center"/>
            </w:pPr>
            <w:r>
              <w:t xml:space="preserve">53.01%</w:t>
            </w:r>
          </w:p>
        </w:tc>
        <w:tc>
          <w:tcPr>
            <w:tcW w:type="dxa" w:w="668"/>
          </w:tcPr>
          <w:p>
            <w:pPr>
              <w:pStyle w:val="Compact"/>
              <w:jc w:val="center"/>
            </w:pPr>
            <w:r>
              <w:t xml:space="preserve">75.32%</w:t>
            </w:r>
          </w:p>
        </w:tc>
        <w:tc>
          <w:tcPr>
            <w:tcW w:type="dxa" w:w="1232"/>
          </w:tcPr>
          <w:p>
            <w:pPr>
              <w:pStyle w:val="Compact"/>
              <w:jc w:val="center"/>
            </w:pPr>
            <w:r>
              <w:t xml:space="preserve">2.20%</w:t>
            </w:r>
          </w:p>
        </w:tc>
        <w:tc>
          <w:tcPr>
            <w:tcW w:type="dxa" w:w="1137"/>
          </w:tcPr>
          <w:p>
            <w:pPr>
              <w:pStyle w:val="Compact"/>
              <w:jc w:val="center"/>
            </w:pPr>
            <w:r>
              <w:t xml:space="preserve">25.10</w:t>
            </w:r>
          </w:p>
        </w:tc>
        <w:tc>
          <w:tcPr>
            <w:tcW w:type="dxa" w:w="673"/>
          </w:tcPr>
          <w:p>
            <w:pPr>
              <w:pStyle w:val="Compact"/>
              <w:jc w:val="center"/>
            </w:pPr>
            <w:r>
              <w:t xml:space="preserve">18.73</w:t>
            </w:r>
          </w:p>
        </w:tc>
      </w:tr>
      <w:tr>
        <w:tc>
          <w:tcPr>
            <w:tcW w:type="dxa" w:w="1991"/>
          </w:tcPr>
          <w:p>
            <w:pPr>
              <w:pStyle w:val="Compact"/>
              <w:jc w:val="left"/>
            </w:pPr>
            <w:r>
              <w:t xml:space="preserve">llama3.1:8b</w:t>
            </w:r>
          </w:p>
        </w:tc>
        <w:tc>
          <w:tcPr>
            <w:tcW w:type="dxa" w:w="668"/>
          </w:tcPr>
          <w:p>
            <w:pPr>
              <w:pStyle w:val="Compact"/>
              <w:jc w:val="center"/>
            </w:pPr>
            <w:r>
              <w:t xml:space="preserve">Local</w:t>
            </w:r>
          </w:p>
        </w:tc>
        <w:tc>
          <w:tcPr>
            <w:tcW w:type="dxa" w:w="948"/>
          </w:tcPr>
          <w:p>
            <w:pPr>
              <w:pStyle w:val="Compact"/>
              <w:jc w:val="center"/>
            </w:pPr>
            <w:r>
              <w:t xml:space="preserve">8B</w:t>
            </w:r>
          </w:p>
        </w:tc>
        <w:tc>
          <w:tcPr>
            <w:tcW w:type="dxa" w:w="668"/>
          </w:tcPr>
          <w:p>
            <w:pPr>
              <w:pStyle w:val="Compact"/>
              <w:jc w:val="center"/>
            </w:pPr>
            <w:r>
              <w:t xml:space="preserve">59.61%</w:t>
            </w:r>
          </w:p>
        </w:tc>
        <w:tc>
          <w:tcPr>
            <w:tcW w:type="dxa" w:w="853"/>
          </w:tcPr>
          <w:p>
            <w:pPr>
              <w:pStyle w:val="Compact"/>
              <w:jc w:val="center"/>
            </w:pPr>
            <w:r>
              <w:t xml:space="preserve">53.04%</w:t>
            </w:r>
          </w:p>
        </w:tc>
        <w:tc>
          <w:tcPr>
            <w:tcW w:type="dxa" w:w="668"/>
          </w:tcPr>
          <w:p>
            <w:pPr>
              <w:pStyle w:val="Compact"/>
              <w:jc w:val="center"/>
            </w:pPr>
            <w:r>
              <w:t xml:space="preserve">73.58%</w:t>
            </w:r>
          </w:p>
        </w:tc>
        <w:tc>
          <w:tcPr>
            <w:tcW w:type="dxa" w:w="1232"/>
          </w:tcPr>
          <w:p>
            <w:pPr>
              <w:pStyle w:val="Compact"/>
              <w:jc w:val="center"/>
            </w:pPr>
            <w:r>
              <w:t xml:space="preserve">3.62%</w:t>
            </w:r>
          </w:p>
        </w:tc>
        <w:tc>
          <w:tcPr>
            <w:tcW w:type="dxa" w:w="1137"/>
          </w:tcPr>
          <w:p>
            <w:pPr>
              <w:pStyle w:val="Compact"/>
              <w:jc w:val="center"/>
            </w:pPr>
            <w:r>
              <w:t xml:space="preserve">47.67</w:t>
            </w:r>
          </w:p>
        </w:tc>
        <w:tc>
          <w:tcPr>
            <w:tcW w:type="dxa" w:w="673"/>
          </w:tcPr>
          <w:p>
            <w:pPr>
              <w:pStyle w:val="Compact"/>
              <w:jc w:val="center"/>
            </w:pPr>
            <w:r>
              <w:t xml:space="preserve">4.73</w:t>
            </w:r>
          </w:p>
        </w:tc>
      </w:tr>
      <w:tr>
        <w:tc>
          <w:tcPr>
            <w:tcW w:type="dxa" w:w="1991"/>
          </w:tcPr>
          <w:p>
            <w:pPr>
              <w:pStyle w:val="Compact"/>
              <w:jc w:val="left"/>
            </w:pPr>
            <w:r>
              <w:t xml:space="preserve">qwen2.5:14b</w:t>
            </w:r>
          </w:p>
        </w:tc>
        <w:tc>
          <w:tcPr>
            <w:tcW w:type="dxa" w:w="668"/>
          </w:tcPr>
          <w:p>
            <w:pPr>
              <w:pStyle w:val="Compact"/>
              <w:jc w:val="center"/>
            </w:pPr>
            <w:r>
              <w:t xml:space="preserve">Local</w:t>
            </w:r>
          </w:p>
        </w:tc>
        <w:tc>
          <w:tcPr>
            <w:tcW w:type="dxa" w:w="948"/>
          </w:tcPr>
          <w:p>
            <w:pPr>
              <w:pStyle w:val="Compact"/>
              <w:jc w:val="center"/>
            </w:pPr>
            <w:r>
              <w:t xml:space="preserve">14B</w:t>
            </w:r>
          </w:p>
        </w:tc>
        <w:tc>
          <w:tcPr>
            <w:tcW w:type="dxa" w:w="668"/>
          </w:tcPr>
          <w:p>
            <w:pPr>
              <w:pStyle w:val="Compact"/>
              <w:jc w:val="center"/>
            </w:pPr>
            <w:r>
              <w:t xml:space="preserve">58.74%</w:t>
            </w:r>
          </w:p>
        </w:tc>
        <w:tc>
          <w:tcPr>
            <w:tcW w:type="dxa" w:w="853"/>
          </w:tcPr>
          <w:p>
            <w:pPr>
              <w:pStyle w:val="Compact"/>
              <w:jc w:val="center"/>
            </w:pPr>
            <w:r>
              <w:t xml:space="preserve">51.12%</w:t>
            </w:r>
          </w:p>
        </w:tc>
        <w:tc>
          <w:tcPr>
            <w:tcW w:type="dxa" w:w="668"/>
          </w:tcPr>
          <w:p>
            <w:pPr>
              <w:pStyle w:val="Compact"/>
              <w:jc w:val="center"/>
            </w:pPr>
            <w:r>
              <w:t xml:space="preserve">71.40%</w:t>
            </w:r>
          </w:p>
        </w:tc>
        <w:tc>
          <w:tcPr>
            <w:tcW w:type="dxa" w:w="1232"/>
          </w:tcPr>
          <w:p>
            <w:pPr>
              <w:pStyle w:val="Compact"/>
              <w:jc w:val="center"/>
            </w:pPr>
            <w:r>
              <w:t xml:space="preserve">3.90%</w:t>
            </w:r>
          </w:p>
        </w:tc>
        <w:tc>
          <w:tcPr>
            <w:tcW w:type="dxa" w:w="1137"/>
          </w:tcPr>
          <w:p>
            <w:pPr>
              <w:pStyle w:val="Compact"/>
              <w:jc w:val="center"/>
            </w:pPr>
            <w:r>
              <w:t xml:space="preserve">58.20</w:t>
            </w:r>
          </w:p>
        </w:tc>
        <w:tc>
          <w:tcPr>
            <w:tcW w:type="dxa" w:w="673"/>
          </w:tcPr>
          <w:p>
            <w:pPr>
              <w:pStyle w:val="Compact"/>
              <w:jc w:val="center"/>
            </w:pPr>
            <w:r>
              <w:t xml:space="preserve">4.15</w:t>
            </w:r>
          </w:p>
        </w:tc>
      </w:tr>
      <w:tr>
        <w:tc>
          <w:tcPr>
            <w:tcW w:type="dxa" w:w="1991"/>
          </w:tcPr>
          <w:p>
            <w:pPr>
              <w:pStyle w:val="Compact"/>
              <w:jc w:val="left"/>
            </w:pPr>
            <w:r>
              <w:t xml:space="preserve">mistral-nemo:latest</w:t>
            </w:r>
          </w:p>
        </w:tc>
        <w:tc>
          <w:tcPr>
            <w:tcW w:type="dxa" w:w="668"/>
          </w:tcPr>
          <w:p>
            <w:pPr>
              <w:pStyle w:val="Compact"/>
              <w:jc w:val="center"/>
            </w:pPr>
            <w:r>
              <w:t xml:space="preserve">Local</w:t>
            </w:r>
          </w:p>
        </w:tc>
        <w:tc>
          <w:tcPr>
            <w:tcW w:type="dxa" w:w="948"/>
          </w:tcPr>
          <w:p>
            <w:pPr>
              <w:pStyle w:val="Compact"/>
              <w:jc w:val="center"/>
            </w:pPr>
            <w:r>
              <w:t xml:space="preserve">12B</w:t>
            </w:r>
          </w:p>
        </w:tc>
        <w:tc>
          <w:tcPr>
            <w:tcW w:type="dxa" w:w="668"/>
          </w:tcPr>
          <w:p>
            <w:pPr>
              <w:pStyle w:val="Compact"/>
              <w:jc w:val="center"/>
            </w:pPr>
            <w:r>
              <w:t xml:space="preserve">57.12%</w:t>
            </w:r>
          </w:p>
        </w:tc>
        <w:tc>
          <w:tcPr>
            <w:tcW w:type="dxa" w:w="853"/>
          </w:tcPr>
          <w:p>
            <w:pPr>
              <w:pStyle w:val="Compact"/>
              <w:jc w:val="center"/>
            </w:pPr>
            <w:r>
              <w:t xml:space="preserve">49.80%</w:t>
            </w:r>
          </w:p>
        </w:tc>
        <w:tc>
          <w:tcPr>
            <w:tcW w:type="dxa" w:w="668"/>
          </w:tcPr>
          <w:p>
            <w:pPr>
              <w:pStyle w:val="Compact"/>
              <w:jc w:val="center"/>
            </w:pPr>
            <w:r>
              <w:t xml:space="preserve">69.11%</w:t>
            </w:r>
          </w:p>
        </w:tc>
        <w:tc>
          <w:tcPr>
            <w:tcW w:type="dxa" w:w="1232"/>
          </w:tcPr>
          <w:p>
            <w:pPr>
              <w:pStyle w:val="Compact"/>
              <w:jc w:val="center"/>
            </w:pPr>
            <w:r>
              <w:t xml:space="preserve">4.10%</w:t>
            </w:r>
          </w:p>
        </w:tc>
        <w:tc>
          <w:tcPr>
            <w:tcW w:type="dxa" w:w="1137"/>
          </w:tcPr>
          <w:p>
            <w:pPr>
              <w:pStyle w:val="Compact"/>
              <w:jc w:val="center"/>
            </w:pPr>
            <w:r>
              <w:t xml:space="preserve">52.40</w:t>
            </w:r>
          </w:p>
        </w:tc>
        <w:tc>
          <w:tcPr>
            <w:tcW w:type="dxa" w:w="673"/>
          </w:tcPr>
          <w:p>
            <w:pPr>
              <w:pStyle w:val="Compact"/>
              <w:jc w:val="center"/>
            </w:pPr>
            <w:r>
              <w:t xml:space="preserve">4.36</w:t>
            </w:r>
          </w:p>
        </w:tc>
      </w:tr>
      <w:tr>
        <w:tc>
          <w:tcPr>
            <w:tcW w:type="dxa" w:w="1991"/>
          </w:tcPr>
          <w:p>
            <w:pPr>
              <w:pStyle w:val="Compact"/>
              <w:jc w:val="left"/>
            </w:pPr>
            <w:r>
              <w:t xml:space="preserve">nuextract:latest</w:t>
            </w:r>
          </w:p>
        </w:tc>
        <w:tc>
          <w:tcPr>
            <w:tcW w:type="dxa" w:w="668"/>
          </w:tcPr>
          <w:p>
            <w:pPr>
              <w:pStyle w:val="Compact"/>
              <w:jc w:val="center"/>
            </w:pPr>
            <w:r>
              <w:t xml:space="preserve">Local</w:t>
            </w:r>
          </w:p>
        </w:tc>
        <w:tc>
          <w:tcPr>
            <w:tcW w:type="dxa" w:w="948"/>
          </w:tcPr>
          <w:p>
            <w:pPr>
              <w:pStyle w:val="Compact"/>
              <w:jc w:val="center"/>
            </w:pPr>
            <w:r>
              <w:t xml:space="preserve">3.8B</w:t>
            </w:r>
          </w:p>
        </w:tc>
        <w:tc>
          <w:tcPr>
            <w:tcW w:type="dxa" w:w="668"/>
          </w:tcPr>
          <w:p>
            <w:pPr>
              <w:pStyle w:val="Compact"/>
              <w:jc w:val="center"/>
            </w:pPr>
            <w:r>
              <w:t xml:space="preserve">54.20%</w:t>
            </w:r>
          </w:p>
        </w:tc>
        <w:tc>
          <w:tcPr>
            <w:tcW w:type="dxa" w:w="853"/>
          </w:tcPr>
          <w:p>
            <w:pPr>
              <w:pStyle w:val="Compact"/>
              <w:jc w:val="center"/>
            </w:pPr>
            <w:r>
              <w:t xml:space="preserve">46.10%</w:t>
            </w:r>
          </w:p>
        </w:tc>
        <w:tc>
          <w:tcPr>
            <w:tcW w:type="dxa" w:w="668"/>
          </w:tcPr>
          <w:p>
            <w:pPr>
              <w:pStyle w:val="Compact"/>
              <w:jc w:val="center"/>
            </w:pPr>
            <w:r>
              <w:t xml:space="preserve">68.20%</w:t>
            </w:r>
          </w:p>
        </w:tc>
        <w:tc>
          <w:tcPr>
            <w:tcW w:type="dxa" w:w="1232"/>
          </w:tcPr>
          <w:p>
            <w:pPr>
              <w:pStyle w:val="Compact"/>
              <w:jc w:val="center"/>
            </w:pPr>
            <w:r>
              <w:t xml:space="preserve">4.30%</w:t>
            </w:r>
          </w:p>
        </w:tc>
        <w:tc>
          <w:tcPr>
            <w:tcW w:type="dxa" w:w="1137"/>
          </w:tcPr>
          <w:p>
            <w:pPr>
              <w:pStyle w:val="Compact"/>
              <w:jc w:val="center"/>
            </w:pPr>
            <w:r>
              <w:t xml:space="preserve">21.30</w:t>
            </w:r>
          </w:p>
        </w:tc>
        <w:tc>
          <w:tcPr>
            <w:tcW w:type="dxa" w:w="673"/>
          </w:tcPr>
          <w:p>
            <w:pPr>
              <w:pStyle w:val="Compact"/>
              <w:jc w:val="center"/>
            </w:pPr>
            <w:r>
              <w:t xml:space="preserve">12.10</w:t>
            </w:r>
          </w:p>
        </w:tc>
      </w:tr>
      <w:tr>
        <w:tc>
          <w:tcPr>
            <w:tcW w:type="dxa" w:w="1991"/>
          </w:tcPr>
          <w:p>
            <w:pPr>
              <w:pStyle w:val="Compact"/>
              <w:jc w:val="center"/>
            </w:pPr>
            <w:r>
              <w:t>nemotron-mini:4b</w:t>
            </w:r>
          </w:p>
        </w:tc>
        <w:tc>
          <w:tcPr>
            <w:tcW w:type="dxa" w:w="668"/>
          </w:tcPr>
          <w:p>
            <w:pPr>
              <w:pStyle w:val="Compact"/>
              <w:jc w:val="center"/>
            </w:pPr>
            <w:r>
              <w:t>Local</w:t>
            </w:r>
          </w:p>
        </w:tc>
        <w:tc>
          <w:tcPr>
            <w:tcW w:type="dxa" w:w="948"/>
          </w:tcPr>
          <w:p>
            <w:pPr>
              <w:pStyle w:val="Compact"/>
              <w:jc w:val="center"/>
            </w:pPr>
            <w:r>
              <w:t>4B</w:t>
            </w:r>
          </w:p>
        </w:tc>
        <w:tc>
          <w:tcPr>
            <w:tcW w:type="dxa" w:w="668"/>
          </w:tcPr>
          <w:p>
            <w:pPr>
              <w:pStyle w:val="Compact"/>
              <w:jc w:val="center"/>
            </w:pPr>
            <w:r>
              <w:t>42.81%</w:t>
            </w:r>
          </w:p>
        </w:tc>
        <w:tc>
          <w:tcPr>
            <w:tcW w:type="dxa" w:w="853"/>
          </w:tcPr>
          <w:p>
            <w:pPr>
              <w:pStyle w:val="Compact"/>
              <w:jc w:val="center"/>
            </w:pPr>
            <w:r>
              <w:t>45.74%</w:t>
            </w:r>
          </w:p>
        </w:tc>
        <w:tc>
          <w:tcPr>
            <w:tcW w:type="dxa" w:w="668"/>
          </w:tcPr>
          <w:p>
            <w:pPr>
              <w:pStyle w:val="Compact"/>
              <w:jc w:val="center"/>
            </w:pPr>
            <w:r>
              <w:t>35.08%</w:t>
            </w:r>
          </w:p>
        </w:tc>
        <w:tc>
          <w:tcPr>
            <w:tcW w:type="dxa" w:w="1232"/>
          </w:tcPr>
          <w:p>
            <w:pPr>
              <w:pStyle w:val="Compact"/>
              <w:jc w:val="center"/>
            </w:pPr>
            <w:r>
              <w:t>7.62%</w:t>
            </w:r>
          </w:p>
        </w:tc>
        <w:tc>
          <w:tcPr>
            <w:tcW w:type="dxa" w:w="1137"/>
          </w:tcPr>
          <w:p>
            <w:pPr>
              <w:pStyle w:val="Compact"/>
              <w:jc w:val="center"/>
            </w:pPr>
            <w:r>
              <w:t>145.47</w:t>
            </w:r>
          </w:p>
        </w:tc>
        <w:tc>
          <w:tcPr>
            <w:tcW w:type="dxa" w:w="673"/>
          </w:tcPr>
          <w:p>
            <w:pPr>
              <w:pStyle w:val="Compact"/>
              <w:jc w:val="center"/>
            </w:pPr>
            <w:r>
              <w:t>1.41</w:t>
            </w:r>
          </w:p>
        </w:tc>
      </w:tr>
      <w:tr>
        <w:tc>
          <w:tcPr>
            <w:tcW w:type="dxa" w:w="1991"/>
          </w:tcPr>
          <w:p>
            <w:pPr>
              <w:pStyle w:val="Compact"/>
              <w:jc w:val="center"/>
            </w:pPr>
            <w:r>
              <w:t>deepseek-r1:1.5b</w:t>
            </w:r>
          </w:p>
        </w:tc>
        <w:tc>
          <w:tcPr>
            <w:tcW w:type="dxa" w:w="668"/>
          </w:tcPr>
          <w:p>
            <w:pPr>
              <w:pStyle w:val="Compact"/>
              <w:jc w:val="center"/>
            </w:pPr>
            <w:r>
              <w:t>Local</w:t>
            </w:r>
          </w:p>
        </w:tc>
        <w:tc>
          <w:tcPr>
            <w:tcW w:type="dxa" w:w="948"/>
          </w:tcPr>
          <w:p>
            <w:pPr>
              <w:pStyle w:val="Compact"/>
              <w:jc w:val="center"/>
            </w:pPr>
            <w:r>
              <w:t>1.5B</w:t>
            </w:r>
          </w:p>
        </w:tc>
        <w:tc>
          <w:tcPr>
            <w:tcW w:type="dxa" w:w="668"/>
          </w:tcPr>
          <w:p>
            <w:pPr>
              <w:pStyle w:val="Compact"/>
              <w:jc w:val="center"/>
            </w:pPr>
            <w:r>
              <w:t>31.28%</w:t>
            </w:r>
          </w:p>
        </w:tc>
        <w:tc>
          <w:tcPr>
            <w:tcW w:type="dxa" w:w="853"/>
          </w:tcPr>
          <w:p>
            <w:pPr>
              <w:pStyle w:val="Compact"/>
              <w:jc w:val="center"/>
            </w:pPr>
            <w:r>
              <w:t>35.12%</w:t>
            </w:r>
          </w:p>
        </w:tc>
        <w:tc>
          <w:tcPr>
            <w:tcW w:type="dxa" w:w="668"/>
          </w:tcPr>
          <w:p>
            <w:pPr>
              <w:pStyle w:val="Compact"/>
              <w:jc w:val="center"/>
            </w:pPr>
            <w:r>
              <w:t>28.90%</w:t>
            </w:r>
          </w:p>
        </w:tc>
        <w:tc>
          <w:tcPr>
            <w:tcW w:type="dxa" w:w="1232"/>
          </w:tcPr>
          <w:p>
            <w:pPr>
              <w:pStyle w:val="Compact"/>
              <w:jc w:val="center"/>
            </w:pPr>
            <w:r>
              <w:t>8.10%</w:t>
            </w:r>
          </w:p>
        </w:tc>
        <w:tc>
          <w:tcPr>
            <w:tcW w:type="dxa" w:w="1137"/>
          </w:tcPr>
          <w:p>
            <w:pPr>
              <w:pStyle w:val="Compact"/>
              <w:jc w:val="center"/>
            </w:pPr>
            <w:r>
              <w:t>38.40</w:t>
            </w:r>
          </w:p>
        </w:tc>
        <w:tc>
          <w:tcPr>
            <w:tcW w:type="dxa" w:w="673"/>
          </w:tcPr>
          <w:p>
            <w:pPr>
              <w:pStyle w:val="Compact"/>
              <w:jc w:val="center"/>
            </w:pPr>
            <w:r>
              <w:t>25.60</w:t>
            </w:r>
          </w:p>
        </w:tc>
      </w:tr>
    </w:tbl>
    <w:p>
      <w:pPr>
        <w:numPr>
          <w:ilvl w:val="0"/>
          <w:numId w:val="0"/>
        </w:numPr>
        <w:pStyle w:val="heading2"/>
      </w:pPr>
      <w:r>
        <w:t xml:space="preserve">9.6 Anexo F — Metodología Detallada de Generación del Corpus Sintético N=30</w:t>
      </w:r>
    </w:p>
    <w:p>
      <w:pPr>
        <w:pStyle w:val="p1a"/>
      </w:pPr>
      <w:r>
        <w:rPr>
          <w:b/>
          <w:bCs/>
        </w:rPr>
        <w:t xml:space="preserve">Paso 1 — Definición de la distribución temática:</w:t>
      </w:r>
      <w:r>
        <w:t xml:space="preserve"> </w:t>
      </w:r>
      <w:r>
        <w:t xml:space="preserve">Se analizaron los 15 artículos reales de Kleptotrace/CoNLL-2002 e identificaron sus categorías temáticas recurrentes: (a) sanciones internacionales a personas y empresas, (b) investigaciones por lavado de activos, (c) vínculos con Personas Políticamente Expuestas (PEP), y (d) corrupción en empresas públicas. Esta distribución guió la generación para mantener la representatividad del dominio AML/KYC.</w:t>
      </w:r>
    </w:p>
    <w:p>
      <w:pPr>
        <w:pStyle w:val="p1a"/>
      </w:pPr>
      <w:r>
        <w:rPr>
          <w:b/>
          <w:bCs/>
        </w:rPr>
        <w:t xml:space="preserve">Paso 2 — Generación controlada por plantillas de entidad:</w:t>
      </w:r>
      <w:r>
        <w:t xml:space="preserve"> </w:t>
      </w:r>
      <w:r>
        <w:t xml:space="preserve">Para cada artículo sintético se definió a priori un par</w:t>
      </w:r>
      <w:r>
        <w:t xml:space="preserve"> </w:t>
      </w:r>
      <w:r>
        <w:rPr>
          <w:rFonts w:ascii="Consolas" w:hAnsi="Consolas"/>
        </w:rPr>
        <w:t xml:space="preserve">{entidad_PER, entidad_ORG}</w:t>
      </w:r>
      <w:r>
        <w:t xml:space="preserve"> </w:t>
      </w:r>
      <w:r>
        <w:t xml:space="preserve">que debía aparecer en el texto, actuando como ground truth objetivo. Las entidades fueron seleccionadas de la base de datos OpenSanctions para garantizar realismo regulatorio (personas y organizaciones sancionadas reales).</w:t>
      </w:r>
    </w:p>
    <w:p>
      <w:pPr>
        <w:pStyle w:val="p1a"/>
      </w:pPr>
      <w:r>
        <w:rPr>
          <w:b/>
          <w:bCs/>
        </w:rPr>
        <w:t xml:space="preserve">Paso 3 — Instrucción al LLM generador:</w:t>
      </w:r>
      <w:r>
        <w:t xml:space="preserve"> </w:t>
      </w:r>
      <w:r>
        <w:t xml:space="preserve">El modelo</w:t>
      </w:r>
      <w:r>
        <w:t xml:space="preserve"> </w:t>
      </w:r>
      <w:r>
        <w:rPr>
          <w:rFonts w:ascii="Consolas" w:hAnsi="Consolas"/>
        </w:rPr>
        <w:t xml:space="preserve">gemma4:31b</w:t>
      </w:r>
      <w:r>
        <w:t xml:space="preserve"> </w:t>
      </w:r>
      <w:r>
        <w:t xml:space="preserve">recibió el siguiente prompt de generación:</w:t>
      </w:r>
    </w:p>
    <w:p>
      <w:pPr>
        <w:pStyle w:val="programcode"/>
      </w:pPr>
      <w:r>
        <w:rPr>
          <w:rFonts w:ascii="Consolas" w:hAnsi="Consolas"/>
        </w:rPr>
        <w:t xml:space="preserve">Eres un periodista de investigación financiera. Redacta un párrafo corto (2-4 oraciones) en español</w:t>
      </w:r>
      <w:r>
        <w:br/>
      </w:r>
      <w:r>
        <w:rPr>
          <w:rFonts w:ascii="Consolas" w:hAnsi="Consolas"/>
        </w:rPr>
        <w:t xml:space="preserve">sobre la entidad "{entidad_PER}" vinculada a "{entidad_ORG}" en el contexto de [temática aleatoria].</w:t>
      </w:r>
      <w:r>
        <w:br/>
      </w:r>
      <w:r>
        <w:rPr>
          <w:rFonts w:ascii="Consolas" w:hAnsi="Consolas"/>
        </w:rPr>
        <w:t xml:space="preserve">El texto debe ser fáctico, neutro y similiar en estilo a noticias de compliance financiero.</w:t>
      </w:r>
      <w:r>
        <w:br/>
      </w:r>
      <w:r>
        <w:rPr>
          <w:rFonts w:ascii="Consolas" w:hAnsi="Consolas"/>
        </w:rPr>
        <w:t xml:space="preserve">Debe mencionar exactamente estas entidades y no otras personas u organizaciones adicionales.</w:t>
      </w:r>
    </w:p>
    <w:p>
      <w:pPr>
        <w:pStyle w:val="p1a"/>
      </w:pPr>
      <w:r>
        <w:rPr>
          <w:b/>
          <w:bCs/>
        </w:rPr>
        <w:t xml:space="preserve">Paso 4 — Verificación del ground truth:</w:t>
      </w:r>
      <w:r>
        <w:t xml:space="preserve"> </w:t>
      </w:r>
      <w:r>
        <w:t xml:space="preserve">Cada artículo generado fue revisado manualmente para confirmar que las entidades objetivo aparecían efectivamente en el texto y eran las únicas entidades nombradas del tipo PER u ORG presentes. Artículos con entidades adicionales no anotadas fueron descartados y regenerados.</w:t>
      </w:r>
    </w:p>
    <w:p>
      <w:pPr>
        <w:pStyle w:val="p1a"/>
      </w:pPr>
      <w:r>
        <w:rPr>
          <w:b/>
          <w:bCs/>
        </w:rPr>
        <w:t xml:space="preserve">Paso 5 — Control de calidad por diversidad:</w:t>
      </w:r>
      <w:r>
        <w:t xml:space="preserve"> </w:t>
      </w:r>
      <w:r>
        <w:t xml:space="preserve">Se verificó que ningún artículo generado replicara literalmente oraciones de otro artículo del corpus (deduplicación por similitud coseno &gt; 0.85). La longitud promedio resultante fue de 187 caracteres, con una distribución uniforme de 2.1 entidades PER y 1.3 entidades ORG por artículo.</w:t>
      </w:r>
    </w:p>
    <w:p>
      <w:pPr>
        <w:numPr>
          <w:ilvl w:val="0"/>
          <w:numId w:val="0"/>
        </w:numPr>
        <w:pStyle w:val="heading3"/>
      </w:pPr>
      <w:r>
        <w:t xml:space="preserve">D.6 Degradación Observada — RAG por Diccionario (Baseline vs. RAG-Dict)</w:t>
      </w:r>
    </w:p>
    <w:p>
      <w:pPr>
        <w:pStyle w:val="tablecaption"/>
      </w:pPr>
      <w:r>
        <w:t xml:space="preserve">Tabla 21. Degradación Observada — RAG por Diccionario</w:t>
      </w:r>
    </w:p>
    <w:tbl>
      <w:tblPr>
        <w:tblStyle w:val="Table"/>
        <w:tblW w:type="dxa" w:w="8838"/>
        <w:tblLook w:firstRow="1" w:lastRow="0" w:firstColumn="0" w:lastColumn="0" w:noHBand="0" w:noVBand="0" w:val="0020"/>
        <w:tblLayout w:type="fixed"/>
      </w:tblPr>
      <w:tblGrid>
        <w:gridCol w:w="3012"/>
        <w:gridCol w:w="2209"/>
        <w:gridCol w:w="2209"/>
        <w:gridCol w:w="1408"/>
      </w:tblGrid>
      <w:tr>
        <w:trPr>
          <w:tblHeader w:val="on"/>
        </w:trPr>
        <w:tc>
          <w:tcPr>
            <w:tcW w:type="dxa" w:w="3012"/>
          </w:tcPr>
          <w:p>
            <w:pPr>
              <w:pStyle w:val="Compact"/>
              <w:jc w:val="left"/>
            </w:pPr>
            <w:r>
              <w:t xml:space="preserve">Modelo</w:t>
            </w:r>
          </w:p>
        </w:tc>
        <w:tc>
          <w:tcPr>
            <w:tcW w:type="dxa" w:w="2209"/>
          </w:tcPr>
          <w:p>
            <w:pPr>
              <w:pStyle w:val="Compact"/>
              <w:jc w:val="center"/>
            </w:pPr>
            <w:r>
              <w:t xml:space="preserve">Baseline F1</w:t>
            </w:r>
          </w:p>
        </w:tc>
        <w:tc>
          <w:tcPr>
            <w:tcW w:type="dxa" w:w="2209"/>
          </w:tcPr>
          <w:p>
            <w:pPr>
              <w:pStyle w:val="Compact"/>
              <w:jc w:val="center"/>
            </w:pPr>
            <w:r>
              <w:t xml:space="preserve">RAG-Dict F1</w:t>
            </w:r>
          </w:p>
        </w:tc>
        <w:tc>
          <w:tcPr>
            <w:tcW w:type="dxa" w:w="1408"/>
          </w:tcPr>
          <w:p>
            <w:pPr>
              <w:pStyle w:val="Compact"/>
              <w:jc w:val="center"/>
            </w:pPr>
            <w:r>
              <w:t xml:space="preserve">Delta</w:t>
            </w:r>
          </w:p>
        </w:tc>
      </w:tr>
      <w:tr>
        <w:tc>
          <w:tcPr>
            <w:tcW w:type="dxa" w:w="3012"/>
          </w:tcPr>
          <w:p>
            <w:pPr>
              <w:pStyle w:val="Compact"/>
              <w:jc w:val="left"/>
            </w:pPr>
            <w:r>
              <w:rPr>
                <w:rFonts w:ascii="Consolas" w:hAnsi="Consolas"/>
              </w:rPr>
              <w:t xml:space="preserve">gemma4:31b-mlx</w:t>
            </w:r>
          </w:p>
        </w:tc>
        <w:tc>
          <w:tcPr>
            <w:tcW w:type="dxa" w:w="2209"/>
          </w:tcPr>
          <w:p>
            <w:pPr>
              <w:pStyle w:val="Compact"/>
              <w:jc w:val="center"/>
            </w:pPr>
            <w:r>
              <w:rPr>
                <w:b/>
                <w:bCs/>
              </w:rPr>
              <w:t xml:space="preserve">0.5983</w:t>
            </w:r>
          </w:p>
        </w:tc>
        <w:tc>
          <w:tcPr>
            <w:tcW w:type="dxa" w:w="2209"/>
          </w:tcPr>
          <w:p>
            <w:pPr>
              <w:pStyle w:val="Compact"/>
              <w:jc w:val="center"/>
            </w:pPr>
            <w:r>
              <w:t xml:space="preserve">0.5868</w:t>
            </w:r>
          </w:p>
        </w:tc>
        <w:tc>
          <w:tcPr>
            <w:tcW w:type="dxa" w:w="1408"/>
          </w:tcPr>
          <w:p>
            <w:pPr>
              <w:pStyle w:val="Compact"/>
              <w:jc w:val="center"/>
            </w:pPr>
            <w:r>
              <w:t xml:space="preserve">−0.0115</w:t>
            </w:r>
          </w:p>
        </w:tc>
      </w:tr>
      <w:tr>
        <w:tc>
          <w:tcPr>
            <w:tcW w:type="dxa" w:w="3012"/>
          </w:tcPr>
          <w:p>
            <w:pPr>
              <w:pStyle w:val="Compact"/>
              <w:jc w:val="left"/>
            </w:pPr>
            <w:r>
              <w:rPr>
                <w:rFonts w:ascii="Consolas" w:hAnsi="Consolas"/>
              </w:rPr>
              <w:t xml:space="preserve">gemma4:latest</w:t>
            </w:r>
          </w:p>
        </w:tc>
        <w:tc>
          <w:tcPr>
            <w:tcW w:type="dxa" w:w="2209"/>
          </w:tcPr>
          <w:p>
            <w:pPr>
              <w:pStyle w:val="Compact"/>
              <w:jc w:val="center"/>
            </w:pPr>
            <w:r>
              <w:t xml:space="preserve">0.5446</w:t>
            </w:r>
          </w:p>
        </w:tc>
        <w:tc>
          <w:tcPr>
            <w:tcW w:type="dxa" w:w="2209"/>
          </w:tcPr>
          <w:p>
            <w:pPr>
              <w:pStyle w:val="Compact"/>
              <w:jc w:val="center"/>
            </w:pPr>
            <w:r>
              <w:t xml:space="preserve">—</w:t>
            </w:r>
          </w:p>
        </w:tc>
        <w:tc>
          <w:tcPr>
            <w:tcW w:type="dxa" w:w="1408"/>
          </w:tcPr>
          <w:p>
            <w:pPr>
              <w:pStyle w:val="Compact"/>
              <w:jc w:val="center"/>
            </w:pPr>
            <w:r>
              <w:t xml:space="preserve">—</w:t>
            </w:r>
          </w:p>
        </w:tc>
      </w:tr>
      <w:tr>
        <w:tc>
          <w:tcPr>
            <w:tcW w:type="dxa" w:w="3012"/>
          </w:tcPr>
          <w:p>
            <w:pPr>
              <w:pStyle w:val="Compact"/>
              <w:jc w:val="left"/>
            </w:pPr>
            <w:r>
              <w:rPr>
                <w:rFonts w:ascii="Consolas" w:hAnsi="Consolas"/>
              </w:rPr>
              <w:t xml:space="preserve">qwen2.5:14b</w:t>
            </w:r>
          </w:p>
        </w:tc>
        <w:tc>
          <w:tcPr>
            <w:tcW w:type="dxa" w:w="2209"/>
          </w:tcPr>
          <w:p>
            <w:pPr>
              <w:pStyle w:val="Compact"/>
              <w:jc w:val="center"/>
            </w:pPr>
            <w:r>
              <w:t xml:space="preserve">0.5189</w:t>
            </w:r>
          </w:p>
        </w:tc>
        <w:tc>
          <w:tcPr>
            <w:tcW w:type="dxa" w:w="2209"/>
          </w:tcPr>
          <w:p>
            <w:pPr>
              <w:pStyle w:val="Compact"/>
              <w:jc w:val="center"/>
            </w:pPr>
            <w:r>
              <w:t xml:space="preserve">—</w:t>
            </w:r>
          </w:p>
        </w:tc>
        <w:tc>
          <w:tcPr>
            <w:tcW w:type="dxa" w:w="1408"/>
          </w:tcPr>
          <w:p>
            <w:pPr>
              <w:pStyle w:val="Compact"/>
              <w:jc w:val="center"/>
            </w:pPr>
            <w:r>
              <w:t xml:space="preserve">—</w:t>
            </w:r>
          </w:p>
        </w:tc>
      </w:tr>
      <w:tr>
        <w:tc>
          <w:tcPr>
            <w:tcW w:type="dxa" w:w="3012"/>
          </w:tcPr>
          <w:p>
            <w:pPr>
              <w:pStyle w:val="Compact"/>
              <w:jc w:val="left"/>
            </w:pPr>
            <w:r>
              <w:rPr>
                <w:rFonts w:ascii="Consolas" w:hAnsi="Consolas"/>
              </w:rPr>
              <w:t xml:space="preserve">llama3.2:latest</w:t>
            </w:r>
          </w:p>
        </w:tc>
        <w:tc>
          <w:tcPr>
            <w:tcW w:type="dxa" w:w="2209"/>
          </w:tcPr>
          <w:p>
            <w:pPr>
              <w:pStyle w:val="Compact"/>
              <w:jc w:val="center"/>
            </w:pPr>
            <w:r>
              <w:t xml:space="preserve">0.3945</w:t>
            </w:r>
          </w:p>
        </w:tc>
        <w:tc>
          <w:tcPr>
            <w:tcW w:type="dxa" w:w="2209"/>
          </w:tcPr>
          <w:p>
            <w:pPr>
              <w:pStyle w:val="Compact"/>
              <w:jc w:val="center"/>
            </w:pPr>
            <w:r>
              <w:t xml:space="preserve">—</w:t>
            </w:r>
          </w:p>
        </w:tc>
        <w:tc>
          <w:tcPr>
            <w:tcW w:type="dxa" w:w="1408"/>
          </w:tcPr>
          <w:p>
            <w:pPr>
              <w:pStyle w:val="Compact"/>
              <w:jc w:val="center"/>
            </w:pPr>
            <w:r>
              <w:t xml:space="preserve">—</w:t>
            </w:r>
          </w:p>
        </w:tc>
      </w:tr>
    </w:tbl>
    <w:p>
      <w:pPr>
        <w:numPr>
          <w:ilvl w:val="0"/>
          <w:numId w:val="0"/>
        </w:numPr>
        <w:pStyle w:val="heading3"/>
      </w:pPr>
      <w:r>
        <w:t xml:space="preserve">D.7 Mini-Benchmark de Validación Preliminar (N=5, llama3.2:latest)</w:t>
      </w:r>
    </w:p>
    <w:p>
      <w:pPr>
        <w:pStyle w:val="tablecaption"/>
      </w:pPr>
      <w:r>
        <w:t xml:space="preserve">Tabla 22. Mini-Benchmark de Validación Preliminar (N=5)</w:t>
      </w:r>
    </w:p>
    <w:tbl>
      <w:tblPr>
        <w:tblStyle w:val="Table"/>
        <w:tblW w:type="dxa" w:w="8838"/>
        <w:tblLayout w:type="fixed"/>
        <w:tblLook w:firstRow="1" w:lastRow="0" w:firstColumn="0" w:lastColumn="0" w:noHBand="0" w:noVBand="0" w:val="0020"/>
      </w:tblPr>
      <w:tblGrid>
        <w:gridCol w:w="2996"/>
        <w:gridCol w:w="1198"/>
        <w:gridCol w:w="1348"/>
        <w:gridCol w:w="898"/>
        <w:gridCol w:w="2398"/>
      </w:tblGrid>
      <w:tr>
        <w:trPr>
          <w:tblHeader w:val="on"/>
        </w:trPr>
        <w:tc>
          <w:tcPr>
            <w:tcW w:type="dxa" w:w="2996"/>
          </w:tcPr>
          <w:p>
            <w:pPr>
              <w:pStyle w:val="Compact"/>
              <w:jc w:val="left"/>
            </w:pPr>
            <w:r>
              <w:t xml:space="preserve">Condición</w:t>
            </w:r>
          </w:p>
        </w:tc>
        <w:tc>
          <w:tcPr>
            <w:tcW w:type="dxa" w:w="1198"/>
          </w:tcPr>
          <w:p>
            <w:pPr>
              <w:pStyle w:val="Compact"/>
              <w:jc w:val="center"/>
            </w:pPr>
            <w:r>
              <w:t xml:space="preserve">F1-Score</w:t>
            </w:r>
          </w:p>
        </w:tc>
        <w:tc>
          <w:tcPr>
            <w:tcW w:type="dxa" w:w="1348"/>
          </w:tcPr>
          <w:p>
            <w:pPr>
              <w:pStyle w:val="Compact"/>
              <w:jc w:val="center"/>
            </w:pPr>
            <w:r>
              <w:t xml:space="preserve">Precisión</w:t>
            </w:r>
          </w:p>
        </w:tc>
        <w:tc>
          <w:tcPr>
            <w:tcW w:type="dxa" w:w="898"/>
          </w:tcPr>
          <w:p>
            <w:pPr>
              <w:pStyle w:val="Compact"/>
              <w:jc w:val="center"/>
            </w:pPr>
            <w:r>
              <w:t xml:space="preserve">Recall</w:t>
            </w:r>
          </w:p>
        </w:tc>
        <w:tc>
          <w:tcPr>
            <w:tcW w:type="dxa" w:w="2398"/>
          </w:tcPr>
          <w:p>
            <w:pPr>
              <w:pStyle w:val="Compact"/>
              <w:jc w:val="center"/>
            </w:pPr>
            <w:r>
              <w:t xml:space="preserve">Δ F1 vs Baseline</w:t>
            </w:r>
          </w:p>
        </w:tc>
      </w:tr>
      <w:tr>
        <w:tc>
          <w:tcPr>
            <w:tcW w:type="dxa" w:w="2996"/>
          </w:tcPr>
          <w:p>
            <w:pPr>
              <w:pStyle w:val="Compact"/>
              <w:jc w:val="left"/>
            </w:pPr>
            <w:r>
              <w:rPr>
                <w:b/>
                <w:bCs/>
              </w:rPr>
              <w:t xml:space="preserve">Baseline (zero-shot)</w:t>
            </w:r>
          </w:p>
        </w:tc>
        <w:tc>
          <w:tcPr>
            <w:tcW w:type="dxa" w:w="1198"/>
          </w:tcPr>
          <w:p>
            <w:pPr>
              <w:pStyle w:val="Compact"/>
              <w:jc w:val="center"/>
            </w:pPr>
            <w:r>
              <w:t xml:space="preserve">0.3521</w:t>
            </w:r>
          </w:p>
        </w:tc>
        <w:tc>
          <w:tcPr>
            <w:tcW w:type="dxa" w:w="1348"/>
          </w:tcPr>
          <w:p>
            <w:pPr>
              <w:pStyle w:val="Compact"/>
              <w:jc w:val="center"/>
            </w:pPr>
            <w:r>
              <w:t xml:space="preserve">0.4250</w:t>
            </w:r>
          </w:p>
        </w:tc>
        <w:tc>
          <w:tcPr>
            <w:tcW w:type="dxa" w:w="898"/>
          </w:tcPr>
          <w:p>
            <w:pPr>
              <w:pStyle w:val="Compact"/>
              <w:jc w:val="center"/>
            </w:pPr>
            <w:r>
              <w:t xml:space="preserve">0.3333</w:t>
            </w:r>
          </w:p>
        </w:tc>
        <w:tc>
          <w:tcPr>
            <w:tcW w:type="dxa" w:w="2398"/>
          </w:tcPr>
          <w:p>
            <w:pPr>
              <w:pStyle w:val="Compact"/>
              <w:jc w:val="center"/>
            </w:pPr>
            <w:r>
              <w:t xml:space="preserve">—</w:t>
            </w:r>
          </w:p>
        </w:tc>
      </w:tr>
      <w:tr>
        <w:tc>
          <w:tcPr>
            <w:tcW w:type="dxa" w:w="2996"/>
          </w:tcPr>
          <w:p>
            <w:pPr>
              <w:pStyle w:val="Compact"/>
              <w:jc w:val="left"/>
            </w:pPr>
            <w:r>
              <w:rPr>
                <w:b/>
                <w:bCs/>
              </w:rPr>
              <w:t xml:space="preserve">KB Combined RAG</w:t>
            </w:r>
          </w:p>
        </w:tc>
        <w:tc>
          <w:tcPr>
            <w:tcW w:type="dxa" w:w="1198"/>
          </w:tcPr>
          <w:p>
            <w:pPr>
              <w:pStyle w:val="Compact"/>
              <w:jc w:val="center"/>
            </w:pPr>
            <w:r>
              <w:rPr>
                <w:b/>
                <w:bCs/>
              </w:rPr>
              <w:t xml:space="preserve">0.5489</w:t>
            </w:r>
          </w:p>
        </w:tc>
        <w:tc>
          <w:tcPr>
            <w:tcW w:type="dxa" w:w="1348"/>
          </w:tcPr>
          <w:p>
            <w:pPr>
              <w:pStyle w:val="Compact"/>
              <w:jc w:val="center"/>
            </w:pPr>
            <w:r>
              <w:rPr>
                <w:b/>
                <w:bCs/>
              </w:rPr>
              <w:t xml:space="preserve">0.5227</w:t>
            </w:r>
          </w:p>
        </w:tc>
        <w:tc>
          <w:tcPr>
            <w:tcW w:type="dxa" w:w="898"/>
          </w:tcPr>
          <w:p>
            <w:pPr>
              <w:pStyle w:val="Compact"/>
              <w:jc w:val="center"/>
            </w:pPr>
            <w:r>
              <w:rPr>
                <w:b/>
                <w:bCs/>
              </w:rPr>
              <w:t xml:space="preserve">0.5954</w:t>
            </w:r>
          </w:p>
        </w:tc>
        <w:tc>
          <w:tcPr>
            <w:tcW w:type="dxa" w:w="2398"/>
          </w:tcPr>
          <w:p>
            <w:pPr>
              <w:pStyle w:val="Compact"/>
              <w:jc w:val="center"/>
            </w:pPr>
            <w:r>
              <w:rPr>
                <w:b/>
                <w:bCs/>
              </w:rPr>
              <w:t xml:space="preserve">+0.1968</w:t>
            </w:r>
          </w:p>
        </w:tc>
      </w:tr>
    </w:tbl>
    <w:p>
      <w:pPr>
        <w:numPr>
          <w:ilvl w:val="0"/>
          <w:numId w:val="0"/>
        </w:numPr>
        <w:pStyle w:val="heading3"/>
      </w:pPr>
      <w:r>
        <w:t xml:space="preserve">D.8 Reglas de la Base de Conocimientos Contextual</w:t>
      </w:r>
    </w:p>
    <w:p>
      <w:pPr>
        <w:pStyle w:val="tablecaption"/>
      </w:pPr>
      <w:r>
        <w:t xml:space="preserve">Tabla 23. Reglas de la Base de Conocimientos Contextual</w:t>
      </w:r>
    </w:p>
    <w:tbl>
      <w:tblPr>
        <w:tblW w:type="dxa" w:w="8838"/>
        <w:jc w:val="center"/>
        <w:tblLayout w:type="fixed"/>
        <w:tblLook w:firstColumn="1" w:firstRow="1" w:lastColumn="0" w:lastRow="0" w:noHBand="0" w:noVBand="1" w:val="04A0"/>
      </w:tblPr>
      <w:tblGrid>
        <w:gridCol w:w="3130"/>
        <w:gridCol w:w="5708"/>
      </w:tblGrid>
      <w:tr>
        <w:tc>
          <w:tcPr>
            <w:tcW w:type="dxa" w:w="3130"/>
            <w:tcBorders>
              <w:top w:val="single" w:sz="4" w:space="0" w:color="999999"/>
              <w:left w:val="single" w:sz="4" w:space="0" w:color="999999"/>
              <w:bottom w:val="single" w:sz="4" w:space="0" w:color="999999"/>
              <w:right w:val="single" w:sz="4" w:space="0" w:color="999999"/>
            </w:tcBorders>
            <w:shd w:val="clear" w:color="auto" w:fill="D9E2F3"/>
          </w:tcPr>
          <w:p>
            <w:pPr>
              <w:spacing w:after="40" w:before="40"/>
            </w:pPr>
            <w:r>
              <w:rPr>
                <w:b/>
                <w:sz w:val="18"/>
              </w:rPr>
            </w:r>
            <w:r>
              <w:rPr>
                <w:b/>
                <w:sz w:val="18"/>
              </w:rPr>
              <w:t>Regla</w:t>
            </w:r>
          </w:p>
        </w:tc>
        <w:tc>
          <w:tcPr>
            <w:tcW w:type="dxa" w:w="5708"/>
            <w:tcBorders>
              <w:top w:val="single" w:sz="4" w:space="0" w:color="999999"/>
              <w:left w:val="single" w:sz="4" w:space="0" w:color="999999"/>
              <w:bottom w:val="single" w:sz="4" w:space="0" w:color="999999"/>
              <w:right w:val="single" w:sz="4" w:space="0" w:color="999999"/>
            </w:tcBorders>
            <w:shd w:val="clear" w:color="auto" w:fill="D9E2F3"/>
          </w:tcPr>
          <w:p>
            <w:pPr>
              <w:spacing w:after="40" w:before="40"/>
            </w:pPr>
            <w:r>
              <w:rPr>
                <w:b/>
                <w:sz w:val="18"/>
              </w:rPr>
            </w:r>
            <w:r>
              <w:rPr>
                <w:b/>
                <w:sz w:val="18"/>
              </w:rPr>
              <w:t>Contenido</w:t>
            </w:r>
          </w:p>
        </w:tc>
      </w:tr>
      <w:tr>
        <w:tc>
          <w:tcPr>
            <w:tcW w:type="dxa" w:w="3130"/>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1. Personas</w:t>
            </w:r>
          </w:p>
        </w:tc>
        <w:tc>
          <w:tcPr>
            <w:tcW w:type="dxa" w:w="5708"/>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Extrae SOLO el nombre propio...</w:t>
            </w:r>
          </w:p>
        </w:tc>
      </w:tr>
      <w:tr>
        <w:tc>
          <w:tcPr>
            <w:tcW w:type="dxa" w:w="3130"/>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2. Organizaciones</w:t>
            </w:r>
          </w:p>
        </w:tc>
        <w:tc>
          <w:tcPr>
            <w:tcW w:type="dxa" w:w="5708"/>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Partidos (PSOE, PP), Junta...</w:t>
            </w:r>
          </w:p>
        </w:tc>
      </w:tr>
      <w:tr>
        <w:tc>
          <w:tcPr>
            <w:tcW w:type="dxa" w:w="3130"/>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3. Desambiguación</w:t>
            </w:r>
          </w:p>
        </w:tc>
        <w:tc>
          <w:tcPr>
            <w:tcW w:type="dxa" w:w="5708"/>
            <w:tcBorders>
              <w:top w:val="single" w:sz="4" w:space="0" w:color="999999"/>
              <w:left w:val="single" w:sz="4" w:space="0" w:color="999999"/>
              <w:bottom w:val="single" w:sz="4" w:space="0" w:color="999999"/>
              <w:right w:val="single" w:sz="4" w:space="0" w:color="999999"/>
            </w:tcBorders>
          </w:tcPr>
          <w:p>
            <w:pPr>
              <w:spacing w:after="40" w:before="40"/>
            </w:pPr>
            <w:r>
              <w:rPr>
                <w:sz w:val="18"/>
              </w:rPr>
            </w:r>
            <w:r>
              <w:rPr>
                <w:b w:val="0"/>
                <w:sz w:val="18"/>
              </w:rPr>
              <w:t>Un apellido solo ('Bono')...</w:t>
            </w:r>
          </w:p>
        </w:tc>
      </w:tr>
    </w:tbl>
    <w:p>
      <w:pPr>
        <w:numPr>
          <w:ilvl w:val="0"/>
          <w:numId w:val="0"/>
        </w:numPr>
        <w:pStyle w:val="heading2"/>
      </w:pPr>
      <w:r>
        <w:t xml:space="preserve">9.7 Anexo G — Declaración de Uso de Inteligencia Artificial en la Elaboración de esta Tesina</w:t>
      </w:r>
    </w:p>
    <w:p>
      <w:pPr>
        <w:numPr>
          <w:ilvl w:val="0"/>
          <w:numId w:val="0"/>
        </w:numPr>
        <w:pStyle w:val="p1a"/>
      </w:pPr>
      <w:r>
        <w:t xml:space="preserve">Este anexo declara, con propósito de transparencia académica, el alcance y los límites del uso de herramientas de inteligencia artificial (IA) generativa durante el desarrollo de esta tesina. La declaración se basa en el registro documental del proyecto: el historial de control de versiones (20 commits entre el 29 de junio y el 1 de septiembre de 2026), los registros de trabajo WORKLOG.md (raíz del repositorio y research/rag/), y los informes de investigación asociados.</w:t>
      </w:r>
    </w:p>
    <w:p>
      <w:pPr>
        <w:numPr>
          <w:ilvl w:val="0"/>
          <w:numId w:val="0"/>
        </w:numPr>
        <w:pStyle w:val="heading3"/>
      </w:pPr>
      <w:r>
        <w:t xml:space="preserve">G.1 Trabajo realizado por el autor de la tesina</w:t>
      </w:r>
    </w:p>
    <w:p>
      <w:pPr>
        <w:numPr>
          <w:ilvl w:val="0"/>
          <w:numId w:val="0"/>
        </w:numPr>
        <w:pStyle w:val="p1a"/>
      </w:pPr>
      <w:r>
        <w:t xml:space="preserve">La totalidad de las decisiones intelectuales y metodológicas del trabajo corresponden al autor. En particular: la identificación y formulación del problema de investigación (monitoreo de entidades de riesgo AML/KYC bajo restricción de soberanía de datos); el planteamiento de la hipótesis de trabajo y del umbral de viabilidad F1 ≥ 70%; el modelado conceptual del problema como tarea de NER en vocabulario abierto sobre noticias en español; el diseño de la arquitectura del sistema (pipeline pub/sub con control adaptativo AIMD, capa Factory/Facade de proveedores, gestión de VRAM en Apple Silicon); la selección y priorización de los modelos a evaluar, con hipótesis fundamentadas previas a la evaluación empírica; la definición del diseño experimental, de las métricas y del protocolo estadístico (ANOVA de una vía y Tukey HSD); la decisión metodológica de mantener el corpus sintético N=30 y el corpus real N=120 como alternativas conmutables en lugar de reemplazar uno por otro; la autorización acotada y documentada del uso de modelos en la nube exclusivamente como línea base de comparación sobre corpus público; la verificación manual del ground truth de los artículos generados; la ejecución de los benchmarks sobre su propio hardware; y la interpretación, validación y redacción sustantiva de los resultados, la discusión y las conclusiones.</w:t>
      </w:r>
    </w:p>
    <w:p>
      <w:pPr>
        <w:numPr>
          <w:ilvl w:val="0"/>
          <w:numId w:val="0"/>
        </w:numPr>
        <w:pStyle w:val="p1a"/>
      </w:pPr>
      <w:r>
        <w:t xml:space="preserve">El autor es asimismo responsable de la auditoría crítica de los artefactos producidos con apoyo de IA. Ejemplo documentado de esta supervisión es la detección del error de nomenclatura de cuantización en el identificador de un modelo (sufijo q8 sobre un modelo de precisión mixta NVFP4), verificada contra los manifiestos del registro de Ollama y corregida transversalmente en la documentación del proyecto.</w:t>
      </w:r>
    </w:p>
    <w:p>
      <w:pPr>
        <w:numPr>
          <w:ilvl w:val="0"/>
          <w:numId w:val="0"/>
        </w:numPr>
        <w:pStyle w:val="heading3"/>
      </w:pPr>
      <w:r>
        <w:t xml:space="preserve">G.2 Apoyo de IA en la elaboración de artefactos de prueba</w:t>
      </w:r>
    </w:p>
    <w:p>
      <w:pPr>
        <w:numPr>
          <w:ilvl w:val="0"/>
          <w:numId w:val="0"/>
        </w:numPr>
        <w:pStyle w:val="p1a"/>
      </w:pPr>
      <w:r>
        <w:t xml:space="preserve">Se utilizó IA generativa como instrumento en la construcción de artefactos de evaluación, siempre bajo especificación y verificación del autor. El corpus sintético N=30 (kleptotrace_augmented_30.json) fue generado mediante aumento de datos guiado por LLM: el autor definió a priori la distribución temática, los pares {entidad_PER, entidad_ORG} objetivo tomados de OpenSanctions y el prompt de generación (Anexo F); el modelo gemma4:31b produjo los textos; y cada artículo fue revisado manualmente para confirmar el ground truth, descartándose y regenerándose los que introducían entidades no anotadas. El corpus real N=120 (benchmark_balanced_120.json) no fue generado por IA: combina 15 artículos del corpus Kleptotrace con 105 artículos muestreados de CoNLL-2002 en español. Los ejemplares few-shot de la base de conocimientos contextual fueron extraídos de artículos reales anotados del propio corpus de evaluación, sin generación sintética.</w:t>
      </w:r>
    </w:p>
    <w:p>
      <w:pPr>
        <w:numPr>
          <w:ilvl w:val="0"/>
          <w:numId w:val="0"/>
        </w:numPr>
        <w:pStyle w:val="heading3"/>
      </w:pPr>
      <w:r>
        <w:t xml:space="preserve">G.3 Apoyo de IA en implementación, documentación y formato</w:t>
      </w:r>
    </w:p>
    <w:p>
      <w:pPr>
        <w:numPr>
          <w:ilvl w:val="0"/>
          <w:numId w:val="0"/>
        </w:numPr>
        <w:pStyle w:val="p1a"/>
      </w:pPr>
      <w:r>
        <w:t xml:space="preserve">Asistentes de programación basados en LLM se emplearon como apoyo en tareas de implementación y documentación, bajo revisión y prueba del autor: generación y refactorización de código del banco de pruebas y del módulo KB RAG a partir de decisiones arquitectónicas previamente definidas; escritura de scripts auxiliares de análisis de resultados; mantenimiento del registro cronológico de trabajo (WORKLOG.md); conversión y regeneración de documentos mediante pandoc; y tareas de formato del informe: transplante del contenido a la plantilla institucional UTFSM/MTI, conversión de diagramas en texto a tablas, numeración de secciones, leyendas de tablas, condensación editorial para cumplir el límite de extensión y reubicación de detalle técnico a los anexos, preservando íntegramente la evidencia. Ninguna de estas intervenciones introdujo resultados experimentales: las cifras reportadas provienen exclusivamente de las corridas registradas en el directorio results/ del repositorio.</w:t>
      </w:r>
    </w:p>
    <w:p>
      <w:pPr>
        <w:numPr>
          <w:ilvl w:val="0"/>
          <w:numId w:val="0"/>
        </w:numPr>
        <w:pStyle w:val="heading3"/>
      </w:pPr>
      <w:r>
        <w:t xml:space="preserve">G.4 Límites y verificación</w:t>
      </w:r>
    </w:p>
    <w:p>
      <w:pPr>
        <w:numPr>
          <w:ilvl w:val="0"/>
          <w:numId w:val="0"/>
        </w:numPr>
        <w:pStyle w:val="p1a"/>
      </w:pPr>
      <w:r>
        <w:t xml:space="preserve">No se utilizó IA para producir, estimar o extrapolar datos experimentales, ni para redactar conclusiones no sustentadas en las corridas registradas. Toda cifra citada en este informe es trazable a un archivo de resultados versionado en el repositorio. Las limitaciones conocidas se declaran explícitamente en el cuerpo del informe, entre ellas que la validación complementaria sobre el corpus real N=120 (§5.3.5) cubre un subconjunto de cinco modelos y que la re-evaluación de los modelos restantes queda como trabajo futuro (§7.2). El autor asume la responsabilidad final sobre el contenido, la exactitud y la integridad académica de este documento.</w:t>
      </w:r>
    </w:p>
    <w:sectPr w:rsidR="00AD2E51" w:rsidRPr="00302DE4" w:rsidSect="003B35BB">
      <w:headerReference w:type="even" r:id="rId9"/>
      <w:headerReference w:type="default" r:id="rId10"/>
      <w:footerReference w:type="even" r:id="rId11"/>
      <w:footerReference w:type="default" r:id="rId12"/>
      <w:headerReference w:type="first" r:id="rId13"/>
      <w:pgSz w:w="12240" w:h="15840" w:code="1"/>
      <w:pgMar w:top="1871" w:right="1701" w:bottom="1418" w:left="1701"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C7A39F" w14:textId="77777777" w:rsidR="00124D96" w:rsidRDefault="00124D96">
      <w:r>
        <w:separator/>
      </w:r>
    </w:p>
  </w:endnote>
  <w:endnote w:type="continuationSeparator" w:id="0">
    <w:p w14:paraId="45888D19" w14:textId="77777777" w:rsidR="00124D96" w:rsidRDefault="00124D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ms Rmn">
    <w:panose1 w:val="020B0604020202020204"/>
    <w:charset w:val="4D"/>
    <w:family w:val="roman"/>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ourier">
    <w:altName w:val="Courier New"/>
    <w:panose1 w:val="020703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pitch w:val="variable"/>
    <w:sig w:usb0="E1002EFF" w:usb1="C000605B" w:usb2="00000029" w:usb3="00000000" w:csb0="000101FF" w:csb1="00000000"/>
  </w:font>
  <w:font w:name="Copperplate Gothic Light">
    <w:altName w:val="Calibri"/>
    <w:panose1 w:val="02000604030000020004"/>
    <w:charset w:val="00"/>
    <w:family w:val="auto"/>
    <w:pitch w:val="variable"/>
    <w:sig w:usb0="80000067" w:usb1="00000000" w:usb2="00000000" w:usb3="00000000" w:csb0="00000111"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1"/>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25786"/>
      <w:docPartObj>
        <w:docPartGallery w:val="Page Numbers (Bottom of Page)"/>
        <w:docPartUnique/>
      </w:docPartObj>
    </w:sdtPr>
    <w:sdtContent>
      <w:p w14:paraId="55201DF0" w14:textId="39DC08F2" w:rsidR="000D1C00" w:rsidRDefault="000D1C00" w:rsidP="009C54F1">
        <w:pPr>
          <w:pStyle w:val="Piedepgina"/>
          <w:ind w:firstLine="0"/>
        </w:pPr>
        <w:r>
          <w:fldChar w:fldCharType="begin"/>
        </w:r>
        <w:r>
          <w:instrText xml:space="preserve"> PAGE   \* MERGEFORMAT </w:instrText>
        </w:r>
        <w:r>
          <w:fldChar w:fldCharType="separate"/>
        </w:r>
        <w:r w:rsidR="00ED3273">
          <w:rPr>
            <w:noProof/>
          </w:rPr>
          <w:t>4</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25788"/>
      <w:docPartObj>
        <w:docPartGallery w:val="Page Numbers (Bottom of Page)"/>
        <w:docPartUnique/>
      </w:docPartObj>
    </w:sdtPr>
    <w:sdtContent>
      <w:p w14:paraId="6D71C20B" w14:textId="77777777" w:rsidR="000D1C00" w:rsidRDefault="000D1C00">
        <w:pPr>
          <w:pStyle w:val="Piedepgina"/>
          <w:jc w:val="right"/>
        </w:pPr>
        <w:r>
          <w:fldChar w:fldCharType="begin"/>
        </w:r>
        <w:r>
          <w:instrText xml:space="preserve"> PAGE   \* MERGEFORMAT </w:instrText>
        </w:r>
        <w:r>
          <w:fldChar w:fldCharType="separate"/>
        </w:r>
        <w:r w:rsidR="00ED3273">
          <w:rPr>
            <w:noProof/>
          </w:rPr>
          <w:t>3</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74392D" w14:textId="77777777" w:rsidR="00124D96" w:rsidRDefault="00124D96" w:rsidP="00895F20">
      <w:pPr>
        <w:ind w:firstLine="0"/>
      </w:pPr>
      <w:r>
        <w:separator/>
      </w:r>
    </w:p>
  </w:footnote>
  <w:footnote w:type="continuationSeparator" w:id="0">
    <w:p w14:paraId="4A6E383B" w14:textId="77777777" w:rsidR="00124D96" w:rsidRDefault="00124D96" w:rsidP="00895F20">
      <w:pPr>
        <w:ind w:firstLine="0"/>
      </w:pPr>
      <w:r>
        <w:continuationSeparator/>
      </w:r>
    </w:p>
  </w:footnote>
  <w:footnote w:id="1">
    <w:p w14:paraId="63B15674" w14:textId="3DC13C73" w:rsidR="000D1C00" w:rsidRPr="00D014AB" w:rsidRDefault="000D1C00">
      <w:pPr>
        <w:pStyle w:val="Textonotapie"/>
      </w:pPr>
      <w:r w:rsidRPr="00D014AB">
        <w:rPr>
          <w:rStyle w:val="Refdenotaalpie"/>
        </w:rPr>
        <w:footnoteRef/>
      </w:r>
      <w:r w:rsidRPr="00D014AB">
        <w:t xml:space="preserve"> </w:t>
      </w:r>
      <w:r>
        <w:t xml:space="preserve">Título profesional y grado académico no se colocan en el nombre y dirección del autor. </w:t>
      </w:r>
      <w:r w:rsidRPr="00302DE4">
        <w:rPr>
          <w:u w:val="single"/>
        </w:rPr>
        <w:t>Opci</w:t>
      </w:r>
      <w:r>
        <w:rPr>
          <w:u w:val="single"/>
        </w:rPr>
        <w:t>o</w:t>
      </w:r>
      <w:r w:rsidRPr="00302DE4">
        <w:rPr>
          <w:u w:val="single"/>
        </w:rPr>
        <w:t>nalmente</w:t>
      </w:r>
      <w:r>
        <w:t xml:space="preserve"> si desea agregar este tipo de información, se podría poner como nota al pie de página.</w:t>
      </w:r>
    </w:p>
  </w:footnote>
  <w:footnote w:id="2">
    <w:p w14:paraId="48E2089E" w14:textId="3AE71C72" w:rsidR="00EB4F62" w:rsidRPr="00EB4F62" w:rsidRDefault="00EB4F62">
      <w:pPr>
        <w:pStyle w:val="Textonotapie"/>
        <w:rPr>
          <w:lang w:val="es-ES"/>
        </w:rPr>
      </w:pPr>
      <w:r>
        <w:rPr>
          <w:rStyle w:val="Refdenotaalpie"/>
        </w:rPr>
        <w:footnoteRef/>
      </w:r>
      <w:r>
        <w:t xml:space="preserve"> </w:t>
      </w:r>
      <w:r w:rsidRPr="00EB4F62">
        <w:t>https://www.springer.com/gp/computer-science/lncs/conference-proceedings-guidelines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w:tbl>
    <w:tblPr>
      <w:tblW w:type="dxa" w:w="8838"/>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000" w:firstRow="0" w:lastRow="0" w:firstColumn="0" w:lastColumn="0" w:noHBand="0" w:noVBand="0"/>
    </w:tblPr>
    <w:tblGrid>
      <w:gridCol w:w="2736"/>
      <w:gridCol w:w="4374"/>
      <w:gridCol w:w="1728"/>
    </w:tblGrid>
    <w:tr>
      <w:trPr>
        <w:cantSplit/>
      </w:trPr>
      <w:tc>
        <w:tcPr>
          <w:tcW w:type="dxa" w:w="2736"/>
          <w:vAlign w:val="center"/>
        </w:tcPr>
        <w:p>
          <w:pPr>
            <w:pStyle w:val="Encabezado"/>
            <w:spacing w:before="0" w:after="0" w:line="240" w:lineRule="auto"/>
            <w:jc w:val="left"/>
          </w:pPr>
          <w:r>
            <w:drawing>
              <wp:inline distT="0" distB="0" distL="0" distR="0">
                <wp:extent cx="1737360" cy="432816"/>
                <wp:effectExtent l="0" t="0" r="0" b="0"/>
                <wp:docPr id="101" name="UTFSM"/>
                <wp:cNvGraphicFramePr>
                  <a:graphicFrameLocks noChangeAspect="1"/>
                </wp:cNvGraphicFramePr>
                <a:graphic>
                  <a:graphicData uri="http://schemas.openxmlformats.org/drawingml/2006/picture">
                    <pic:pic>
                      <pic:nvPicPr>
                        <pic:cNvPr id="101" name="UTFSM"/>
                        <pic:cNvPicPr/>
                      </pic:nvPicPr>
                      <pic:blipFill>
                        <a:blip r:embed="rId2"/>
                        <a:stretch>
                          <a:fillRect/>
                        </a:stretch>
                      </pic:blipFill>
                      <pic:spPr>
                        <a:xfrm>
                          <a:off x="0" y="0"/>
                          <a:ext cx="1737360" cy="432816"/>
                        </a:xfrm>
                        <a:prstGeom prst="rect">
                          <a:avLst/>
                        </a:prstGeom>
                      </pic:spPr>
                    </pic:pic>
                  </a:graphicData>
                </a:graphic>
              </wp:inline>
            </w:drawing>
          </w:r>
        </w:p>
      </w:tc>
      <w:tc>
        <w:tcPr>
          <w:tcW w:type="dxa" w:w="4374"/>
          <w:vAlign w:val="center"/>
        </w:tcPr>
        <w:p>
          <w:pPr>
            <w:pStyle w:val="Encabezado"/>
            <w:spacing w:before="0" w:after="0" w:line="180" w:lineRule="exact"/>
            <w:jc w:val="center"/>
            <w:rPr>
              <w:sz w:val="15"/>
              <w:szCs w:val="15"/>
            </w:rPr>
          </w:pPr>
          <w:r>
            <w:rPr>
              <w:sz w:val="15"/>
              <w:szCs w:val="15"/>
            </w:rPr>
            <w:t xml:space="preserve">Universidad Técnica Federico Santa María</w:t>
          </w:r>
        </w:p>
        <w:p>
          <w:pPr>
            <w:pStyle w:val="Encabezado"/>
            <w:spacing w:before="0" w:after="0" w:line="180" w:lineRule="exact"/>
            <w:jc w:val="center"/>
            <w:rPr>
              <w:sz w:val="15"/>
              <w:szCs w:val="15"/>
            </w:rPr>
          </w:pPr>
          <w:r>
            <w:rPr>
              <w:sz w:val="15"/>
              <w:szCs w:val="15"/>
            </w:rPr>
            <w:t xml:space="preserve">Departamento de Informática</w:t>
          </w:r>
        </w:p>
        <w:p>
          <w:pPr>
            <w:pStyle w:val="Encabezado"/>
            <w:spacing w:before="0" w:after="0" w:line="180" w:lineRule="exact"/>
            <w:jc w:val="center"/>
            <w:rPr>
              <w:sz w:val="15"/>
              <w:szCs w:val="15"/>
            </w:rPr>
          </w:pPr>
          <w:r>
            <w:rPr>
              <w:sz w:val="15"/>
              <w:szCs w:val="15"/>
            </w:rPr>
            <w:t xml:space="preserve">Programa de Magíster en Tecnologías de la Información</w:t>
          </w:r>
        </w:p>
      </w:tc>
      <w:tc>
        <w:tcPr>
          <w:tcW w:type="dxa" w:w="1728"/>
          <w:vAlign w:val="center"/>
        </w:tcPr>
        <w:p>
          <w:pPr>
            <w:pStyle w:val="Encabezado"/>
            <w:spacing w:before="0" w:after="0" w:line="240" w:lineRule="auto"/>
            <w:jc w:val="right"/>
          </w:pPr>
          <w:r>
            <w:drawing>
              <wp:inline distT="0" distB="0" distL="0" distR="0">
                <wp:extent cx="1188720" cy="264795"/>
                <wp:effectExtent l="0" t="0" r="0" b="0"/>
                <wp:docPr id="102" name="MTI"/>
                <wp:cNvGraphicFramePr>
                  <a:graphicFrameLocks noChangeAspect="1"/>
                </wp:cNvGraphicFramePr>
                <a:graphic>
                  <a:graphicData uri="http://schemas.openxmlformats.org/drawingml/2006/picture">
                    <pic:pic>
                      <pic:nvPicPr>
                        <pic:cNvPr id="102" name="MTI"/>
                        <pic:cNvPicPr/>
                      </pic:nvPicPr>
                      <pic:blipFill>
                        <a:blip r:embed="rId1"/>
                        <a:stretch>
                          <a:fillRect/>
                        </a:stretch>
                      </pic:blipFill>
                      <pic:spPr>
                        <a:xfrm>
                          <a:off x="0" y="0"/>
                          <a:ext cx="1188720" cy="264795"/>
                        </a:xfrm>
                        <a:prstGeom prst="rect">
                          <a:avLst/>
                        </a:prstGeom>
                      </pic:spPr>
                    </pic:pic>
                  </a:graphicData>
                </a:graphic>
              </wp:inline>
            </w:drawing>
          </w:r>
        </w:p>
      </w:tc>
    </w:tr>
  </w:tbl>
  <w:p>
    <w:pPr>
      <w:pStyle w:val="Encabezado"/>
      <w:spacing w:before="0" w:after="0" w:line="60" w:lineRule="exact"/>
      <w:rPr>
        <w:sz w:val="4"/>
        <w:szCs w:val="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w:tbl>
    <w:tblPr>
      <w:tblW w:type="dxa" w:w="8838"/>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000" w:firstRow="0" w:lastRow="0" w:firstColumn="0" w:lastColumn="0" w:noHBand="0" w:noVBand="0"/>
    </w:tblPr>
    <w:tblGrid>
      <w:gridCol w:w="2736"/>
      <w:gridCol w:w="4374"/>
      <w:gridCol w:w="1728"/>
    </w:tblGrid>
    <w:tr>
      <w:trPr>
        <w:cantSplit/>
      </w:trPr>
      <w:tc>
        <w:tcPr>
          <w:tcW w:type="dxa" w:w="2736"/>
          <w:vAlign w:val="center"/>
        </w:tcPr>
        <w:p>
          <w:pPr>
            <w:pStyle w:val="Encabezado"/>
            <w:spacing w:before="0" w:after="0" w:line="240" w:lineRule="auto"/>
            <w:jc w:val="left"/>
          </w:pPr>
          <w:r>
            <w:drawing>
              <wp:inline distT="0" distB="0" distL="0" distR="0">
                <wp:extent cx="1737360" cy="432816"/>
                <wp:effectExtent l="0" t="0" r="0" b="0"/>
                <wp:docPr id="101" name="UTFSM"/>
                <wp:cNvGraphicFramePr>
                  <a:graphicFrameLocks noChangeAspect="1"/>
                </wp:cNvGraphicFramePr>
                <a:graphic>
                  <a:graphicData uri="http://schemas.openxmlformats.org/drawingml/2006/picture">
                    <pic:pic>
                      <pic:nvPicPr>
                        <pic:cNvPr id="101" name="UTFSM"/>
                        <pic:cNvPicPr/>
                      </pic:nvPicPr>
                      <pic:blipFill>
                        <a:blip r:embed="rId2"/>
                        <a:stretch>
                          <a:fillRect/>
                        </a:stretch>
                      </pic:blipFill>
                      <pic:spPr>
                        <a:xfrm>
                          <a:off x="0" y="0"/>
                          <a:ext cx="1737360" cy="432816"/>
                        </a:xfrm>
                        <a:prstGeom prst="rect">
                          <a:avLst/>
                        </a:prstGeom>
                      </pic:spPr>
                    </pic:pic>
                  </a:graphicData>
                </a:graphic>
              </wp:inline>
            </w:drawing>
          </w:r>
        </w:p>
      </w:tc>
      <w:tc>
        <w:tcPr>
          <w:tcW w:type="dxa" w:w="4374"/>
          <w:vAlign w:val="center"/>
        </w:tcPr>
        <w:p>
          <w:pPr>
            <w:pStyle w:val="Encabezado"/>
            <w:spacing w:before="0" w:after="0" w:line="180" w:lineRule="exact"/>
            <w:jc w:val="center"/>
            <w:rPr>
              <w:sz w:val="15"/>
              <w:szCs w:val="15"/>
            </w:rPr>
          </w:pPr>
          <w:r>
            <w:rPr>
              <w:sz w:val="15"/>
              <w:szCs w:val="15"/>
            </w:rPr>
            <w:t xml:space="preserve">Universidad Técnica Federico Santa María</w:t>
          </w:r>
        </w:p>
        <w:p>
          <w:pPr>
            <w:pStyle w:val="Encabezado"/>
            <w:spacing w:before="0" w:after="0" w:line="180" w:lineRule="exact"/>
            <w:jc w:val="center"/>
            <w:rPr>
              <w:sz w:val="15"/>
              <w:szCs w:val="15"/>
            </w:rPr>
          </w:pPr>
          <w:r>
            <w:rPr>
              <w:sz w:val="15"/>
              <w:szCs w:val="15"/>
            </w:rPr>
            <w:t xml:space="preserve">Departamento de Informática</w:t>
          </w:r>
        </w:p>
        <w:p>
          <w:pPr>
            <w:pStyle w:val="Encabezado"/>
            <w:spacing w:before="0" w:after="0" w:line="180" w:lineRule="exact"/>
            <w:jc w:val="center"/>
            <w:rPr>
              <w:sz w:val="15"/>
              <w:szCs w:val="15"/>
            </w:rPr>
          </w:pPr>
          <w:r>
            <w:rPr>
              <w:sz w:val="15"/>
              <w:szCs w:val="15"/>
            </w:rPr>
            <w:t xml:space="preserve">Programa de Magíster en Tecnologías de la Información</w:t>
          </w:r>
        </w:p>
      </w:tc>
      <w:tc>
        <w:tcPr>
          <w:tcW w:type="dxa" w:w="1728"/>
          <w:vAlign w:val="center"/>
        </w:tcPr>
        <w:p>
          <w:pPr>
            <w:pStyle w:val="Encabezado"/>
            <w:spacing w:before="0" w:after="0" w:line="240" w:lineRule="auto"/>
            <w:jc w:val="right"/>
          </w:pPr>
          <w:r>
            <w:drawing>
              <wp:inline distT="0" distB="0" distL="0" distR="0">
                <wp:extent cx="1188720" cy="264795"/>
                <wp:effectExtent l="0" t="0" r="0" b="0"/>
                <wp:docPr id="102" name="MTI"/>
                <wp:cNvGraphicFramePr>
                  <a:graphicFrameLocks noChangeAspect="1"/>
                </wp:cNvGraphicFramePr>
                <a:graphic>
                  <a:graphicData uri="http://schemas.openxmlformats.org/drawingml/2006/picture">
                    <pic:pic>
                      <pic:nvPicPr>
                        <pic:cNvPr id="102" name="MTI"/>
                        <pic:cNvPicPr/>
                      </pic:nvPicPr>
                      <pic:blipFill>
                        <a:blip r:embed="rId1"/>
                        <a:stretch>
                          <a:fillRect/>
                        </a:stretch>
                      </pic:blipFill>
                      <pic:spPr>
                        <a:xfrm>
                          <a:off x="0" y="0"/>
                          <a:ext cx="1188720" cy="264795"/>
                        </a:xfrm>
                        <a:prstGeom prst="rect">
                          <a:avLst/>
                        </a:prstGeom>
                      </pic:spPr>
                    </pic:pic>
                  </a:graphicData>
                </a:graphic>
              </wp:inline>
            </w:drawing>
          </w:r>
        </w:p>
      </w:tc>
    </w:tr>
  </w:tbl>
  <w:p>
    <w:pPr>
      <w:pStyle w:val="Encabezado"/>
      <w:spacing w:before="0" w:after="0" w:line="60" w:lineRule="exact"/>
      <w:rPr>
        <w:sz w:val="4"/>
        <w:szCs w:val="4"/>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w:tbl>
    <w:tblPr>
      <w:tblW w:type="dxa" w:w="8838"/>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000" w:firstRow="0" w:lastRow="0" w:firstColumn="0" w:lastColumn="0" w:noHBand="0" w:noVBand="0"/>
    </w:tblPr>
    <w:tblGrid>
      <w:gridCol w:w="2736"/>
      <w:gridCol w:w="4374"/>
      <w:gridCol w:w="1728"/>
    </w:tblGrid>
    <w:tr>
      <w:trPr>
        <w:cantSplit/>
      </w:trPr>
      <w:tc>
        <w:tcPr>
          <w:tcW w:type="dxa" w:w="2736"/>
          <w:vAlign w:val="center"/>
        </w:tcPr>
        <w:p>
          <w:pPr>
            <w:pStyle w:val="Encabezado"/>
            <w:spacing w:before="0" w:after="0" w:line="240" w:lineRule="auto"/>
            <w:jc w:val="left"/>
          </w:pPr>
          <w:r>
            <w:drawing>
              <wp:inline distT="0" distB="0" distL="0" distR="0">
                <wp:extent cx="1737360" cy="432816"/>
                <wp:effectExtent l="0" t="0" r="0" b="0"/>
                <wp:docPr id="101" name="UTFSM"/>
                <wp:cNvGraphicFramePr>
                  <a:graphicFrameLocks noChangeAspect="1"/>
                </wp:cNvGraphicFramePr>
                <a:graphic>
                  <a:graphicData uri="http://schemas.openxmlformats.org/drawingml/2006/picture">
                    <pic:pic>
                      <pic:nvPicPr>
                        <pic:cNvPr id="101" name="UTFSM"/>
                        <pic:cNvPicPr/>
                      </pic:nvPicPr>
                      <pic:blipFill>
                        <a:blip r:embed="rId2"/>
                        <a:stretch>
                          <a:fillRect/>
                        </a:stretch>
                      </pic:blipFill>
                      <pic:spPr>
                        <a:xfrm>
                          <a:off x="0" y="0"/>
                          <a:ext cx="1737360" cy="432816"/>
                        </a:xfrm>
                        <a:prstGeom prst="rect">
                          <a:avLst/>
                        </a:prstGeom>
                      </pic:spPr>
                    </pic:pic>
                  </a:graphicData>
                </a:graphic>
              </wp:inline>
            </w:drawing>
          </w:r>
        </w:p>
      </w:tc>
      <w:tc>
        <w:tcPr>
          <w:tcW w:type="dxa" w:w="4374"/>
          <w:vAlign w:val="center"/>
        </w:tcPr>
        <w:p>
          <w:pPr>
            <w:pStyle w:val="Encabezado"/>
            <w:spacing w:before="0" w:after="0" w:line="180" w:lineRule="exact"/>
            <w:jc w:val="center"/>
            <w:rPr>
              <w:sz w:val="15"/>
              <w:szCs w:val="15"/>
            </w:rPr>
          </w:pPr>
          <w:r>
            <w:rPr>
              <w:sz w:val="15"/>
              <w:szCs w:val="15"/>
            </w:rPr>
            <w:t xml:space="preserve">Universidad Técnica Federico Santa María</w:t>
          </w:r>
        </w:p>
        <w:p>
          <w:pPr>
            <w:pStyle w:val="Encabezado"/>
            <w:spacing w:before="0" w:after="0" w:line="180" w:lineRule="exact"/>
            <w:jc w:val="center"/>
            <w:rPr>
              <w:sz w:val="15"/>
              <w:szCs w:val="15"/>
            </w:rPr>
          </w:pPr>
          <w:r>
            <w:rPr>
              <w:sz w:val="15"/>
              <w:szCs w:val="15"/>
            </w:rPr>
            <w:t xml:space="preserve">Departamento de Informática</w:t>
          </w:r>
        </w:p>
        <w:p>
          <w:pPr>
            <w:pStyle w:val="Encabezado"/>
            <w:spacing w:before="0" w:after="0" w:line="180" w:lineRule="exact"/>
            <w:jc w:val="center"/>
            <w:rPr>
              <w:sz w:val="15"/>
              <w:szCs w:val="15"/>
            </w:rPr>
          </w:pPr>
          <w:r>
            <w:rPr>
              <w:sz w:val="15"/>
              <w:szCs w:val="15"/>
            </w:rPr>
            <w:t xml:space="preserve">Programa de Magíster en Tecnologías de la Información</w:t>
          </w:r>
        </w:p>
      </w:tc>
      <w:tc>
        <w:tcPr>
          <w:tcW w:type="dxa" w:w="1728"/>
          <w:vAlign w:val="center"/>
        </w:tcPr>
        <w:p>
          <w:pPr>
            <w:pStyle w:val="Encabezado"/>
            <w:spacing w:before="0" w:after="0" w:line="240" w:lineRule="auto"/>
            <w:jc w:val="right"/>
          </w:pPr>
          <w:r>
            <w:drawing>
              <wp:inline distT="0" distB="0" distL="0" distR="0">
                <wp:extent cx="1188720" cy="264795"/>
                <wp:effectExtent l="0" t="0" r="0" b="0"/>
                <wp:docPr id="102" name="MTI"/>
                <wp:cNvGraphicFramePr>
                  <a:graphicFrameLocks noChangeAspect="1"/>
                </wp:cNvGraphicFramePr>
                <a:graphic>
                  <a:graphicData uri="http://schemas.openxmlformats.org/drawingml/2006/picture">
                    <pic:pic>
                      <pic:nvPicPr>
                        <pic:cNvPr id="102" name="MTI"/>
                        <pic:cNvPicPr/>
                      </pic:nvPicPr>
                      <pic:blipFill>
                        <a:blip r:embed="rId1"/>
                        <a:stretch>
                          <a:fillRect/>
                        </a:stretch>
                      </pic:blipFill>
                      <pic:spPr>
                        <a:xfrm>
                          <a:off x="0" y="0"/>
                          <a:ext cx="1188720" cy="264795"/>
                        </a:xfrm>
                        <a:prstGeom prst="rect">
                          <a:avLst/>
                        </a:prstGeom>
                      </pic:spPr>
                    </pic:pic>
                  </a:graphicData>
                </a:graphic>
              </wp:inline>
            </w:drawing>
          </w:r>
        </w:p>
      </w:tc>
    </w:tr>
  </w:tbl>
  <w:p>
    <w:pPr>
      <w:pStyle w:val="Encabezado"/>
      <w:spacing w:before="0" w:after="0" w:line="60" w:lineRule="exact"/>
      <w:rPr>
        <w:sz w:val="4"/>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4AAC3A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9CEBF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DE4FC2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99EE65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4AA93E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31E8D1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94216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27C1FB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5F0AEA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D2EC46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0FA23158"/>
    <w:lvl w:ilvl="0">
      <w:numFmt w:val="none"/>
      <w:lvlText w:val=""/>
      <w:lvlJc w:val="left"/>
    </w:lvl>
    <w:lvl w:ilvl="1">
      <w:numFmt w:val="none"/>
      <w:lvlText w:val=""/>
      <w:lvlJc w:val="left"/>
    </w:lvl>
    <w:lvl w:ilvl="2">
      <w:numFmt w:val="none"/>
      <w:lvlText w:val=""/>
      <w:lvlJc w:val="left"/>
    </w:lvl>
    <w:lvl w:ilvl="3">
      <w:numFmt w:val="decimal"/>
      <w:lvlText w:val="%4"/>
      <w:legacy w:legacy="1" w:legacySpace="0" w:legacyIndent="0"/>
      <w:lvlJc w:val="left"/>
      <w:rPr>
        <w:rFonts w:ascii="Tms Rmn" w:hAnsi="Tms Rmn" w:hint="default"/>
      </w:rPr>
    </w:lvl>
    <w:lvl w:ilvl="4">
      <w:numFmt w:val="decimal"/>
      <w:lvlText w:val="%5"/>
      <w:legacy w:legacy="1" w:legacySpace="0" w:legacyIndent="0"/>
      <w:lvlJc w:val="left"/>
      <w:rPr>
        <w:rFonts w:ascii="Tms Rmn" w:hAnsi="Tms Rmn" w:hint="default"/>
      </w:rPr>
    </w:lvl>
    <w:lvl w:ilvl="5">
      <w:numFmt w:val="decimal"/>
      <w:lvlText w:val="%6"/>
      <w:legacy w:legacy="1" w:legacySpace="0" w:legacyIndent="0"/>
      <w:lvlJc w:val="left"/>
      <w:rPr>
        <w:rFonts w:ascii="Tms Rmn" w:hAnsi="Tms Rmn" w:hint="default"/>
      </w:rPr>
    </w:lvl>
    <w:lvl w:ilvl="6">
      <w:numFmt w:val="decimal"/>
      <w:lvlText w:val="%7"/>
      <w:legacy w:legacy="1" w:legacySpace="0" w:legacyIndent="0"/>
      <w:lvlJc w:val="left"/>
      <w:rPr>
        <w:rFonts w:ascii="Tms Rmn" w:hAnsi="Tms Rmn" w:hint="default"/>
      </w:rPr>
    </w:lvl>
    <w:lvl w:ilvl="7">
      <w:numFmt w:val="decimal"/>
      <w:lvlText w:val="%8"/>
      <w:legacy w:legacy="1" w:legacySpace="0" w:legacyIndent="0"/>
      <w:lvlJc w:val="left"/>
      <w:rPr>
        <w:rFonts w:ascii="Tms Rmn" w:hAnsi="Tms Rmn" w:hint="default"/>
      </w:rPr>
    </w:lvl>
    <w:lvl w:ilvl="8">
      <w:numFmt w:val="decimal"/>
      <w:lvlText w:val="%9"/>
      <w:legacy w:legacy="1" w:legacySpace="0" w:legacyIndent="0"/>
      <w:lvlJc w:val="left"/>
      <w:rPr>
        <w:rFonts w:ascii="Tms Rmn" w:hAnsi="Tms Rmn" w:hint="default"/>
      </w:rPr>
    </w:lvl>
  </w:abstractNum>
  <w:abstractNum w:abstractNumId="11" w15:restartNumberingAfterBreak="0">
    <w:nsid w:val="FFFFFFFE"/>
    <w:multiLevelType w:val="singleLevel"/>
    <w:tmpl w:val="4F3865D4"/>
    <w:lvl w:ilvl="0">
      <w:numFmt w:val="decimal"/>
      <w:lvlText w:val="*"/>
      <w:lvlJc w:val="left"/>
    </w:lvl>
  </w:abstractNum>
  <w:abstractNum w:abstractNumId="12" w15:restartNumberingAfterBreak="0">
    <w:nsid w:val="02D55B6C"/>
    <w:multiLevelType w:val="singleLevel"/>
    <w:tmpl w:val="81EC9844"/>
    <w:lvl w:ilvl="0">
      <w:start w:val="1"/>
      <w:numFmt w:val="decimal"/>
      <w:lvlText w:val="%1."/>
      <w:legacy w:legacy="1" w:legacySpace="0" w:legacyIndent="227"/>
      <w:lvlJc w:val="left"/>
      <w:pPr>
        <w:ind w:left="227" w:hanging="227"/>
      </w:pPr>
    </w:lvl>
  </w:abstractNum>
  <w:abstractNum w:abstractNumId="13" w15:restartNumberingAfterBreak="0">
    <w:nsid w:val="053E4D3F"/>
    <w:multiLevelType w:val="singleLevel"/>
    <w:tmpl w:val="81EC9844"/>
    <w:lvl w:ilvl="0">
      <w:start w:val="1"/>
      <w:numFmt w:val="decimal"/>
      <w:lvlText w:val="%1."/>
      <w:legacy w:legacy="1" w:legacySpace="0" w:legacyIndent="227"/>
      <w:lvlJc w:val="left"/>
      <w:pPr>
        <w:ind w:left="227" w:hanging="227"/>
      </w:pPr>
    </w:lvl>
  </w:abstractNum>
  <w:abstractNum w:abstractNumId="14" w15:restartNumberingAfterBreak="0">
    <w:nsid w:val="05D43929"/>
    <w:multiLevelType w:val="hybridMultilevel"/>
    <w:tmpl w:val="E32E169C"/>
    <w:lvl w:ilvl="0" w:tplc="69C65DD4">
      <w:start w:val="1"/>
      <w:numFmt w:val="bullet"/>
      <w:pStyle w:val="dashitem"/>
      <w:lvlText w:val="─"/>
      <w:lvlJc w:val="left"/>
      <w:pPr>
        <w:tabs>
          <w:tab w:val="num" w:pos="454"/>
        </w:tabs>
        <w:ind w:left="454" w:hanging="227"/>
      </w:pPr>
      <w:rPr>
        <w:rFonts w:ascii="Times New Roman" w:hAnsi="Times New Roman" w:cs="Times New Roman"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C7C2E30"/>
    <w:multiLevelType w:val="hybridMultilevel"/>
    <w:tmpl w:val="5D5E74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10E55254"/>
    <w:multiLevelType w:val="multilevel"/>
    <w:tmpl w:val="32DA4DBC"/>
    <w:lvl w:ilvl="0">
      <w:start w:val="1"/>
      <w:numFmt w:val="bullet"/>
      <w:lvlText w:val=""/>
      <w:lvlJc w:val="left"/>
      <w:pPr>
        <w:tabs>
          <w:tab w:val="num" w:pos="510"/>
        </w:tabs>
        <w:ind w:left="510" w:hanging="283"/>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1052F1B"/>
    <w:multiLevelType w:val="singleLevel"/>
    <w:tmpl w:val="81EC9844"/>
    <w:lvl w:ilvl="0">
      <w:start w:val="1"/>
      <w:numFmt w:val="decimal"/>
      <w:lvlText w:val="%1."/>
      <w:legacy w:legacy="1" w:legacySpace="0" w:legacyIndent="227"/>
      <w:lvlJc w:val="left"/>
      <w:pPr>
        <w:ind w:left="227" w:hanging="227"/>
      </w:pPr>
    </w:lvl>
  </w:abstractNum>
  <w:abstractNum w:abstractNumId="18" w15:restartNumberingAfterBreak="0">
    <w:nsid w:val="15917E03"/>
    <w:multiLevelType w:val="multilevel"/>
    <w:tmpl w:val="6EE0EBAA"/>
    <w:lvl w:ilvl="0">
      <w:start w:val="1"/>
      <w:numFmt w:val="decimal"/>
      <w:lvlText w:val="%1"/>
      <w:lvlJc w:val="left"/>
      <w:pPr>
        <w:tabs>
          <w:tab w:val="num" w:pos="454"/>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15:restartNumberingAfterBreak="0">
    <w:nsid w:val="1751252D"/>
    <w:multiLevelType w:val="hybridMultilevel"/>
    <w:tmpl w:val="B02E4590"/>
    <w:lvl w:ilvl="0" w:tplc="E0943A4E">
      <w:start w:val="1"/>
      <w:numFmt w:val="decimal"/>
      <w:pStyle w:val="numbereditem"/>
      <w:lvlText w:val="%1."/>
      <w:lvlJc w:val="left"/>
      <w:pPr>
        <w:tabs>
          <w:tab w:val="num" w:pos="227"/>
        </w:tabs>
        <w:ind w:left="227" w:hanging="227"/>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0" w15:restartNumberingAfterBreak="0">
    <w:nsid w:val="19881F8B"/>
    <w:multiLevelType w:val="hybridMultilevel"/>
    <w:tmpl w:val="1CD67CEE"/>
    <w:lvl w:ilvl="0" w:tplc="79844764">
      <w:start w:val="1"/>
      <w:numFmt w:val="decimal"/>
      <w:lvlText w:val="[%1]"/>
      <w:lvlJc w:val="left"/>
      <w:pPr>
        <w:tabs>
          <w:tab w:val="num" w:pos="454"/>
        </w:tabs>
        <w:ind w:left="454" w:hanging="454"/>
      </w:pPr>
      <w:rPr>
        <w:rFonts w:hint="default"/>
        <w:b w:val="0"/>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1" w15:restartNumberingAfterBreak="0">
    <w:nsid w:val="1A590811"/>
    <w:multiLevelType w:val="multilevel"/>
    <w:tmpl w:val="514647BC"/>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 w15:restartNumberingAfterBreak="0">
    <w:nsid w:val="1C0D4426"/>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1DAF76D9"/>
    <w:multiLevelType w:val="singleLevel"/>
    <w:tmpl w:val="81EC9844"/>
    <w:lvl w:ilvl="0">
      <w:start w:val="1"/>
      <w:numFmt w:val="decimal"/>
      <w:lvlText w:val="%1."/>
      <w:legacy w:legacy="1" w:legacySpace="0" w:legacyIndent="227"/>
      <w:lvlJc w:val="left"/>
      <w:pPr>
        <w:ind w:left="227" w:hanging="227"/>
      </w:pPr>
    </w:lvl>
  </w:abstractNum>
  <w:abstractNum w:abstractNumId="24" w15:restartNumberingAfterBreak="0">
    <w:nsid w:val="2B2603BC"/>
    <w:multiLevelType w:val="hybridMultilevel"/>
    <w:tmpl w:val="F120FB80"/>
    <w:lvl w:ilvl="0" w:tplc="1BD62FAA">
      <w:start w:val="1"/>
      <w:numFmt w:val="bullet"/>
      <w:lvlText w:val=""/>
      <w:lvlJc w:val="left"/>
      <w:pPr>
        <w:tabs>
          <w:tab w:val="num" w:pos="814"/>
        </w:tabs>
        <w:ind w:left="737" w:hanging="283"/>
      </w:pPr>
      <w:rPr>
        <w:rFonts w:ascii="Symbol" w:hAnsi="Symbol" w:hint="default"/>
      </w:rPr>
    </w:lvl>
    <w:lvl w:ilvl="1" w:tplc="7E68C14E">
      <w:start w:val="1"/>
      <w:numFmt w:val="bullet"/>
      <w:lvlText w:val=""/>
      <w:lvlJc w:val="left"/>
      <w:pPr>
        <w:tabs>
          <w:tab w:val="num" w:pos="1440"/>
        </w:tabs>
        <w:ind w:left="1364" w:hanging="284"/>
      </w:pPr>
      <w:rPr>
        <w:rFonts w:ascii="Symbol" w:hAnsi="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2D025C32"/>
    <w:multiLevelType w:val="hybridMultilevel"/>
    <w:tmpl w:val="D6DE813A"/>
    <w:lvl w:ilvl="0" w:tplc="5AA87014">
      <w:start w:val="1"/>
      <w:numFmt w:val="bullet"/>
      <w:lvlText w:val=""/>
      <w:lvlJc w:val="left"/>
      <w:pPr>
        <w:tabs>
          <w:tab w:val="num" w:pos="927"/>
        </w:tabs>
        <w:ind w:left="284" w:firstLine="283"/>
      </w:pPr>
      <w:rPr>
        <w:rFonts w:ascii="Symbol" w:hAnsi="Symbol" w:hint="default"/>
      </w:rPr>
    </w:lvl>
    <w:lvl w:ilvl="1" w:tplc="04070003" w:tentative="1">
      <w:start w:val="1"/>
      <w:numFmt w:val="bullet"/>
      <w:lvlText w:val="o"/>
      <w:lvlJc w:val="left"/>
      <w:pPr>
        <w:tabs>
          <w:tab w:val="num" w:pos="873"/>
        </w:tabs>
        <w:ind w:left="873" w:hanging="360"/>
      </w:pPr>
      <w:rPr>
        <w:rFonts w:ascii="Courier New" w:hAnsi="Courier New" w:hint="default"/>
      </w:rPr>
    </w:lvl>
    <w:lvl w:ilvl="2" w:tplc="04070005" w:tentative="1">
      <w:start w:val="1"/>
      <w:numFmt w:val="bullet"/>
      <w:lvlText w:val=""/>
      <w:lvlJc w:val="left"/>
      <w:pPr>
        <w:tabs>
          <w:tab w:val="num" w:pos="1593"/>
        </w:tabs>
        <w:ind w:left="1593" w:hanging="360"/>
      </w:pPr>
      <w:rPr>
        <w:rFonts w:ascii="Wingdings" w:hAnsi="Wingdings" w:hint="default"/>
      </w:rPr>
    </w:lvl>
    <w:lvl w:ilvl="3" w:tplc="04070001" w:tentative="1">
      <w:start w:val="1"/>
      <w:numFmt w:val="bullet"/>
      <w:lvlText w:val=""/>
      <w:lvlJc w:val="left"/>
      <w:pPr>
        <w:tabs>
          <w:tab w:val="num" w:pos="2313"/>
        </w:tabs>
        <w:ind w:left="2313" w:hanging="360"/>
      </w:pPr>
      <w:rPr>
        <w:rFonts w:ascii="Symbol" w:hAnsi="Symbol" w:hint="default"/>
      </w:rPr>
    </w:lvl>
    <w:lvl w:ilvl="4" w:tplc="04070003" w:tentative="1">
      <w:start w:val="1"/>
      <w:numFmt w:val="bullet"/>
      <w:lvlText w:val="o"/>
      <w:lvlJc w:val="left"/>
      <w:pPr>
        <w:tabs>
          <w:tab w:val="num" w:pos="3033"/>
        </w:tabs>
        <w:ind w:left="3033" w:hanging="360"/>
      </w:pPr>
      <w:rPr>
        <w:rFonts w:ascii="Courier New" w:hAnsi="Courier New" w:hint="default"/>
      </w:rPr>
    </w:lvl>
    <w:lvl w:ilvl="5" w:tplc="04070005" w:tentative="1">
      <w:start w:val="1"/>
      <w:numFmt w:val="bullet"/>
      <w:lvlText w:val=""/>
      <w:lvlJc w:val="left"/>
      <w:pPr>
        <w:tabs>
          <w:tab w:val="num" w:pos="3753"/>
        </w:tabs>
        <w:ind w:left="3753" w:hanging="360"/>
      </w:pPr>
      <w:rPr>
        <w:rFonts w:ascii="Wingdings" w:hAnsi="Wingdings" w:hint="default"/>
      </w:rPr>
    </w:lvl>
    <w:lvl w:ilvl="6" w:tplc="04070001" w:tentative="1">
      <w:start w:val="1"/>
      <w:numFmt w:val="bullet"/>
      <w:lvlText w:val=""/>
      <w:lvlJc w:val="left"/>
      <w:pPr>
        <w:tabs>
          <w:tab w:val="num" w:pos="4473"/>
        </w:tabs>
        <w:ind w:left="4473" w:hanging="360"/>
      </w:pPr>
      <w:rPr>
        <w:rFonts w:ascii="Symbol" w:hAnsi="Symbol" w:hint="default"/>
      </w:rPr>
    </w:lvl>
    <w:lvl w:ilvl="7" w:tplc="04070003" w:tentative="1">
      <w:start w:val="1"/>
      <w:numFmt w:val="bullet"/>
      <w:lvlText w:val="o"/>
      <w:lvlJc w:val="left"/>
      <w:pPr>
        <w:tabs>
          <w:tab w:val="num" w:pos="5193"/>
        </w:tabs>
        <w:ind w:left="5193" w:hanging="360"/>
      </w:pPr>
      <w:rPr>
        <w:rFonts w:ascii="Courier New" w:hAnsi="Courier New" w:hint="default"/>
      </w:rPr>
    </w:lvl>
    <w:lvl w:ilvl="8" w:tplc="04070005" w:tentative="1">
      <w:start w:val="1"/>
      <w:numFmt w:val="bullet"/>
      <w:lvlText w:val=""/>
      <w:lvlJc w:val="left"/>
      <w:pPr>
        <w:tabs>
          <w:tab w:val="num" w:pos="5913"/>
        </w:tabs>
        <w:ind w:left="5913" w:hanging="360"/>
      </w:pPr>
      <w:rPr>
        <w:rFonts w:ascii="Wingdings" w:hAnsi="Wingdings" w:hint="default"/>
      </w:rPr>
    </w:lvl>
  </w:abstractNum>
  <w:abstractNum w:abstractNumId="26" w15:restartNumberingAfterBreak="0">
    <w:nsid w:val="30E9101C"/>
    <w:multiLevelType w:val="multilevel"/>
    <w:tmpl w:val="3E54AE94"/>
    <w:lvl w:ilvl="0">
      <w:start w:val="1"/>
      <w:numFmt w:val="decimal"/>
      <w:lvlText w:val="%1"/>
      <w:lvlJc w:val="left"/>
      <w:pPr>
        <w:tabs>
          <w:tab w:val="num" w:pos="454"/>
        </w:tabs>
        <w:ind w:left="510" w:hanging="510"/>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7" w15:restartNumberingAfterBreak="0">
    <w:nsid w:val="3253626E"/>
    <w:multiLevelType w:val="hybridMultilevel"/>
    <w:tmpl w:val="5BEC08B2"/>
    <w:lvl w:ilvl="0" w:tplc="F872F310">
      <w:start w:val="1"/>
      <w:numFmt w:val="bullet"/>
      <w:pStyle w:val="bulletitem"/>
      <w:lvlText w:val=""/>
      <w:lvlJc w:val="left"/>
      <w:pPr>
        <w:tabs>
          <w:tab w:val="num" w:pos="227"/>
        </w:tabs>
        <w:ind w:left="227" w:hanging="22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1C72B9E"/>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45D77DF3"/>
    <w:multiLevelType w:val="hybridMultilevel"/>
    <w:tmpl w:val="412240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4B42760C"/>
    <w:multiLevelType w:val="multilevel"/>
    <w:tmpl w:val="A17A625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1" w15:restartNumberingAfterBreak="0">
    <w:nsid w:val="4F995541"/>
    <w:multiLevelType w:val="singleLevel"/>
    <w:tmpl w:val="81EC9844"/>
    <w:lvl w:ilvl="0">
      <w:start w:val="1"/>
      <w:numFmt w:val="decimal"/>
      <w:lvlText w:val="%1."/>
      <w:legacy w:legacy="1" w:legacySpace="0" w:legacyIndent="227"/>
      <w:lvlJc w:val="left"/>
      <w:pPr>
        <w:ind w:left="227" w:hanging="227"/>
      </w:pPr>
    </w:lvl>
  </w:abstractNum>
  <w:abstractNum w:abstractNumId="32" w15:restartNumberingAfterBreak="0">
    <w:nsid w:val="514513F3"/>
    <w:multiLevelType w:val="multilevel"/>
    <w:tmpl w:val="6EE0EBAA"/>
    <w:lvl w:ilvl="0">
      <w:start w:val="1"/>
      <w:numFmt w:val="decimal"/>
      <w:pStyle w:val="Ttulo1"/>
      <w:lvlText w:val="%1"/>
      <w:lvlJc w:val="left"/>
      <w:pPr>
        <w:tabs>
          <w:tab w:val="num" w:pos="454"/>
        </w:tabs>
        <w:ind w:left="567" w:hanging="567"/>
      </w:pPr>
      <w:rPr>
        <w:rFonts w:hint="default"/>
      </w:rPr>
    </w:lvl>
    <w:lvl w:ilvl="1">
      <w:start w:val="1"/>
      <w:numFmt w:val="decimal"/>
      <w:pStyle w:val="Ttulo2"/>
      <w:lvlText w:val="%1.%2"/>
      <w:lvlJc w:val="left"/>
      <w:pPr>
        <w:tabs>
          <w:tab w:val="num" w:pos="567"/>
        </w:tabs>
        <w:ind w:left="567" w:hanging="567"/>
      </w:pPr>
      <w:rPr>
        <w:rFonts w:hint="default"/>
      </w:rPr>
    </w:lvl>
    <w:lvl w:ilvl="2">
      <w:start w:val="1"/>
      <w:numFmt w:val="decimal"/>
      <w:pStyle w:val="Ttulo3"/>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33" w15:restartNumberingAfterBreak="0">
    <w:nsid w:val="518B12A0"/>
    <w:multiLevelType w:val="singleLevel"/>
    <w:tmpl w:val="81EC9844"/>
    <w:lvl w:ilvl="0">
      <w:start w:val="1"/>
      <w:numFmt w:val="decimal"/>
      <w:lvlText w:val="%1."/>
      <w:legacy w:legacy="1" w:legacySpace="0" w:legacyIndent="227"/>
      <w:lvlJc w:val="left"/>
      <w:pPr>
        <w:ind w:left="227" w:hanging="227"/>
      </w:pPr>
    </w:lvl>
  </w:abstractNum>
  <w:abstractNum w:abstractNumId="34" w15:restartNumberingAfterBreak="0">
    <w:nsid w:val="53F769B9"/>
    <w:multiLevelType w:val="multilevel"/>
    <w:tmpl w:val="7F3A4E14"/>
    <w:lvl w:ilvl="0">
      <w:start w:val="1"/>
      <w:numFmt w:val="decimal"/>
      <w:lvlText w:val="%1"/>
      <w:lvlJc w:val="left"/>
      <w:pPr>
        <w:tabs>
          <w:tab w:val="num" w:pos="454"/>
        </w:tabs>
        <w:ind w:left="510" w:hanging="510"/>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5" w15:restartNumberingAfterBreak="0">
    <w:nsid w:val="64C35ACD"/>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6F461BA7"/>
    <w:multiLevelType w:val="multilevel"/>
    <w:tmpl w:val="E020E450"/>
    <w:lvl w:ilvl="0">
      <w:start w:val="1"/>
      <w:numFmt w:val="bullet"/>
      <w:lvlText w:val=""/>
      <w:lvlJc w:val="left"/>
      <w:pPr>
        <w:tabs>
          <w:tab w:val="num" w:pos="510"/>
        </w:tabs>
        <w:ind w:left="510" w:hanging="283"/>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FFA0C55"/>
    <w:multiLevelType w:val="hybridMultilevel"/>
    <w:tmpl w:val="709C8CB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744378E6"/>
    <w:multiLevelType w:val="hybridMultilevel"/>
    <w:tmpl w:val="DE04CA64"/>
    <w:lvl w:ilvl="0" w:tplc="D1DA2662">
      <w:start w:val="1"/>
      <w:numFmt w:val="bullet"/>
      <w:lvlText w:val="•"/>
      <w:lvlJc w:val="left"/>
      <w:pPr>
        <w:tabs>
          <w:tab w:val="num" w:pos="720"/>
        </w:tabs>
        <w:ind w:left="720" w:hanging="360"/>
      </w:pPr>
      <w:rPr>
        <w:rFonts w:ascii="Arial" w:hAnsi="Arial" w:hint="default"/>
      </w:rPr>
    </w:lvl>
    <w:lvl w:ilvl="1" w:tplc="F560F336" w:tentative="1">
      <w:start w:val="1"/>
      <w:numFmt w:val="bullet"/>
      <w:lvlText w:val="•"/>
      <w:lvlJc w:val="left"/>
      <w:pPr>
        <w:tabs>
          <w:tab w:val="num" w:pos="1440"/>
        </w:tabs>
        <w:ind w:left="1440" w:hanging="360"/>
      </w:pPr>
      <w:rPr>
        <w:rFonts w:ascii="Arial" w:hAnsi="Arial" w:hint="default"/>
      </w:rPr>
    </w:lvl>
    <w:lvl w:ilvl="2" w:tplc="1270C952" w:tentative="1">
      <w:start w:val="1"/>
      <w:numFmt w:val="bullet"/>
      <w:lvlText w:val="•"/>
      <w:lvlJc w:val="left"/>
      <w:pPr>
        <w:tabs>
          <w:tab w:val="num" w:pos="2160"/>
        </w:tabs>
        <w:ind w:left="2160" w:hanging="360"/>
      </w:pPr>
      <w:rPr>
        <w:rFonts w:ascii="Arial" w:hAnsi="Arial" w:hint="default"/>
      </w:rPr>
    </w:lvl>
    <w:lvl w:ilvl="3" w:tplc="CD5E25FE" w:tentative="1">
      <w:start w:val="1"/>
      <w:numFmt w:val="bullet"/>
      <w:lvlText w:val="•"/>
      <w:lvlJc w:val="left"/>
      <w:pPr>
        <w:tabs>
          <w:tab w:val="num" w:pos="2880"/>
        </w:tabs>
        <w:ind w:left="2880" w:hanging="360"/>
      </w:pPr>
      <w:rPr>
        <w:rFonts w:ascii="Arial" w:hAnsi="Arial" w:hint="default"/>
      </w:rPr>
    </w:lvl>
    <w:lvl w:ilvl="4" w:tplc="0452245E" w:tentative="1">
      <w:start w:val="1"/>
      <w:numFmt w:val="bullet"/>
      <w:lvlText w:val="•"/>
      <w:lvlJc w:val="left"/>
      <w:pPr>
        <w:tabs>
          <w:tab w:val="num" w:pos="3600"/>
        </w:tabs>
        <w:ind w:left="3600" w:hanging="360"/>
      </w:pPr>
      <w:rPr>
        <w:rFonts w:ascii="Arial" w:hAnsi="Arial" w:hint="default"/>
      </w:rPr>
    </w:lvl>
    <w:lvl w:ilvl="5" w:tplc="8BEEC588" w:tentative="1">
      <w:start w:val="1"/>
      <w:numFmt w:val="bullet"/>
      <w:lvlText w:val="•"/>
      <w:lvlJc w:val="left"/>
      <w:pPr>
        <w:tabs>
          <w:tab w:val="num" w:pos="4320"/>
        </w:tabs>
        <w:ind w:left="4320" w:hanging="360"/>
      </w:pPr>
      <w:rPr>
        <w:rFonts w:ascii="Arial" w:hAnsi="Arial" w:hint="default"/>
      </w:rPr>
    </w:lvl>
    <w:lvl w:ilvl="6" w:tplc="9B1E617E" w:tentative="1">
      <w:start w:val="1"/>
      <w:numFmt w:val="bullet"/>
      <w:lvlText w:val="•"/>
      <w:lvlJc w:val="left"/>
      <w:pPr>
        <w:tabs>
          <w:tab w:val="num" w:pos="5040"/>
        </w:tabs>
        <w:ind w:left="5040" w:hanging="360"/>
      </w:pPr>
      <w:rPr>
        <w:rFonts w:ascii="Arial" w:hAnsi="Arial" w:hint="default"/>
      </w:rPr>
    </w:lvl>
    <w:lvl w:ilvl="7" w:tplc="ADBC9B84" w:tentative="1">
      <w:start w:val="1"/>
      <w:numFmt w:val="bullet"/>
      <w:lvlText w:val="•"/>
      <w:lvlJc w:val="left"/>
      <w:pPr>
        <w:tabs>
          <w:tab w:val="num" w:pos="5760"/>
        </w:tabs>
        <w:ind w:left="5760" w:hanging="360"/>
      </w:pPr>
      <w:rPr>
        <w:rFonts w:ascii="Arial" w:hAnsi="Arial" w:hint="default"/>
      </w:rPr>
    </w:lvl>
    <w:lvl w:ilvl="8" w:tplc="850C916E" w:tentative="1">
      <w:start w:val="1"/>
      <w:numFmt w:val="bullet"/>
      <w:lvlText w:val="•"/>
      <w:lvlJc w:val="left"/>
      <w:pPr>
        <w:tabs>
          <w:tab w:val="num" w:pos="6480"/>
        </w:tabs>
        <w:ind w:left="6480" w:hanging="360"/>
      </w:pPr>
      <w:rPr>
        <w:rFonts w:ascii="Arial" w:hAnsi="Arial" w:hint="default"/>
      </w:rPr>
    </w:lvl>
  </w:abstractNum>
  <w:num w:numId="1" w16cid:durableId="1589079088">
    <w:abstractNumId w:val="11"/>
    <w:lvlOverride w:ilvl="0">
      <w:lvl w:ilvl="0">
        <w:start w:val="1"/>
        <w:numFmt w:val="bullet"/>
        <w:lvlText w:val=""/>
        <w:legacy w:legacy="1" w:legacySpace="0" w:legacyIndent="227"/>
        <w:lvlJc w:val="left"/>
        <w:pPr>
          <w:ind w:left="227" w:hanging="227"/>
        </w:pPr>
        <w:rPr>
          <w:rFonts w:ascii="Symbol" w:hAnsi="Symbol" w:hint="default"/>
        </w:rPr>
      </w:lvl>
    </w:lvlOverride>
  </w:num>
  <w:num w:numId="2" w16cid:durableId="1610770344">
    <w:abstractNumId w:val="25"/>
  </w:num>
  <w:num w:numId="3" w16cid:durableId="1422414946">
    <w:abstractNumId w:val="24"/>
  </w:num>
  <w:num w:numId="4" w16cid:durableId="1460107734">
    <w:abstractNumId w:val="20"/>
  </w:num>
  <w:num w:numId="5" w16cid:durableId="1676608286">
    <w:abstractNumId w:val="30"/>
  </w:num>
  <w:num w:numId="6" w16cid:durableId="1955483448">
    <w:abstractNumId w:val="30"/>
  </w:num>
  <w:num w:numId="7" w16cid:durableId="244917176">
    <w:abstractNumId w:val="30"/>
  </w:num>
  <w:num w:numId="8" w16cid:durableId="1936015476">
    <w:abstractNumId w:val="10"/>
  </w:num>
  <w:num w:numId="9" w16cid:durableId="1892691430">
    <w:abstractNumId w:val="10"/>
  </w:num>
  <w:num w:numId="10" w16cid:durableId="309409698">
    <w:abstractNumId w:val="10"/>
  </w:num>
  <w:num w:numId="11" w16cid:durableId="984119172">
    <w:abstractNumId w:val="10"/>
  </w:num>
  <w:num w:numId="12" w16cid:durableId="665867542">
    <w:abstractNumId w:val="10"/>
  </w:num>
  <w:num w:numId="13" w16cid:durableId="1158963998">
    <w:abstractNumId w:val="10"/>
  </w:num>
  <w:num w:numId="14" w16cid:durableId="216278847">
    <w:abstractNumId w:val="11"/>
    <w:lvlOverride w:ilvl="0">
      <w:lvl w:ilvl="0">
        <w:start w:val="1"/>
        <w:numFmt w:val="bullet"/>
        <w:lvlText w:val=""/>
        <w:legacy w:legacy="1" w:legacySpace="0" w:legacyIndent="227"/>
        <w:lvlJc w:val="left"/>
        <w:pPr>
          <w:ind w:left="227" w:hanging="227"/>
        </w:pPr>
        <w:rPr>
          <w:rFonts w:ascii="Arial" w:hAnsi="Arial" w:cs="Arial" w:hint="default"/>
        </w:rPr>
      </w:lvl>
    </w:lvlOverride>
  </w:num>
  <w:num w:numId="15" w16cid:durableId="173762763">
    <w:abstractNumId w:val="9"/>
  </w:num>
  <w:num w:numId="16" w16cid:durableId="676881682">
    <w:abstractNumId w:val="7"/>
  </w:num>
  <w:num w:numId="17" w16cid:durableId="1190991558">
    <w:abstractNumId w:val="6"/>
  </w:num>
  <w:num w:numId="18" w16cid:durableId="195314436">
    <w:abstractNumId w:val="5"/>
  </w:num>
  <w:num w:numId="19" w16cid:durableId="909773615">
    <w:abstractNumId w:val="4"/>
  </w:num>
  <w:num w:numId="20" w16cid:durableId="758217798">
    <w:abstractNumId w:val="8"/>
  </w:num>
  <w:num w:numId="21" w16cid:durableId="2094663600">
    <w:abstractNumId w:val="3"/>
  </w:num>
  <w:num w:numId="22" w16cid:durableId="183524832">
    <w:abstractNumId w:val="2"/>
  </w:num>
  <w:num w:numId="23" w16cid:durableId="1090009488">
    <w:abstractNumId w:val="1"/>
  </w:num>
  <w:num w:numId="24" w16cid:durableId="673141990">
    <w:abstractNumId w:val="0"/>
  </w:num>
  <w:num w:numId="25" w16cid:durableId="1270090057">
    <w:abstractNumId w:val="28"/>
  </w:num>
  <w:num w:numId="26" w16cid:durableId="986477376">
    <w:abstractNumId w:val="11"/>
    <w:lvlOverride w:ilvl="0">
      <w:lvl w:ilvl="0">
        <w:start w:val="1"/>
        <w:numFmt w:val="bullet"/>
        <w:lvlText w:val=""/>
        <w:legacy w:legacy="1" w:legacySpace="0" w:legacyIndent="227"/>
        <w:lvlJc w:val="left"/>
        <w:pPr>
          <w:ind w:left="227" w:hanging="227"/>
        </w:pPr>
        <w:rPr>
          <w:rFonts w:ascii="Arial" w:hAnsi="Arial" w:cs="Arial" w:hint="default"/>
        </w:rPr>
      </w:lvl>
    </w:lvlOverride>
  </w:num>
  <w:num w:numId="27" w16cid:durableId="43332462">
    <w:abstractNumId w:val="14"/>
  </w:num>
  <w:num w:numId="28" w16cid:durableId="1824421035">
    <w:abstractNumId w:val="31"/>
  </w:num>
  <w:num w:numId="29" w16cid:durableId="1137408769">
    <w:abstractNumId w:val="16"/>
  </w:num>
  <w:num w:numId="30" w16cid:durableId="724529789">
    <w:abstractNumId w:val="27"/>
  </w:num>
  <w:num w:numId="31" w16cid:durableId="752434601">
    <w:abstractNumId w:val="36"/>
  </w:num>
  <w:num w:numId="32" w16cid:durableId="917785646">
    <w:abstractNumId w:val="17"/>
  </w:num>
  <w:num w:numId="33" w16cid:durableId="1242523880">
    <w:abstractNumId w:val="13"/>
  </w:num>
  <w:num w:numId="34" w16cid:durableId="256329309">
    <w:abstractNumId w:val="12"/>
  </w:num>
  <w:num w:numId="35" w16cid:durableId="805854051">
    <w:abstractNumId w:val="23"/>
  </w:num>
  <w:num w:numId="36" w16cid:durableId="619189255">
    <w:abstractNumId w:val="33"/>
  </w:num>
  <w:num w:numId="37" w16cid:durableId="697438028">
    <w:abstractNumId w:val="19"/>
  </w:num>
  <w:num w:numId="38" w16cid:durableId="1743066885">
    <w:abstractNumId w:val="32"/>
  </w:num>
  <w:num w:numId="39" w16cid:durableId="376517412">
    <w:abstractNumId w:val="22"/>
  </w:num>
  <w:num w:numId="40" w16cid:durableId="1096943130">
    <w:abstractNumId w:val="35"/>
  </w:num>
  <w:num w:numId="41" w16cid:durableId="805706334">
    <w:abstractNumId w:val="21"/>
  </w:num>
  <w:num w:numId="42" w16cid:durableId="503515442">
    <w:abstractNumId w:val="26"/>
  </w:num>
  <w:num w:numId="43" w16cid:durableId="1797210382">
    <w:abstractNumId w:val="34"/>
  </w:num>
  <w:num w:numId="44" w16cid:durableId="1147866492">
    <w:abstractNumId w:val="18"/>
  </w:num>
  <w:num w:numId="45" w16cid:durableId="1449008553">
    <w:abstractNumId w:val="15"/>
  </w:num>
  <w:num w:numId="46" w16cid:durableId="231427768">
    <w:abstractNumId w:val="27"/>
  </w:num>
  <w:num w:numId="47" w16cid:durableId="530730062">
    <w:abstractNumId w:val="38"/>
  </w:num>
  <w:num w:numId="48" w16cid:durableId="802307557">
    <w:abstractNumId w:val="29"/>
  </w:num>
  <w:num w:numId="49" w16cid:durableId="1380327084">
    <w:abstractNumId w:val="37"/>
  </w:num>
  <w:num w:numId="50" w16cid:durableId="400640198">
    <w:abstractNumId w:val="27"/>
  </w: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2"/>
  <w:proofState w:spelling="clean" w:grammar="clean"/>
  <w:attachedTemplate r:id="rId1"/>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evenAndOddHeaders/>
  <w:drawingGridHorizontalSpacing w:val="10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00C3C"/>
    <w:rsid w:val="0000056A"/>
    <w:rsid w:val="00001D94"/>
    <w:rsid w:val="000058CD"/>
    <w:rsid w:val="00006405"/>
    <w:rsid w:val="00007F40"/>
    <w:rsid w:val="00011C8D"/>
    <w:rsid w:val="00015441"/>
    <w:rsid w:val="00025D8F"/>
    <w:rsid w:val="000309B7"/>
    <w:rsid w:val="00030E3E"/>
    <w:rsid w:val="0003135A"/>
    <w:rsid w:val="00034555"/>
    <w:rsid w:val="00040402"/>
    <w:rsid w:val="0004696A"/>
    <w:rsid w:val="00053018"/>
    <w:rsid w:val="0005696A"/>
    <w:rsid w:val="000569E7"/>
    <w:rsid w:val="00067568"/>
    <w:rsid w:val="000740BE"/>
    <w:rsid w:val="0007498B"/>
    <w:rsid w:val="0008374A"/>
    <w:rsid w:val="00090710"/>
    <w:rsid w:val="00090731"/>
    <w:rsid w:val="000927C5"/>
    <w:rsid w:val="00092FA6"/>
    <w:rsid w:val="000934BA"/>
    <w:rsid w:val="00094656"/>
    <w:rsid w:val="000A2E55"/>
    <w:rsid w:val="000B1E82"/>
    <w:rsid w:val="000B2266"/>
    <w:rsid w:val="000B7E4C"/>
    <w:rsid w:val="000C006D"/>
    <w:rsid w:val="000C04F0"/>
    <w:rsid w:val="000C4C8F"/>
    <w:rsid w:val="000D033E"/>
    <w:rsid w:val="000D16FA"/>
    <w:rsid w:val="000D1C00"/>
    <w:rsid w:val="000D3597"/>
    <w:rsid w:val="000D6D27"/>
    <w:rsid w:val="000E071F"/>
    <w:rsid w:val="000F0DC5"/>
    <w:rsid w:val="000F4747"/>
    <w:rsid w:val="000F782C"/>
    <w:rsid w:val="00117CC9"/>
    <w:rsid w:val="00120D79"/>
    <w:rsid w:val="00124D96"/>
    <w:rsid w:val="0013193E"/>
    <w:rsid w:val="001362F0"/>
    <w:rsid w:val="0013666A"/>
    <w:rsid w:val="00145AF7"/>
    <w:rsid w:val="00162CC8"/>
    <w:rsid w:val="00163AF4"/>
    <w:rsid w:val="00164D7E"/>
    <w:rsid w:val="0016678D"/>
    <w:rsid w:val="00172752"/>
    <w:rsid w:val="00172A1B"/>
    <w:rsid w:val="0018408E"/>
    <w:rsid w:val="00185973"/>
    <w:rsid w:val="00187D64"/>
    <w:rsid w:val="00187E43"/>
    <w:rsid w:val="00190935"/>
    <w:rsid w:val="00197686"/>
    <w:rsid w:val="001A0E09"/>
    <w:rsid w:val="001B255B"/>
    <w:rsid w:val="001B4547"/>
    <w:rsid w:val="001B4A7C"/>
    <w:rsid w:val="001D3E27"/>
    <w:rsid w:val="001D53EB"/>
    <w:rsid w:val="001E21AD"/>
    <w:rsid w:val="001F45CE"/>
    <w:rsid w:val="001F5439"/>
    <w:rsid w:val="0020457A"/>
    <w:rsid w:val="00204E89"/>
    <w:rsid w:val="00210248"/>
    <w:rsid w:val="00210DB8"/>
    <w:rsid w:val="0021134D"/>
    <w:rsid w:val="00213A7D"/>
    <w:rsid w:val="00214AC2"/>
    <w:rsid w:val="002224E1"/>
    <w:rsid w:val="00226E54"/>
    <w:rsid w:val="00227960"/>
    <w:rsid w:val="0023086D"/>
    <w:rsid w:val="00230C00"/>
    <w:rsid w:val="0023104F"/>
    <w:rsid w:val="00231803"/>
    <w:rsid w:val="002354AE"/>
    <w:rsid w:val="0024075B"/>
    <w:rsid w:val="00240D33"/>
    <w:rsid w:val="0024174C"/>
    <w:rsid w:val="0024529B"/>
    <w:rsid w:val="002542EE"/>
    <w:rsid w:val="002639D9"/>
    <w:rsid w:val="00264407"/>
    <w:rsid w:val="00270386"/>
    <w:rsid w:val="0027411A"/>
    <w:rsid w:val="0027506C"/>
    <w:rsid w:val="00281FDA"/>
    <w:rsid w:val="002823FC"/>
    <w:rsid w:val="00293043"/>
    <w:rsid w:val="002974C4"/>
    <w:rsid w:val="002A0162"/>
    <w:rsid w:val="002A4602"/>
    <w:rsid w:val="002A4A69"/>
    <w:rsid w:val="002A56B5"/>
    <w:rsid w:val="002B406E"/>
    <w:rsid w:val="002B53C3"/>
    <w:rsid w:val="002B66F5"/>
    <w:rsid w:val="002B7863"/>
    <w:rsid w:val="002C110C"/>
    <w:rsid w:val="002D34CD"/>
    <w:rsid w:val="002E323E"/>
    <w:rsid w:val="002E36AF"/>
    <w:rsid w:val="002E5AD3"/>
    <w:rsid w:val="002E6BA4"/>
    <w:rsid w:val="002F3CD1"/>
    <w:rsid w:val="002F3D2A"/>
    <w:rsid w:val="00302DE4"/>
    <w:rsid w:val="00305345"/>
    <w:rsid w:val="00307282"/>
    <w:rsid w:val="00307D1B"/>
    <w:rsid w:val="0031466D"/>
    <w:rsid w:val="00316E8F"/>
    <w:rsid w:val="0032462A"/>
    <w:rsid w:val="00330F5E"/>
    <w:rsid w:val="00334C04"/>
    <w:rsid w:val="00341AEA"/>
    <w:rsid w:val="00341F67"/>
    <w:rsid w:val="0035112D"/>
    <w:rsid w:val="003606CA"/>
    <w:rsid w:val="0036104B"/>
    <w:rsid w:val="00362269"/>
    <w:rsid w:val="003633D4"/>
    <w:rsid w:val="003655E1"/>
    <w:rsid w:val="00371063"/>
    <w:rsid w:val="00372CA7"/>
    <w:rsid w:val="00376180"/>
    <w:rsid w:val="00377276"/>
    <w:rsid w:val="00377424"/>
    <w:rsid w:val="00394942"/>
    <w:rsid w:val="003949F3"/>
    <w:rsid w:val="003A3A01"/>
    <w:rsid w:val="003B0216"/>
    <w:rsid w:val="003B13D1"/>
    <w:rsid w:val="003B2F07"/>
    <w:rsid w:val="003B33F7"/>
    <w:rsid w:val="003B35BB"/>
    <w:rsid w:val="003B7599"/>
    <w:rsid w:val="003C1A34"/>
    <w:rsid w:val="003C4911"/>
    <w:rsid w:val="003C5BCA"/>
    <w:rsid w:val="003D6DAC"/>
    <w:rsid w:val="003E2A5E"/>
    <w:rsid w:val="003E3032"/>
    <w:rsid w:val="003E5997"/>
    <w:rsid w:val="003E5A23"/>
    <w:rsid w:val="003F185F"/>
    <w:rsid w:val="003F1DCF"/>
    <w:rsid w:val="003F4765"/>
    <w:rsid w:val="003F65A6"/>
    <w:rsid w:val="00414563"/>
    <w:rsid w:val="0041626B"/>
    <w:rsid w:val="00423551"/>
    <w:rsid w:val="00423F1B"/>
    <w:rsid w:val="00426C62"/>
    <w:rsid w:val="0042772B"/>
    <w:rsid w:val="00433441"/>
    <w:rsid w:val="00435214"/>
    <w:rsid w:val="00435D07"/>
    <w:rsid w:val="00436948"/>
    <w:rsid w:val="0043737C"/>
    <w:rsid w:val="00442A6C"/>
    <w:rsid w:val="004435BA"/>
    <w:rsid w:val="00444190"/>
    <w:rsid w:val="00453C76"/>
    <w:rsid w:val="00454DD4"/>
    <w:rsid w:val="00456287"/>
    <w:rsid w:val="004705AF"/>
    <w:rsid w:val="00471B63"/>
    <w:rsid w:val="0047305E"/>
    <w:rsid w:val="00473617"/>
    <w:rsid w:val="00476386"/>
    <w:rsid w:val="00477F90"/>
    <w:rsid w:val="00484DD3"/>
    <w:rsid w:val="00486D71"/>
    <w:rsid w:val="004918B5"/>
    <w:rsid w:val="004956C3"/>
    <w:rsid w:val="00495761"/>
    <w:rsid w:val="00497AD6"/>
    <w:rsid w:val="004A65D2"/>
    <w:rsid w:val="004C20E7"/>
    <w:rsid w:val="004C2656"/>
    <w:rsid w:val="004C2812"/>
    <w:rsid w:val="004D189F"/>
    <w:rsid w:val="004D49E8"/>
    <w:rsid w:val="004D4E83"/>
    <w:rsid w:val="004D6665"/>
    <w:rsid w:val="004E0C9D"/>
    <w:rsid w:val="004F16B4"/>
    <w:rsid w:val="00500895"/>
    <w:rsid w:val="005010B4"/>
    <w:rsid w:val="00501B8C"/>
    <w:rsid w:val="0050369B"/>
    <w:rsid w:val="00504743"/>
    <w:rsid w:val="0050621E"/>
    <w:rsid w:val="00511908"/>
    <w:rsid w:val="00512421"/>
    <w:rsid w:val="00514982"/>
    <w:rsid w:val="0051658B"/>
    <w:rsid w:val="00521BC8"/>
    <w:rsid w:val="0052599C"/>
    <w:rsid w:val="00531942"/>
    <w:rsid w:val="00531E07"/>
    <w:rsid w:val="00532F36"/>
    <w:rsid w:val="00535B82"/>
    <w:rsid w:val="0053704E"/>
    <w:rsid w:val="0053710F"/>
    <w:rsid w:val="005377DD"/>
    <w:rsid w:val="00564ED7"/>
    <w:rsid w:val="00571515"/>
    <w:rsid w:val="005808CB"/>
    <w:rsid w:val="005846B6"/>
    <w:rsid w:val="00584C20"/>
    <w:rsid w:val="00585F4C"/>
    <w:rsid w:val="00591219"/>
    <w:rsid w:val="005A2E29"/>
    <w:rsid w:val="005A5F79"/>
    <w:rsid w:val="005B0EF1"/>
    <w:rsid w:val="005B32AC"/>
    <w:rsid w:val="005B3D33"/>
    <w:rsid w:val="005C70FB"/>
    <w:rsid w:val="005D172C"/>
    <w:rsid w:val="005E026B"/>
    <w:rsid w:val="005E18E0"/>
    <w:rsid w:val="005E316C"/>
    <w:rsid w:val="005F4EB3"/>
    <w:rsid w:val="005F793A"/>
    <w:rsid w:val="00604BA8"/>
    <w:rsid w:val="006052E9"/>
    <w:rsid w:val="0061213E"/>
    <w:rsid w:val="0061522E"/>
    <w:rsid w:val="00616817"/>
    <w:rsid w:val="00620E18"/>
    <w:rsid w:val="006258CB"/>
    <w:rsid w:val="00625C35"/>
    <w:rsid w:val="00625C3B"/>
    <w:rsid w:val="00627D6A"/>
    <w:rsid w:val="00631A9F"/>
    <w:rsid w:val="00637DFE"/>
    <w:rsid w:val="00642073"/>
    <w:rsid w:val="006469B8"/>
    <w:rsid w:val="00650CEB"/>
    <w:rsid w:val="00653A1B"/>
    <w:rsid w:val="0065405B"/>
    <w:rsid w:val="00656155"/>
    <w:rsid w:val="0066250C"/>
    <w:rsid w:val="006713CE"/>
    <w:rsid w:val="00673747"/>
    <w:rsid w:val="00674B8D"/>
    <w:rsid w:val="00674CEB"/>
    <w:rsid w:val="006750C2"/>
    <w:rsid w:val="006778FD"/>
    <w:rsid w:val="00680016"/>
    <w:rsid w:val="0068057D"/>
    <w:rsid w:val="006856F2"/>
    <w:rsid w:val="00690F07"/>
    <w:rsid w:val="006A1D3F"/>
    <w:rsid w:val="006A5D0F"/>
    <w:rsid w:val="006A645F"/>
    <w:rsid w:val="006B184A"/>
    <w:rsid w:val="006C0AD3"/>
    <w:rsid w:val="006C74CC"/>
    <w:rsid w:val="006D63CD"/>
    <w:rsid w:val="006E031A"/>
    <w:rsid w:val="006F1F04"/>
    <w:rsid w:val="006F257F"/>
    <w:rsid w:val="006F3C87"/>
    <w:rsid w:val="00700C3C"/>
    <w:rsid w:val="007027E6"/>
    <w:rsid w:val="0070371D"/>
    <w:rsid w:val="00706A12"/>
    <w:rsid w:val="0070709B"/>
    <w:rsid w:val="007111A3"/>
    <w:rsid w:val="00712089"/>
    <w:rsid w:val="00712F94"/>
    <w:rsid w:val="00714E9D"/>
    <w:rsid w:val="00722FCD"/>
    <w:rsid w:val="00726A40"/>
    <w:rsid w:val="00726F80"/>
    <w:rsid w:val="0073443D"/>
    <w:rsid w:val="00735682"/>
    <w:rsid w:val="0074633C"/>
    <w:rsid w:val="0074741C"/>
    <w:rsid w:val="00750E7D"/>
    <w:rsid w:val="00753629"/>
    <w:rsid w:val="007608F0"/>
    <w:rsid w:val="007626F0"/>
    <w:rsid w:val="0076605E"/>
    <w:rsid w:val="00775796"/>
    <w:rsid w:val="00780F47"/>
    <w:rsid w:val="00791F63"/>
    <w:rsid w:val="007A08F7"/>
    <w:rsid w:val="007A3249"/>
    <w:rsid w:val="007A52AC"/>
    <w:rsid w:val="007C1B8F"/>
    <w:rsid w:val="007C7941"/>
    <w:rsid w:val="007D0A21"/>
    <w:rsid w:val="007D1350"/>
    <w:rsid w:val="007E0352"/>
    <w:rsid w:val="007F3BF6"/>
    <w:rsid w:val="00807BBC"/>
    <w:rsid w:val="00810F00"/>
    <w:rsid w:val="0081281B"/>
    <w:rsid w:val="008141F8"/>
    <w:rsid w:val="008175BD"/>
    <w:rsid w:val="00831B2C"/>
    <w:rsid w:val="008338A5"/>
    <w:rsid w:val="0083409A"/>
    <w:rsid w:val="00837AB8"/>
    <w:rsid w:val="0084618C"/>
    <w:rsid w:val="0084658F"/>
    <w:rsid w:val="00850810"/>
    <w:rsid w:val="00852E68"/>
    <w:rsid w:val="00871A19"/>
    <w:rsid w:val="00872347"/>
    <w:rsid w:val="00873A48"/>
    <w:rsid w:val="008940AB"/>
    <w:rsid w:val="008946C9"/>
    <w:rsid w:val="00895F20"/>
    <w:rsid w:val="008A281F"/>
    <w:rsid w:val="008A7007"/>
    <w:rsid w:val="008A7B46"/>
    <w:rsid w:val="008B1558"/>
    <w:rsid w:val="008B225D"/>
    <w:rsid w:val="008B25C8"/>
    <w:rsid w:val="008B40E2"/>
    <w:rsid w:val="008B42D1"/>
    <w:rsid w:val="008B4C1F"/>
    <w:rsid w:val="008B50BD"/>
    <w:rsid w:val="008B50BF"/>
    <w:rsid w:val="008C1CDA"/>
    <w:rsid w:val="008C511A"/>
    <w:rsid w:val="008C6347"/>
    <w:rsid w:val="008C6548"/>
    <w:rsid w:val="008D00D5"/>
    <w:rsid w:val="008D3C6F"/>
    <w:rsid w:val="008D6649"/>
    <w:rsid w:val="008E0765"/>
    <w:rsid w:val="008E3A00"/>
    <w:rsid w:val="008E47AE"/>
    <w:rsid w:val="008F00F6"/>
    <w:rsid w:val="008F43AB"/>
    <w:rsid w:val="008F60DC"/>
    <w:rsid w:val="0090289B"/>
    <w:rsid w:val="00904402"/>
    <w:rsid w:val="00905DD2"/>
    <w:rsid w:val="009079EF"/>
    <w:rsid w:val="00912D08"/>
    <w:rsid w:val="009236C9"/>
    <w:rsid w:val="00927042"/>
    <w:rsid w:val="0093247D"/>
    <w:rsid w:val="00933633"/>
    <w:rsid w:val="00933AD3"/>
    <w:rsid w:val="00942F71"/>
    <w:rsid w:val="009459F1"/>
    <w:rsid w:val="00950D0B"/>
    <w:rsid w:val="00957940"/>
    <w:rsid w:val="00960D65"/>
    <w:rsid w:val="00963282"/>
    <w:rsid w:val="00963FCB"/>
    <w:rsid w:val="009702E3"/>
    <w:rsid w:val="00984E32"/>
    <w:rsid w:val="0098549F"/>
    <w:rsid w:val="0098555B"/>
    <w:rsid w:val="00990BBC"/>
    <w:rsid w:val="00991EFC"/>
    <w:rsid w:val="00993021"/>
    <w:rsid w:val="009935A9"/>
    <w:rsid w:val="00995A25"/>
    <w:rsid w:val="00997385"/>
    <w:rsid w:val="00997C09"/>
    <w:rsid w:val="009A1677"/>
    <w:rsid w:val="009A2666"/>
    <w:rsid w:val="009A3855"/>
    <w:rsid w:val="009A411B"/>
    <w:rsid w:val="009A5950"/>
    <w:rsid w:val="009C1123"/>
    <w:rsid w:val="009C1481"/>
    <w:rsid w:val="009C3E60"/>
    <w:rsid w:val="009C411C"/>
    <w:rsid w:val="009C54F1"/>
    <w:rsid w:val="009D5432"/>
    <w:rsid w:val="009D627C"/>
    <w:rsid w:val="009E0616"/>
    <w:rsid w:val="009E2957"/>
    <w:rsid w:val="009E4E69"/>
    <w:rsid w:val="009E649D"/>
    <w:rsid w:val="00A03CD2"/>
    <w:rsid w:val="00A06578"/>
    <w:rsid w:val="00A10B22"/>
    <w:rsid w:val="00A12702"/>
    <w:rsid w:val="00A13BEE"/>
    <w:rsid w:val="00A24F12"/>
    <w:rsid w:val="00A2627C"/>
    <w:rsid w:val="00A26846"/>
    <w:rsid w:val="00A32D1E"/>
    <w:rsid w:val="00A33255"/>
    <w:rsid w:val="00A3516F"/>
    <w:rsid w:val="00A35229"/>
    <w:rsid w:val="00A37FEA"/>
    <w:rsid w:val="00A42D6A"/>
    <w:rsid w:val="00A442F2"/>
    <w:rsid w:val="00A504B6"/>
    <w:rsid w:val="00A52DF4"/>
    <w:rsid w:val="00A57525"/>
    <w:rsid w:val="00A652A7"/>
    <w:rsid w:val="00A82F18"/>
    <w:rsid w:val="00A83872"/>
    <w:rsid w:val="00A85F41"/>
    <w:rsid w:val="00A97265"/>
    <w:rsid w:val="00AA19EB"/>
    <w:rsid w:val="00AA4B05"/>
    <w:rsid w:val="00AB2269"/>
    <w:rsid w:val="00AB2CDF"/>
    <w:rsid w:val="00AB5273"/>
    <w:rsid w:val="00AC01DC"/>
    <w:rsid w:val="00AC456C"/>
    <w:rsid w:val="00AC683B"/>
    <w:rsid w:val="00AD2E51"/>
    <w:rsid w:val="00AE0CA7"/>
    <w:rsid w:val="00AE7146"/>
    <w:rsid w:val="00AF2CE7"/>
    <w:rsid w:val="00AF5E1A"/>
    <w:rsid w:val="00B02D5D"/>
    <w:rsid w:val="00B06354"/>
    <w:rsid w:val="00B07D10"/>
    <w:rsid w:val="00B13B2F"/>
    <w:rsid w:val="00B16A67"/>
    <w:rsid w:val="00B2046F"/>
    <w:rsid w:val="00B22932"/>
    <w:rsid w:val="00B2350A"/>
    <w:rsid w:val="00B31C27"/>
    <w:rsid w:val="00B33058"/>
    <w:rsid w:val="00B34E02"/>
    <w:rsid w:val="00B372A9"/>
    <w:rsid w:val="00B37D11"/>
    <w:rsid w:val="00B40B82"/>
    <w:rsid w:val="00B41F94"/>
    <w:rsid w:val="00B469AD"/>
    <w:rsid w:val="00B47023"/>
    <w:rsid w:val="00B4764D"/>
    <w:rsid w:val="00B52C8F"/>
    <w:rsid w:val="00B55008"/>
    <w:rsid w:val="00B55961"/>
    <w:rsid w:val="00B573E7"/>
    <w:rsid w:val="00B57C98"/>
    <w:rsid w:val="00B725D1"/>
    <w:rsid w:val="00B752BF"/>
    <w:rsid w:val="00B754A2"/>
    <w:rsid w:val="00B75A88"/>
    <w:rsid w:val="00B8034A"/>
    <w:rsid w:val="00B86301"/>
    <w:rsid w:val="00B90577"/>
    <w:rsid w:val="00B9219B"/>
    <w:rsid w:val="00B927C6"/>
    <w:rsid w:val="00BA0EDB"/>
    <w:rsid w:val="00BA485F"/>
    <w:rsid w:val="00BA5679"/>
    <w:rsid w:val="00BA6773"/>
    <w:rsid w:val="00BA705B"/>
    <w:rsid w:val="00BB483F"/>
    <w:rsid w:val="00BC02E5"/>
    <w:rsid w:val="00BC0E60"/>
    <w:rsid w:val="00BC26A5"/>
    <w:rsid w:val="00BC69FA"/>
    <w:rsid w:val="00BD55E1"/>
    <w:rsid w:val="00BD7183"/>
    <w:rsid w:val="00BE0FFB"/>
    <w:rsid w:val="00BE1517"/>
    <w:rsid w:val="00BE18BA"/>
    <w:rsid w:val="00BF4592"/>
    <w:rsid w:val="00BF6409"/>
    <w:rsid w:val="00C0016F"/>
    <w:rsid w:val="00C00CEB"/>
    <w:rsid w:val="00C04C3A"/>
    <w:rsid w:val="00C05153"/>
    <w:rsid w:val="00C064A4"/>
    <w:rsid w:val="00C20A4B"/>
    <w:rsid w:val="00C22642"/>
    <w:rsid w:val="00C2501E"/>
    <w:rsid w:val="00C315CF"/>
    <w:rsid w:val="00C43226"/>
    <w:rsid w:val="00C43737"/>
    <w:rsid w:val="00C44013"/>
    <w:rsid w:val="00C453BD"/>
    <w:rsid w:val="00C45C81"/>
    <w:rsid w:val="00C46EFA"/>
    <w:rsid w:val="00C51C56"/>
    <w:rsid w:val="00C60104"/>
    <w:rsid w:val="00C6285A"/>
    <w:rsid w:val="00C62E7B"/>
    <w:rsid w:val="00C64E7D"/>
    <w:rsid w:val="00C70E71"/>
    <w:rsid w:val="00C73FE1"/>
    <w:rsid w:val="00C8067F"/>
    <w:rsid w:val="00C837A2"/>
    <w:rsid w:val="00C91263"/>
    <w:rsid w:val="00CA4564"/>
    <w:rsid w:val="00CB2916"/>
    <w:rsid w:val="00CD0021"/>
    <w:rsid w:val="00CD0BD7"/>
    <w:rsid w:val="00CD4538"/>
    <w:rsid w:val="00CE223C"/>
    <w:rsid w:val="00CF3131"/>
    <w:rsid w:val="00CF3BE1"/>
    <w:rsid w:val="00D00243"/>
    <w:rsid w:val="00D014AB"/>
    <w:rsid w:val="00D05ECD"/>
    <w:rsid w:val="00D073CB"/>
    <w:rsid w:val="00D24964"/>
    <w:rsid w:val="00D30140"/>
    <w:rsid w:val="00D36EBA"/>
    <w:rsid w:val="00D40AC2"/>
    <w:rsid w:val="00D4100E"/>
    <w:rsid w:val="00D43437"/>
    <w:rsid w:val="00D53522"/>
    <w:rsid w:val="00D54466"/>
    <w:rsid w:val="00D63A3C"/>
    <w:rsid w:val="00D6724D"/>
    <w:rsid w:val="00D6791A"/>
    <w:rsid w:val="00D707E2"/>
    <w:rsid w:val="00D75A83"/>
    <w:rsid w:val="00D87891"/>
    <w:rsid w:val="00D96B09"/>
    <w:rsid w:val="00D96C7F"/>
    <w:rsid w:val="00DB0063"/>
    <w:rsid w:val="00DB03EE"/>
    <w:rsid w:val="00DC198D"/>
    <w:rsid w:val="00DC1E99"/>
    <w:rsid w:val="00DC72BF"/>
    <w:rsid w:val="00DD0149"/>
    <w:rsid w:val="00DE09DF"/>
    <w:rsid w:val="00DE2420"/>
    <w:rsid w:val="00DE7B95"/>
    <w:rsid w:val="00DF110D"/>
    <w:rsid w:val="00DF1892"/>
    <w:rsid w:val="00DF45D3"/>
    <w:rsid w:val="00E02E86"/>
    <w:rsid w:val="00E14595"/>
    <w:rsid w:val="00E15CDF"/>
    <w:rsid w:val="00E213DC"/>
    <w:rsid w:val="00E24197"/>
    <w:rsid w:val="00E323DF"/>
    <w:rsid w:val="00E44646"/>
    <w:rsid w:val="00E46F15"/>
    <w:rsid w:val="00E50599"/>
    <w:rsid w:val="00E5102D"/>
    <w:rsid w:val="00E51A46"/>
    <w:rsid w:val="00E5254C"/>
    <w:rsid w:val="00E60F8C"/>
    <w:rsid w:val="00E76629"/>
    <w:rsid w:val="00E774B9"/>
    <w:rsid w:val="00E92398"/>
    <w:rsid w:val="00E95C19"/>
    <w:rsid w:val="00EA69A4"/>
    <w:rsid w:val="00EB0717"/>
    <w:rsid w:val="00EB4F62"/>
    <w:rsid w:val="00EB4F99"/>
    <w:rsid w:val="00EB5DD7"/>
    <w:rsid w:val="00EB6167"/>
    <w:rsid w:val="00EC2435"/>
    <w:rsid w:val="00EC5065"/>
    <w:rsid w:val="00EC76EB"/>
    <w:rsid w:val="00ED3273"/>
    <w:rsid w:val="00ED4B90"/>
    <w:rsid w:val="00ED6091"/>
    <w:rsid w:val="00ED7231"/>
    <w:rsid w:val="00EE1957"/>
    <w:rsid w:val="00EE516F"/>
    <w:rsid w:val="00F061A0"/>
    <w:rsid w:val="00F070EE"/>
    <w:rsid w:val="00F07CC8"/>
    <w:rsid w:val="00F1253E"/>
    <w:rsid w:val="00F14F53"/>
    <w:rsid w:val="00F1693C"/>
    <w:rsid w:val="00F201E5"/>
    <w:rsid w:val="00F225D2"/>
    <w:rsid w:val="00F314E2"/>
    <w:rsid w:val="00F33250"/>
    <w:rsid w:val="00F342C5"/>
    <w:rsid w:val="00F3520B"/>
    <w:rsid w:val="00F356C3"/>
    <w:rsid w:val="00F41EE4"/>
    <w:rsid w:val="00F43471"/>
    <w:rsid w:val="00F4449B"/>
    <w:rsid w:val="00F44FF9"/>
    <w:rsid w:val="00F52239"/>
    <w:rsid w:val="00F56CEA"/>
    <w:rsid w:val="00F60976"/>
    <w:rsid w:val="00F6216E"/>
    <w:rsid w:val="00F63D29"/>
    <w:rsid w:val="00F67D52"/>
    <w:rsid w:val="00F70102"/>
    <w:rsid w:val="00F732B6"/>
    <w:rsid w:val="00F74CE0"/>
    <w:rsid w:val="00F77CFD"/>
    <w:rsid w:val="00F829D8"/>
    <w:rsid w:val="00F83CA8"/>
    <w:rsid w:val="00F850B0"/>
    <w:rsid w:val="00F86D8E"/>
    <w:rsid w:val="00F93F65"/>
    <w:rsid w:val="00F95511"/>
    <w:rsid w:val="00F9578C"/>
    <w:rsid w:val="00FC3D76"/>
    <w:rsid w:val="00FC464E"/>
    <w:rsid w:val="00FC5481"/>
    <w:rsid w:val="00FD0A36"/>
    <w:rsid w:val="00FD146B"/>
    <w:rsid w:val="00FE08C7"/>
    <w:rsid w:val="00FE0F5C"/>
    <w:rsid w:val="00FE1DA6"/>
    <w:rsid w:val="00FE7AC7"/>
    <w:rsid w:val="00FF06DB"/>
    <w:rsid w:val="00FF2928"/>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660766C"/>
  <w15:docId w15:val="{DFAA7382-0238-4841-8542-58D4940B3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qFormat="1"/>
    <w:lsdException w:name="heading 9" w:qFormat="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25D1"/>
    <w:pPr>
      <w:overflowPunct w:val="0"/>
      <w:autoSpaceDE w:val="0"/>
      <w:autoSpaceDN w:val="0"/>
      <w:adjustRightInd w:val="0"/>
      <w:spacing w:line="240" w:lineRule="exact"/>
      <w:ind w:firstLine="227"/>
      <w:jc w:val="both"/>
      <w:textAlignment w:val="baseline"/>
    </w:pPr>
    <w:rPr>
      <w:lang w:val="es-ES_tradnl"/>
    </w:rPr>
  </w:style>
  <w:style w:type="paragraph" w:styleId="Ttulo1">
    <w:name w:val="heading 1"/>
    <w:basedOn w:val="Normal"/>
    <w:next w:val="Normal"/>
    <w:qFormat/>
    <w:rsid w:val="002B66F5"/>
    <w:pPr>
      <w:keepNext/>
      <w:keepLines/>
      <w:numPr>
        <w:numId w:val="38"/>
      </w:numPr>
      <w:tabs>
        <w:tab w:val="clear" w:pos="454"/>
        <w:tab w:val="left" w:pos="567"/>
      </w:tabs>
      <w:suppressAutoHyphens/>
      <w:spacing w:before="480" w:after="240" w:line="280" w:lineRule="exact"/>
      <w:jc w:val="left"/>
      <w:outlineLvl w:val="0"/>
    </w:pPr>
    <w:rPr>
      <w:b/>
      <w:sz w:val="24"/>
    </w:rPr>
  </w:style>
  <w:style w:type="paragraph" w:styleId="Ttulo2">
    <w:name w:val="heading 2"/>
    <w:basedOn w:val="Normal"/>
    <w:next w:val="Normal"/>
    <w:qFormat/>
    <w:rsid w:val="002B66F5"/>
    <w:pPr>
      <w:keepNext/>
      <w:keepLines/>
      <w:numPr>
        <w:ilvl w:val="1"/>
        <w:numId w:val="38"/>
      </w:numPr>
      <w:suppressAutoHyphens/>
      <w:spacing w:before="340" w:after="200"/>
      <w:outlineLvl w:val="1"/>
    </w:pPr>
    <w:rPr>
      <w:b/>
    </w:rPr>
  </w:style>
  <w:style w:type="paragraph" w:styleId="Ttulo3">
    <w:name w:val="heading 3"/>
    <w:basedOn w:val="Normal"/>
    <w:next w:val="Normal"/>
    <w:qFormat/>
    <w:rsid w:val="002B66F5"/>
    <w:pPr>
      <w:keepNext/>
      <w:keepLines/>
      <w:numPr>
        <w:ilvl w:val="2"/>
        <w:numId w:val="38"/>
      </w:numPr>
      <w:suppressAutoHyphens/>
      <w:spacing w:before="340" w:after="200"/>
      <w:outlineLvl w:val="2"/>
    </w:pPr>
    <w:rPr>
      <w:b/>
    </w:rPr>
  </w:style>
  <w:style w:type="paragraph" w:styleId="Ttulo4">
    <w:name w:val="heading 4"/>
    <w:basedOn w:val="Normal"/>
    <w:next w:val="Normal"/>
    <w:qFormat/>
    <w:rsid w:val="002B66F5"/>
    <w:pPr>
      <w:keepNext/>
      <w:tabs>
        <w:tab w:val="left" w:pos="680"/>
      </w:tabs>
      <w:spacing w:before="200" w:after="80"/>
      <w:ind w:firstLine="0"/>
      <w:jc w:val="left"/>
      <w:outlineLvl w:val="3"/>
    </w:pPr>
    <w:rPr>
      <w:i/>
      <w:sz w:val="18"/>
    </w:rPr>
  </w:style>
  <w:style w:type="paragraph" w:styleId="Ttulo5">
    <w:name w:val="heading 5"/>
    <w:basedOn w:val="Normal"/>
    <w:next w:val="Normal"/>
    <w:qFormat/>
    <w:rsid w:val="002B66F5"/>
    <w:pPr>
      <w:numPr>
        <w:ilvl w:val="4"/>
        <w:numId w:val="38"/>
      </w:numPr>
      <w:spacing w:before="240" w:after="60"/>
      <w:outlineLvl w:val="4"/>
    </w:pPr>
    <w:rPr>
      <w:rFonts w:ascii="Arial" w:hAnsi="Arial"/>
      <w:sz w:val="22"/>
    </w:rPr>
  </w:style>
  <w:style w:type="paragraph" w:styleId="Ttulo6">
    <w:name w:val="heading 6"/>
    <w:basedOn w:val="Normal"/>
    <w:next w:val="Normal"/>
    <w:qFormat/>
    <w:rsid w:val="002B66F5"/>
    <w:pPr>
      <w:numPr>
        <w:ilvl w:val="5"/>
        <w:numId w:val="38"/>
      </w:numPr>
      <w:spacing w:before="240" w:after="60"/>
      <w:outlineLvl w:val="5"/>
    </w:pPr>
    <w:rPr>
      <w:i/>
      <w:sz w:val="22"/>
    </w:rPr>
  </w:style>
  <w:style w:type="paragraph" w:styleId="Ttulo7">
    <w:name w:val="heading 7"/>
    <w:basedOn w:val="Normal"/>
    <w:next w:val="Normal"/>
    <w:qFormat/>
    <w:rsid w:val="002B66F5"/>
    <w:pPr>
      <w:numPr>
        <w:ilvl w:val="6"/>
        <w:numId w:val="38"/>
      </w:numPr>
      <w:spacing w:before="240" w:after="60"/>
      <w:outlineLvl w:val="6"/>
    </w:pPr>
    <w:rPr>
      <w:rFonts w:ascii="Arial" w:hAnsi="Arial"/>
    </w:rPr>
  </w:style>
  <w:style w:type="paragraph" w:styleId="Ttulo8">
    <w:name w:val="heading 8"/>
    <w:basedOn w:val="Normal"/>
    <w:next w:val="Normal"/>
    <w:qFormat/>
    <w:rsid w:val="002B66F5"/>
    <w:pPr>
      <w:numPr>
        <w:ilvl w:val="7"/>
        <w:numId w:val="38"/>
      </w:numPr>
      <w:spacing w:before="240" w:after="60"/>
      <w:outlineLvl w:val="7"/>
    </w:pPr>
    <w:rPr>
      <w:rFonts w:ascii="Arial" w:hAnsi="Arial"/>
      <w:i/>
    </w:rPr>
  </w:style>
  <w:style w:type="paragraph" w:styleId="Ttulo9">
    <w:name w:val="heading 9"/>
    <w:basedOn w:val="Normal"/>
    <w:next w:val="Normal"/>
    <w:qFormat/>
    <w:rsid w:val="002B66F5"/>
    <w:pPr>
      <w:numPr>
        <w:ilvl w:val="8"/>
        <w:numId w:val="38"/>
      </w:numPr>
      <w:spacing w:before="240" w:after="60"/>
      <w:outlineLvl w:val="8"/>
    </w:pPr>
    <w:rPr>
      <w:rFonts w:ascii="Arial" w:hAnsi="Arial"/>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1a">
    <w:name w:val="p1a"/>
    <w:basedOn w:val="Normal"/>
    <w:next w:val="Normal"/>
    <w:rsid w:val="0053704E"/>
    <w:pPr>
      <w:ind w:firstLine="0"/>
    </w:pPr>
  </w:style>
  <w:style w:type="paragraph" w:customStyle="1" w:styleId="abstract">
    <w:name w:val="abstract"/>
    <w:basedOn w:val="p1a"/>
    <w:rsid w:val="00C91263"/>
    <w:pPr>
      <w:spacing w:before="600" w:after="120" w:line="220" w:lineRule="exact"/>
      <w:ind w:left="567" w:right="567"/>
      <w:contextualSpacing/>
    </w:pPr>
    <w:rPr>
      <w:sz w:val="18"/>
    </w:rPr>
  </w:style>
  <w:style w:type="paragraph" w:customStyle="1" w:styleId="address">
    <w:name w:val="address"/>
    <w:basedOn w:val="p1a"/>
    <w:rsid w:val="0053704E"/>
    <w:pPr>
      <w:jc w:val="center"/>
    </w:pPr>
    <w:rPr>
      <w:sz w:val="18"/>
    </w:rPr>
  </w:style>
  <w:style w:type="paragraph" w:customStyle="1" w:styleId="author">
    <w:name w:val="author"/>
    <w:basedOn w:val="p1a"/>
    <w:next w:val="address"/>
    <w:rsid w:val="0053704E"/>
    <w:pPr>
      <w:spacing w:after="220"/>
      <w:jc w:val="center"/>
    </w:pPr>
  </w:style>
  <w:style w:type="paragraph" w:styleId="Descripcin">
    <w:name w:val="caption"/>
    <w:basedOn w:val="Normal"/>
    <w:next w:val="Normal"/>
    <w:qFormat/>
    <w:rsid w:val="0053704E"/>
    <w:pPr>
      <w:spacing w:before="120" w:after="120"/>
    </w:pPr>
    <w:rPr>
      <w:b/>
    </w:rPr>
  </w:style>
  <w:style w:type="paragraph" w:customStyle="1" w:styleId="image">
    <w:name w:val="image"/>
    <w:basedOn w:val="p1a"/>
    <w:next w:val="p1a"/>
    <w:rsid w:val="008B1558"/>
    <w:pPr>
      <w:spacing w:before="240" w:after="120" w:line="240" w:lineRule="auto"/>
      <w:jc w:val="center"/>
    </w:pPr>
  </w:style>
  <w:style w:type="paragraph" w:customStyle="1" w:styleId="bulletitem">
    <w:name w:val="bullet item"/>
    <w:basedOn w:val="Normal"/>
    <w:rsid w:val="006E031A"/>
    <w:pPr>
      <w:numPr>
        <w:numId w:val="30"/>
      </w:numPr>
      <w:spacing w:before="120" w:after="120"/>
      <w:contextualSpacing/>
    </w:pPr>
  </w:style>
  <w:style w:type="paragraph" w:customStyle="1" w:styleId="dashitem">
    <w:name w:val="dash item"/>
    <w:basedOn w:val="bulletitem"/>
    <w:rsid w:val="00C6285A"/>
    <w:pPr>
      <w:numPr>
        <w:numId w:val="27"/>
      </w:numPr>
      <w:spacing w:before="80" w:after="80"/>
    </w:pPr>
  </w:style>
  <w:style w:type="paragraph" w:customStyle="1" w:styleId="equation">
    <w:name w:val="equation"/>
    <w:basedOn w:val="Normal"/>
    <w:next w:val="p1a"/>
    <w:rsid w:val="0053704E"/>
    <w:pPr>
      <w:tabs>
        <w:tab w:val="left" w:pos="6237"/>
      </w:tabs>
      <w:spacing w:before="120" w:after="120"/>
      <w:ind w:left="227"/>
      <w:jc w:val="center"/>
    </w:pPr>
  </w:style>
  <w:style w:type="paragraph" w:customStyle="1" w:styleId="figurecaption">
    <w:name w:val="figure caption"/>
    <w:basedOn w:val="Normal"/>
    <w:next w:val="p1a"/>
    <w:rsid w:val="00454DD4"/>
    <w:pPr>
      <w:keepNext/>
      <w:keepLines/>
      <w:spacing w:before="120" w:after="240" w:line="220" w:lineRule="exact"/>
      <w:ind w:firstLine="0"/>
      <w:jc w:val="center"/>
    </w:pPr>
    <w:rPr>
      <w:sz w:val="18"/>
    </w:rPr>
  </w:style>
  <w:style w:type="paragraph" w:styleId="Textonotapie">
    <w:name w:val="footnote text"/>
    <w:basedOn w:val="Normal"/>
    <w:semiHidden/>
    <w:rsid w:val="0053704E"/>
    <w:pPr>
      <w:tabs>
        <w:tab w:val="left" w:pos="170"/>
      </w:tabs>
      <w:spacing w:line="220" w:lineRule="exact"/>
      <w:ind w:left="170" w:hanging="170"/>
    </w:pPr>
    <w:rPr>
      <w:sz w:val="18"/>
    </w:rPr>
  </w:style>
  <w:style w:type="character" w:styleId="Hipervnculo">
    <w:name w:val="Hyperlink"/>
    <w:basedOn w:val="Fuentedeprrafopredeter"/>
    <w:rsid w:val="00BA5679"/>
    <w:rPr>
      <w:color w:val="0000FF"/>
      <w:u w:val="single"/>
    </w:rPr>
  </w:style>
  <w:style w:type="character" w:styleId="Refdenotaalpie">
    <w:name w:val="footnote reference"/>
    <w:basedOn w:val="Fuentedeprrafopredeter"/>
    <w:semiHidden/>
    <w:rsid w:val="0053704E"/>
    <w:rPr>
      <w:position w:val="6"/>
      <w:sz w:val="12"/>
      <w:vertAlign w:val="baseline"/>
    </w:rPr>
  </w:style>
  <w:style w:type="paragraph" w:styleId="Piedepgina">
    <w:name w:val="footer"/>
    <w:basedOn w:val="Normal"/>
    <w:link w:val="PiedepginaCar"/>
    <w:uiPriority w:val="99"/>
    <w:rsid w:val="0053704E"/>
    <w:pPr>
      <w:tabs>
        <w:tab w:val="center" w:pos="4536"/>
        <w:tab w:val="right" w:pos="9072"/>
      </w:tabs>
    </w:pPr>
  </w:style>
  <w:style w:type="paragraph" w:customStyle="1" w:styleId="heading1">
    <w:name w:val="heading1"/>
    <w:basedOn w:val="Ttulo1"/>
    <w:next w:val="p1a"/>
    <w:rsid w:val="002B66F5"/>
  </w:style>
  <w:style w:type="paragraph" w:customStyle="1" w:styleId="heading2">
    <w:name w:val="heading2"/>
    <w:basedOn w:val="Ttulo2"/>
    <w:next w:val="p1a"/>
    <w:rsid w:val="00190935"/>
  </w:style>
  <w:style w:type="paragraph" w:customStyle="1" w:styleId="heading3">
    <w:name w:val="heading3"/>
    <w:basedOn w:val="Ttulo3"/>
    <w:next w:val="p1a"/>
    <w:rsid w:val="00A504B6"/>
  </w:style>
  <w:style w:type="paragraph" w:customStyle="1" w:styleId="heading4">
    <w:name w:val="heading4"/>
    <w:basedOn w:val="Ttulo4"/>
    <w:next w:val="p1a"/>
    <w:rsid w:val="00A504B6"/>
  </w:style>
  <w:style w:type="paragraph" w:styleId="Encabezado">
    <w:name w:val="header"/>
    <w:basedOn w:val="Normal"/>
    <w:link w:val="EncabezadoCar"/>
    <w:uiPriority w:val="99"/>
    <w:rsid w:val="00210248"/>
    <w:pPr>
      <w:spacing w:line="220" w:lineRule="exact"/>
      <w:ind w:firstLine="0"/>
    </w:pPr>
    <w:rPr>
      <w:sz w:val="18"/>
    </w:rPr>
  </w:style>
  <w:style w:type="paragraph" w:customStyle="1" w:styleId="numbereditem">
    <w:name w:val="numbered item"/>
    <w:basedOn w:val="Normal"/>
    <w:rsid w:val="006E031A"/>
    <w:pPr>
      <w:numPr>
        <w:numId w:val="37"/>
      </w:numPr>
      <w:spacing w:before="120" w:after="120"/>
      <w:contextualSpacing/>
    </w:pPr>
  </w:style>
  <w:style w:type="paragraph" w:customStyle="1" w:styleId="programcode">
    <w:name w:val="programcode"/>
    <w:basedOn w:val="Normal"/>
    <w:rsid w:val="00001D94"/>
    <w:pPr>
      <w:tabs>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20" w:after="120"/>
      <w:ind w:left="227" w:firstLine="0"/>
      <w:contextualSpacing/>
      <w:jc w:val="left"/>
    </w:pPr>
    <w:rPr>
      <w:rFonts w:ascii="Courier" w:hAnsi="Courier"/>
    </w:rPr>
  </w:style>
  <w:style w:type="paragraph" w:customStyle="1" w:styleId="referenceitem">
    <w:name w:val="referenceitem"/>
    <w:basedOn w:val="Normal"/>
    <w:rsid w:val="00F829D8"/>
    <w:pPr>
      <w:spacing w:line="220" w:lineRule="exact"/>
      <w:ind w:left="340" w:hanging="340"/>
    </w:pPr>
    <w:rPr>
      <w:sz w:val="18"/>
    </w:rPr>
  </w:style>
  <w:style w:type="paragraph" w:customStyle="1" w:styleId="runninghead-left">
    <w:name w:val="running head - left"/>
    <w:basedOn w:val="Encabezado"/>
    <w:link w:val="runninghead-leftZchn"/>
    <w:rsid w:val="007608F0"/>
    <w:rPr>
      <w:szCs w:val="18"/>
    </w:rPr>
  </w:style>
  <w:style w:type="paragraph" w:customStyle="1" w:styleId="runninghead-right">
    <w:name w:val="running head - right"/>
    <w:basedOn w:val="Encabezado"/>
    <w:rsid w:val="007608F0"/>
    <w:pPr>
      <w:jc w:val="right"/>
    </w:pPr>
    <w:rPr>
      <w:bCs/>
      <w:szCs w:val="18"/>
    </w:rPr>
  </w:style>
  <w:style w:type="character" w:styleId="Nmerodepgina">
    <w:name w:val="page number"/>
    <w:basedOn w:val="Fuentedeprrafopredeter"/>
    <w:rsid w:val="00210248"/>
    <w:rPr>
      <w:sz w:val="18"/>
    </w:rPr>
  </w:style>
  <w:style w:type="paragraph" w:customStyle="1" w:styleId="tablecaption">
    <w:name w:val="table caption"/>
    <w:basedOn w:val="Normal"/>
    <w:next w:val="Normal"/>
    <w:rsid w:val="00454DD4"/>
    <w:pPr>
      <w:keepNext/>
      <w:keepLines/>
      <w:spacing w:before="240" w:after="120" w:line="220" w:lineRule="exact"/>
      <w:ind w:firstLine="0"/>
      <w:jc w:val="center"/>
    </w:pPr>
    <w:rPr>
      <w:sz w:val="18"/>
      <w:lang w:val="de-DE"/>
    </w:rPr>
  </w:style>
  <w:style w:type="paragraph" w:customStyle="1" w:styleId="Ttulo10">
    <w:name w:val="Título1"/>
    <w:basedOn w:val="p1a"/>
    <w:next w:val="author"/>
    <w:rsid w:val="007608F0"/>
    <w:pPr>
      <w:keepNext/>
      <w:keepLines/>
      <w:pageBreakBefore/>
      <w:suppressAutoHyphens/>
      <w:spacing w:after="460" w:line="348" w:lineRule="exact"/>
      <w:jc w:val="center"/>
    </w:pPr>
    <w:rPr>
      <w:b/>
      <w:sz w:val="28"/>
    </w:rPr>
  </w:style>
  <w:style w:type="paragraph" w:customStyle="1" w:styleId="keywords">
    <w:name w:val="keywords"/>
    <w:basedOn w:val="abstract"/>
    <w:rsid w:val="00001D94"/>
    <w:pPr>
      <w:spacing w:before="240"/>
      <w:jc w:val="left"/>
    </w:pPr>
  </w:style>
  <w:style w:type="paragraph" w:customStyle="1" w:styleId="e-mail">
    <w:name w:val="e-mail"/>
    <w:basedOn w:val="address"/>
    <w:next w:val="address"/>
    <w:rsid w:val="009A411B"/>
    <w:rPr>
      <w:rFonts w:ascii="Courier" w:hAnsi="Courier"/>
    </w:rPr>
  </w:style>
  <w:style w:type="character" w:customStyle="1" w:styleId="EncabezadoCar">
    <w:name w:val="Encabezado Car"/>
    <w:basedOn w:val="Fuentedeprrafopredeter"/>
    <w:link w:val="Encabezado"/>
    <w:uiPriority w:val="99"/>
    <w:rsid w:val="007608F0"/>
    <w:rPr>
      <w:sz w:val="18"/>
      <w:lang w:val="en-US" w:eastAsia="de-DE" w:bidi="ar-SA"/>
    </w:rPr>
  </w:style>
  <w:style w:type="character" w:customStyle="1" w:styleId="runninghead-leftZchn">
    <w:name w:val="running head - left Zchn"/>
    <w:basedOn w:val="EncabezadoCar"/>
    <w:link w:val="runninghead-left"/>
    <w:rsid w:val="007608F0"/>
    <w:rPr>
      <w:sz w:val="18"/>
      <w:szCs w:val="18"/>
      <w:lang w:val="en-US" w:eastAsia="de-DE" w:bidi="ar-SA"/>
    </w:rPr>
  </w:style>
  <w:style w:type="paragraph" w:styleId="Textosinformato">
    <w:name w:val="Plain Text"/>
    <w:basedOn w:val="Normal"/>
    <w:link w:val="TextosinformatoCar"/>
    <w:rsid w:val="0035112D"/>
    <w:pPr>
      <w:spacing w:line="240" w:lineRule="auto"/>
    </w:pPr>
    <w:rPr>
      <w:rFonts w:ascii="Consolas" w:hAnsi="Consolas"/>
      <w:sz w:val="21"/>
      <w:szCs w:val="21"/>
    </w:rPr>
  </w:style>
  <w:style w:type="character" w:customStyle="1" w:styleId="TextosinformatoCar">
    <w:name w:val="Texto sin formato Car"/>
    <w:basedOn w:val="Fuentedeprrafopredeter"/>
    <w:link w:val="Textosinformato"/>
    <w:rsid w:val="0035112D"/>
    <w:rPr>
      <w:rFonts w:ascii="Consolas" w:hAnsi="Consolas"/>
      <w:sz w:val="21"/>
      <w:szCs w:val="21"/>
      <w:lang w:val="en-US"/>
    </w:rPr>
  </w:style>
  <w:style w:type="paragraph" w:styleId="Textodeglobo">
    <w:name w:val="Balloon Text"/>
    <w:basedOn w:val="Normal"/>
    <w:link w:val="TextodegloboCar"/>
    <w:rsid w:val="00C064A4"/>
    <w:pPr>
      <w:spacing w:line="240" w:lineRule="auto"/>
    </w:pPr>
    <w:rPr>
      <w:rFonts w:ascii="Tahoma" w:hAnsi="Tahoma" w:cs="Tahoma"/>
      <w:sz w:val="16"/>
      <w:szCs w:val="16"/>
    </w:rPr>
  </w:style>
  <w:style w:type="character" w:customStyle="1" w:styleId="TextodegloboCar">
    <w:name w:val="Texto de globo Car"/>
    <w:basedOn w:val="Fuentedeprrafopredeter"/>
    <w:link w:val="Textodeglobo"/>
    <w:rsid w:val="00C064A4"/>
    <w:rPr>
      <w:rFonts w:ascii="Tahoma" w:hAnsi="Tahoma" w:cs="Tahoma"/>
      <w:sz w:val="16"/>
      <w:szCs w:val="16"/>
      <w:lang w:val="en-US"/>
    </w:rPr>
  </w:style>
  <w:style w:type="table" w:styleId="Tablaconcuadrcula">
    <w:name w:val="Table Grid"/>
    <w:basedOn w:val="Tablanormal"/>
    <w:rsid w:val="00F43471"/>
    <w:rPr>
      <w:lang w:val="es-CL" w:eastAsia="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iedepginaCar">
    <w:name w:val="Pie de página Car"/>
    <w:basedOn w:val="Fuentedeprrafopredeter"/>
    <w:link w:val="Piedepgina"/>
    <w:uiPriority w:val="99"/>
    <w:rsid w:val="006F3C87"/>
    <w:rPr>
      <w:lang w:val="en-US"/>
    </w:rPr>
  </w:style>
  <w:style w:type="paragraph" w:styleId="Prrafodelista">
    <w:name w:val="List Paragraph"/>
    <w:basedOn w:val="Normal"/>
    <w:uiPriority w:val="34"/>
    <w:qFormat/>
    <w:rsid w:val="00AD2E51"/>
    <w:pPr>
      <w:ind w:left="720"/>
      <w:contextualSpacing/>
    </w:p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paragraph" w:customStyle="1" w:styleId="Compact">
    <w:name w:val="Compact"/>
    <w:basedOn w:val="Normal"/>
    <w:qFormat/>
    <w:pPr>
      <w:spacing w:before="20" w:after="20" w:line="200" w:lineRule="exact"/>
      <w:ind w:firstLine="0"/>
      <w:contextualSpacing/>
    </w:pPr>
    <w:rPr>
      <w:sz w:val="16"/>
      <w:szCs w:val="16"/>
    </w:rPr>
  </w:style>
  <w:style w:type="table" w:customStyle="1" w:styleId="Table">
    <w:name w:val="Table"/>
    <w:basedOn w:val="TableNormal"/>
    <w:uiPriority w:val="59"/>
    <w:tblPr>
      <w:tblStyleRowBandSize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28" w:type="dxa"/>
        <w:left w:w="72" w:type="dxa"/>
        <w:bottom w:w="28" w:type="dxa"/>
        <w:right w:w="72"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4958529">
      <w:bodyDiv w:val="1"/>
      <w:marLeft w:val="0"/>
      <w:marRight w:val="0"/>
      <w:marTop w:val="0"/>
      <w:marBottom w:val="0"/>
      <w:divBdr>
        <w:top w:val="none" w:sz="0" w:space="0" w:color="auto"/>
        <w:left w:val="none" w:sz="0" w:space="0" w:color="auto"/>
        <w:bottom w:val="none" w:sz="0" w:space="0" w:color="auto"/>
        <w:right w:val="none" w:sz="0" w:space="0" w:color="auto"/>
      </w:divBdr>
      <w:divsChild>
        <w:div w:id="668338083">
          <w:marLeft w:val="547"/>
          <w:marRight w:val="0"/>
          <w:marTop w:val="144"/>
          <w:marBottom w:val="0"/>
          <w:divBdr>
            <w:top w:val="none" w:sz="0" w:space="0" w:color="auto"/>
            <w:left w:val="none" w:sz="0" w:space="0" w:color="auto"/>
            <w:bottom w:val="none" w:sz="0" w:space="0" w:color="auto"/>
            <w:right w:val="none" w:sz="0" w:space="0" w:color="auto"/>
          </w:divBdr>
        </w:div>
        <w:div w:id="1763448250">
          <w:marLeft w:val="547"/>
          <w:marRight w:val="0"/>
          <w:marTop w:val="144"/>
          <w:marBottom w:val="0"/>
          <w:divBdr>
            <w:top w:val="none" w:sz="0" w:space="0" w:color="auto"/>
            <w:left w:val="none" w:sz="0" w:space="0" w:color="auto"/>
            <w:bottom w:val="none" w:sz="0" w:space="0" w:color="auto"/>
            <w:right w:val="none" w:sz="0" w:space="0" w:color="auto"/>
          </w:divBdr>
        </w:div>
        <w:div w:id="340856021">
          <w:marLeft w:val="547"/>
          <w:marRight w:val="0"/>
          <w:marTop w:val="144"/>
          <w:marBottom w:val="0"/>
          <w:divBdr>
            <w:top w:val="none" w:sz="0" w:space="0" w:color="auto"/>
            <w:left w:val="none" w:sz="0" w:space="0" w:color="auto"/>
            <w:bottom w:val="none" w:sz="0" w:space="0" w:color="auto"/>
            <w:right w:val="none" w:sz="0" w:space="0" w:color="auto"/>
          </w:divBdr>
        </w:div>
        <w:div w:id="1787576473">
          <w:marLeft w:val="547"/>
          <w:marRight w:val="0"/>
          <w:marTop w:val="144"/>
          <w:marBottom w:val="0"/>
          <w:divBdr>
            <w:top w:val="none" w:sz="0" w:space="0" w:color="auto"/>
            <w:left w:val="none" w:sz="0" w:space="0" w:color="auto"/>
            <w:bottom w:val="none" w:sz="0" w:space="0" w:color="auto"/>
            <w:right w:val="none" w:sz="0" w:space="0" w:color="auto"/>
          </w:divBdr>
        </w:div>
        <w:div w:id="471213533">
          <w:marLeft w:val="547"/>
          <w:marRight w:val="0"/>
          <w:marTop w:val="144"/>
          <w:marBottom w:val="0"/>
          <w:divBdr>
            <w:top w:val="none" w:sz="0" w:space="0" w:color="auto"/>
            <w:left w:val="none" w:sz="0" w:space="0" w:color="auto"/>
            <w:bottom w:val="none" w:sz="0" w:space="0" w:color="auto"/>
            <w:right w:val="none" w:sz="0" w:space="0" w:color="auto"/>
          </w:divBdr>
        </w:div>
      </w:divsChild>
    </w:div>
    <w:div w:id="1516069049">
      <w:bodyDiv w:val="1"/>
      <w:marLeft w:val="0"/>
      <w:marRight w:val="0"/>
      <w:marTop w:val="0"/>
      <w:marBottom w:val="0"/>
      <w:divBdr>
        <w:top w:val="none" w:sz="0" w:space="0" w:color="auto"/>
        <w:left w:val="none" w:sz="0" w:space="0" w:color="auto"/>
        <w:bottom w:val="none" w:sz="0" w:space="0" w:color="auto"/>
        <w:right w:val="none" w:sz="0" w:space="0" w:color="auto"/>
      </w:divBdr>
      <w:divsChild>
        <w:div w:id="2036275013">
          <w:marLeft w:val="547"/>
          <w:marRight w:val="0"/>
          <w:marTop w:val="144"/>
          <w:marBottom w:val="0"/>
          <w:divBdr>
            <w:top w:val="none" w:sz="0" w:space="0" w:color="auto"/>
            <w:left w:val="none" w:sz="0" w:space="0" w:color="auto"/>
            <w:bottom w:val="none" w:sz="0" w:space="0" w:color="auto"/>
            <w:right w:val="none" w:sz="0" w:space="0" w:color="auto"/>
          </w:divBdr>
        </w:div>
        <w:div w:id="1664164050">
          <w:marLeft w:val="547"/>
          <w:marRight w:val="0"/>
          <w:marTop w:val="144"/>
          <w:marBottom w:val="0"/>
          <w:divBdr>
            <w:top w:val="none" w:sz="0" w:space="0" w:color="auto"/>
            <w:left w:val="none" w:sz="0" w:space="0" w:color="auto"/>
            <w:bottom w:val="none" w:sz="0" w:space="0" w:color="auto"/>
            <w:right w:val="none" w:sz="0" w:space="0" w:color="auto"/>
          </w:divBdr>
        </w:div>
        <w:div w:id="696471438">
          <w:marLeft w:val="547"/>
          <w:marRight w:val="0"/>
          <w:marTop w:val="144"/>
          <w:marBottom w:val="0"/>
          <w:divBdr>
            <w:top w:val="none" w:sz="0" w:space="0" w:color="auto"/>
            <w:left w:val="none" w:sz="0" w:space="0" w:color="auto"/>
            <w:bottom w:val="none" w:sz="0" w:space="0" w:color="auto"/>
            <w:right w:val="none" w:sz="0" w:space="0" w:color="auto"/>
          </w:divBdr>
        </w:div>
        <w:div w:id="1064178273">
          <w:marLeft w:val="547"/>
          <w:marRight w:val="0"/>
          <w:marTop w:val="144"/>
          <w:marBottom w:val="0"/>
          <w:divBdr>
            <w:top w:val="none" w:sz="0" w:space="0" w:color="auto"/>
            <w:left w:val="none" w:sz="0" w:space="0" w:color="auto"/>
            <w:bottom w:val="none" w:sz="0" w:space="0" w:color="auto"/>
            <w:right w:val="none" w:sz="0" w:space="0" w:color="auto"/>
          </w:divBdr>
        </w:div>
        <w:div w:id="881138075">
          <w:marLeft w:val="547"/>
          <w:marRight w:val="0"/>
          <w:marTop w:val="144"/>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tiff"/><Relationship Id="rId2"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tiff"/><Relationship Id="rId2"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tiff"/><Relationship Id="rId2"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rmonge\Mis%20documentos\raul\USM\MTI\Graduacion\Graduaci&#243;n-2008-09\Final\sv-ln20090127.dotm" TargetMode="Externa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80A9CF-D559-0D40-812F-5B4E5CCC69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C:\Documents and Settings\rmonge\Mis documentos\raul\USM\MTI\Graduacion\Graduación-2008-09\Final\sv-ln20090127.dotm</Template>
  <TotalTime>248</TotalTime>
  <Pages>6</Pages>
  <Words>1646</Words>
  <Characters>9054</Characters>
  <Application>Microsoft Office Word</Application>
  <DocSecurity>0</DocSecurity>
  <Lines>75</Lines>
  <Paragraphs>21</Paragraphs>
  <ScaleCrop>false</ScaleCrop>
  <HeadingPairs>
    <vt:vector size="4" baseType="variant">
      <vt:variant>
        <vt:lpstr>Título</vt:lpstr>
      </vt:variant>
      <vt:variant>
        <vt:i4>1</vt:i4>
      </vt:variant>
      <vt:variant>
        <vt:lpstr>Titel</vt:lpstr>
      </vt:variant>
      <vt:variant>
        <vt:i4>1</vt:i4>
      </vt:variant>
    </vt:vector>
  </HeadingPairs>
  <TitlesOfParts>
    <vt:vector size="2" baseType="lpstr">
      <vt:lpstr/>
      <vt:lpstr/>
    </vt:vector>
  </TitlesOfParts>
  <Company>dataspect IT-Services, Heidelberg, Germany</Company>
  <LinksUpToDate>false</LinksUpToDate>
  <CharactersWithSpaces>10679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rmonge</dc:creator>
  <cp:keywords/>
  <dc:description>Formats and macros for Springer Lecture Notes</dc:description>
  <cp:lastModifiedBy>Raul Monge</cp:lastModifiedBy>
  <cp:revision>28</cp:revision>
  <dcterms:created xsi:type="dcterms:W3CDTF">2013-09-26T19:17:00Z</dcterms:created>
  <dcterms:modified xsi:type="dcterms:W3CDTF">2023-08-25T21:35:00Z</dcterms:modified>
</cp:coreProperties>
</file>