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informe-final-de-tesina"/>
    <w:p>
      <w:pPr>
        <w:pStyle w:val="Heading1"/>
      </w:pPr>
      <w:r>
        <w:t xml:space="preserve">INFORME FINAL DE TESINA</w:t>
      </w:r>
    </w:p>
    <w:p>
      <w:pPr>
        <w:pStyle w:val="FirstParagraph"/>
      </w:pPr>
      <w:r>
        <w:rPr>
          <w:b/>
          <w:bCs/>
        </w:rPr>
        <w:t xml:space="preserve">UNIVERSIDAD TÉCNICA FEDERICO SANTA MARÍA</w:t>
      </w:r>
      <w:r>
        <w:br/>
      </w:r>
      <w:r>
        <w:rPr>
          <w:b/>
          <w:bCs/>
        </w:rPr>
        <w:t xml:space="preserve">DEPARTAMENTO DE INFORMÁTICA</w:t>
      </w:r>
      <w:r>
        <w:br/>
      </w:r>
      <w:r>
        <w:rPr>
          <w:b/>
          <w:bCs/>
        </w:rPr>
        <w:t xml:space="preserve">Magíster en Tecnologías de la Información (MTI)</w:t>
      </w:r>
    </w:p>
    <w:p>
      <w:r>
        <w:pict>
          <v:rect style="width:0;height:1.5pt" o:hralign="center" o:hrstd="t" o:hr="t"/>
        </w:pict>
      </w:r>
    </w:p>
    <w:p>
      <w:pPr>
        <w:pStyle w:val="FirstParagraph"/>
      </w:pPr>
      <w:r>
        <w:rPr>
          <w:b/>
          <w:bCs/>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Autor</w:t>
            </w:r>
          </w:p>
        </w:tc>
        <w:tc>
          <w:tcPr/>
          <w:p>
            <w:pPr>
              <w:pStyle w:val="Compact"/>
              <w:jc w:val="left"/>
            </w:pPr>
            <w:r>
              <w:t xml:space="preserve">Eduardo Mauricio Ahumada Gallardo</w:t>
            </w:r>
          </w:p>
        </w:tc>
      </w:tr>
      <w:tr>
        <w:tc>
          <w:tcPr/>
          <w:p>
            <w:pPr>
              <w:pStyle w:val="Compact"/>
              <w:jc w:val="left"/>
            </w:pPr>
            <w:r>
              <w:rPr>
                <w:b/>
                <w:bCs/>
              </w:rPr>
              <w:t xml:space="preserve">RUT</w:t>
            </w:r>
          </w:p>
        </w:tc>
        <w:tc>
          <w:tcPr/>
          <w:p>
            <w:pPr>
              <w:pStyle w:val="Compact"/>
              <w:jc w:val="left"/>
            </w:pPr>
            <w:r>
              <w:t xml:space="preserve">12.814.696-2</w:t>
            </w:r>
          </w:p>
        </w:tc>
      </w:tr>
      <w:tr>
        <w:tc>
          <w:tcPr/>
          <w:p>
            <w:pPr>
              <w:pStyle w:val="Compact"/>
              <w:jc w:val="left"/>
            </w:pPr>
            <w:r>
              <w:rPr>
                <w:b/>
                <w:bCs/>
              </w:rPr>
              <w:t xml:space="preserve">Correo</w:t>
            </w:r>
          </w:p>
        </w:tc>
        <w:tc>
          <w:tcPr/>
          <w:p>
            <w:pPr>
              <w:pStyle w:val="Compact"/>
              <w:jc w:val="left"/>
            </w:pPr>
            <w:r>
              <w:t xml:space="preserve">eahumada@gmail.com</w:t>
            </w:r>
          </w:p>
        </w:tc>
      </w:tr>
      <w:tr>
        <w:tc>
          <w:tcPr/>
          <w:p>
            <w:pPr>
              <w:pStyle w:val="Compact"/>
              <w:jc w:val="left"/>
            </w:pPr>
            <w:r>
              <w:rPr>
                <w:b/>
                <w:bCs/>
              </w:rPr>
              <w:t xml:space="preserve">Profesor Guía</w:t>
            </w:r>
          </w:p>
        </w:tc>
        <w:tc>
          <w:tcPr/>
          <w:p>
            <w:pPr>
              <w:pStyle w:val="Compact"/>
              <w:jc w:val="left"/>
            </w:pPr>
            <w:r>
              <w:t xml:space="preserve">José Luis Martí Lara</w:t>
            </w:r>
          </w:p>
        </w:tc>
      </w:tr>
      <w:tr>
        <w:tc>
          <w:tcPr/>
          <w:p>
            <w:pPr>
              <w:pStyle w:val="Compact"/>
              <w:jc w:val="left"/>
            </w:pPr>
            <w:r>
              <w:rPr>
                <w:b/>
                <w:bCs/>
              </w:rPr>
              <w:t xml:space="preserve">Organización Vinculada</w:t>
            </w:r>
          </w:p>
        </w:tc>
        <w:tc>
          <w:tcPr/>
          <w:p>
            <w:pPr>
              <w:pStyle w:val="Compact"/>
              <w:jc w:val="left"/>
            </w:pPr>
            <w:r>
              <w:t xml:space="preserve">Leanstack SpA / Austranet (contacto: Manuel Muñoz, Fundador)</w:t>
            </w:r>
          </w:p>
        </w:tc>
      </w:tr>
      <w:tr>
        <w:tc>
          <w:tcPr/>
          <w:p>
            <w:pPr>
              <w:pStyle w:val="Compact"/>
              <w:jc w:val="left"/>
            </w:pPr>
            <w:r>
              <w:rPr>
                <w:b/>
                <w:bCs/>
              </w:rPr>
              <w:t xml:space="preserve">Programa</w:t>
            </w:r>
          </w:p>
        </w:tc>
        <w:tc>
          <w:tcPr/>
          <w:p>
            <w:pPr>
              <w:pStyle w:val="Compact"/>
              <w:jc w:val="left"/>
            </w:pPr>
            <w:r>
              <w:t xml:space="preserve">Magíster en Tecnologías de la Información — Año de Ingreso 2013</w:t>
            </w:r>
          </w:p>
        </w:tc>
      </w:tr>
      <w:tr>
        <w:tc>
          <w:tcPr/>
          <w:p>
            <w:pPr>
              <w:pStyle w:val="Compact"/>
              <w:jc w:val="left"/>
            </w:pPr>
            <w:r>
              <w:rPr>
                <w:b/>
                <w:bCs/>
              </w:rPr>
              <w:t xml:space="preserve">Fecha de Entrega</w:t>
            </w:r>
          </w:p>
        </w:tc>
        <w:tc>
          <w:tcPr/>
          <w:p>
            <w:pPr>
              <w:pStyle w:val="Compact"/>
              <w:jc w:val="left"/>
            </w:pPr>
            <w:r>
              <w:t xml:space="preserve">Julio 2026</w:t>
            </w:r>
          </w:p>
        </w:tc>
      </w:tr>
    </w:tbl>
    <w:p>
      <w:r>
        <w:pict>
          <v:rect style="width:0;height:1.5pt" o:hralign="center" o:hrstd="t" o:hr="t"/>
        </w:pict>
      </w:r>
    </w:p>
    <w:bookmarkStart w:id="9" w:name="resumen"/>
    <w:p>
      <w:pPr>
        <w:pStyle w:val="Heading2"/>
      </w:pPr>
      <w:r>
        <w:t xml:space="preserve">RESUMEN</w:t>
      </w:r>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 xml:space="preserve">El sistema incorpora una arquitectura de procesamiento pub/sub multithreading con control adaptativo de concurrencia (AIMD) y una capa Factory/Facade que unifica 16 proveedores de modelos. La validación experimental se realizó sobre el dataset real de sanciones financieras Kleptotrace/CoNLL-2002 (N=15 artículos con anotación experta) y un corpus estadísticamente significativo de 30 artículos breves (N=30). El estudio de ablación de prompts demuestra que la localización lingüística al español produce una mejora de +7.4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bCs/>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bookmarkEnd w:id="9"/>
    <w:bookmarkStart w:id="10" w:name="abstract"/>
    <w:p>
      <w:pPr>
        <w:pStyle w:val="Heading2"/>
      </w:pPr>
      <w:r>
        <w:t xml:space="preserve">ABSTRACT</w:t>
      </w:r>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 xml:space="preserve">The system incorporates a multithreading pub/sub processing architecture with an adaptive concurrency controller (AIMD) and a Factory/Facade layer unifying 16 model providers. Experimental validation was performed on the real financial sanctions dataset balanceado Kleptotrace/CoNLL-2002/CoNLL-2002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bCs/>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bookmarkEnd w:id="10"/>
    <w:bookmarkStart w:id="11" w:name="índice-de-contenidos"/>
    <w:p>
      <w:pPr>
        <w:pStyle w:val="Heading2"/>
      </w:pPr>
      <w:r>
        <w:t xml:space="preserve">ÍNDICE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bfb9847128f70adfa160568e904f826875de785">
        <w:r>
          <w:rPr>
            <w:rStyle w:val="Hyperlink"/>
          </w:rPr>
          <w:t xml:space="preserve">Marco Teórico y Estado del Arte</w:t>
        </w:r>
      </w:hyperlink>
    </w:p>
    <w:p>
      <w:pPr>
        <w:pStyle w:val="Compact"/>
        <w:numPr>
          <w:ilvl w:val="0"/>
          <w:numId w:val="1001"/>
        </w:numPr>
      </w:pPr>
      <w:hyperlink w:anchor="Xae8d23fa0d89850f2bd641d99fa64956fc0619a">
        <w:r>
          <w:rPr>
            <w:rStyle w:val="Hyperlink"/>
          </w:rPr>
          <w:t xml:space="preserve">Descripción del Sistema Propuesto</w:t>
        </w:r>
      </w:hyperlink>
    </w:p>
    <w:p>
      <w:pPr>
        <w:pStyle w:val="Compact"/>
        <w:numPr>
          <w:ilvl w:val="0"/>
          <w:numId w:val="1001"/>
        </w:numPr>
      </w:pPr>
      <w:hyperlink w:anchor="X0140c858aae6b91e986f25a1a6b303f3119a660">
        <w:r>
          <w:rPr>
            <w:rStyle w:val="Hyperlink"/>
          </w:rPr>
          <w:t xml:space="preserve">Diseño Experimental</w:t>
        </w:r>
      </w:hyperlink>
    </w:p>
    <w:p>
      <w:pPr>
        <w:pStyle w:val="Compact"/>
        <w:numPr>
          <w:ilvl w:val="0"/>
          <w:numId w:val="1001"/>
        </w:numPr>
      </w:pPr>
      <w:hyperlink w:anchor="X53d4eb3458c27fe0ebaaee02e7b9b9aa16ca61e">
        <w:r>
          <w:rPr>
            <w:rStyle w:val="Hyperlink"/>
          </w:rPr>
          <w:t xml:space="preserve">Resultados Experimentales</w:t>
        </w:r>
      </w:hyperlink>
    </w:p>
    <w:p>
      <w:pPr>
        <w:pStyle w:val="Compact"/>
        <w:numPr>
          <w:ilvl w:val="0"/>
          <w:numId w:val="1001"/>
        </w:numPr>
      </w:pPr>
      <w:hyperlink w:anchor="X6fbb0573007b7b8abace75d54a9978cb96ea265">
        <w:r>
          <w:rPr>
            <w:rStyle w:val="Hyperlink"/>
          </w:rPr>
          <w:t xml:space="preserve">Discusión</w:t>
        </w:r>
      </w:hyperlink>
    </w:p>
    <w:p>
      <w:pPr>
        <w:pStyle w:val="Compact"/>
        <w:numPr>
          <w:ilvl w:val="0"/>
          <w:numId w:val="1001"/>
        </w:numPr>
      </w:pPr>
      <w:hyperlink w:anchor="X235f4c753af26c0dd2a9d80a256e1178e4d1644">
        <w:r>
          <w:rPr>
            <w:rStyle w:val="Hyperlink"/>
          </w:rPr>
          <w:t xml:space="preserve">Conclusiones y Trabajo Futuro</w:t>
        </w:r>
      </w:hyperlink>
    </w:p>
    <w:p>
      <w:pPr>
        <w:pStyle w:val="Compact"/>
        <w:numPr>
          <w:ilvl w:val="0"/>
          <w:numId w:val="1001"/>
        </w:numPr>
      </w:pPr>
      <w:hyperlink w:anchor="Xda009e758d06f152b5fef21e2ebafbae841dd38">
        <w:r>
          <w:rPr>
            <w:rStyle w:val="Hyperlink"/>
          </w:rPr>
          <w:t xml:space="preserve">Referencias Bibliográficas</w:t>
        </w:r>
      </w:hyperlink>
    </w:p>
    <w:p>
      <w:pPr>
        <w:pStyle w:val="Compact"/>
        <w:numPr>
          <w:ilvl w:val="0"/>
          <w:numId w:val="1001"/>
        </w:numPr>
      </w:pPr>
      <w:hyperlink w:anchor="Xf5159e98ca8285787b9acd10f515446ffe11461">
        <w:r>
          <w:rPr>
            <w:rStyle w:val="Hyperlink"/>
          </w:rPr>
          <w:t xml:space="preserve">Anexos</w:t>
        </w:r>
      </w:hyperlink>
    </w:p>
    <w:p>
      <w:r>
        <w:pict>
          <v:rect style="width:0;height:1.5pt" o:hralign="center" o:hrstd="t" o:hr="t"/>
        </w:pict>
      </w:r>
    </w:p>
    <w:bookmarkEnd w:id="11"/>
    <w:bookmarkStart w:id="17" w:name="introducción"/>
    <w:p>
      <w:pPr>
        <w:pStyle w:val="Heading2"/>
      </w:pPr>
      <w:r>
        <w:t xml:space="preserve">1. INTRODUCCIÓN</w:t>
      </w:r>
    </w:p>
    <w:bookmarkStart w:id="12" w:name="contexto-y-motivación"/>
    <w:p>
      <w:pPr>
        <w:pStyle w:val="Heading3"/>
      </w:pPr>
      <w:r>
        <w:t xml:space="preserve">1.1 Contexto y Motivación</w:t>
      </w:r>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 xml:space="preserve">El proceso actual en instituciones como Leanstack SpA /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bookmarkEnd w:id="12"/>
    <w:bookmarkStart w:id="13" w:name="planteamiento-del-problema"/>
    <w:p>
      <w:pPr>
        <w:pStyle w:val="Heading3"/>
      </w:pPr>
      <w:r>
        <w:t xml:space="preserve">1.2 Planteamiento del Problema</w:t>
      </w:r>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bCs/>
        </w:rPr>
        <w:t xml:space="preserve">Revisión manual:</w:t>
      </w:r>
      <w:r>
        <w:t xml:space="preserve"> </w:t>
      </w:r>
      <w:r>
        <w:t xml:space="preserve">altamente precisa pero no escalable ni rentable.</w:t>
      </w:r>
      <w:r>
        <w:t xml:space="preserve"> </w:t>
      </w:r>
      <w:r>
        <w:t xml:space="preserve">-</w:t>
      </w:r>
      <w:r>
        <w:t xml:space="preserve"> </w:t>
      </w:r>
      <w:r>
        <w:rPr>
          <w:b/>
          <w:bCs/>
        </w:rPr>
        <w:t xml:space="preserve">Sistemas basados en reglas (regex, CRF):</w:t>
      </w:r>
      <w:r>
        <w:t xml:space="preserve"> </w:t>
      </w:r>
      <w:r>
        <w:t xml:space="preserve">frágiles ante variaciones léxicas en español.</w:t>
      </w:r>
      <w:r>
        <w:t xml:space="preserve"> </w:t>
      </w:r>
      <w:r>
        <w:t xml:space="preserve">-</w:t>
      </w:r>
      <w:r>
        <w:t xml:space="preserve"> </w:t>
      </w:r>
      <w:r>
        <w:rPr>
          <w:b/>
          <w:bCs/>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bCs/>
        </w:rPr>
        <w:t xml:space="preserve">Modelos supervisados (BERT-NER):</w:t>
      </w:r>
      <w:r>
        <w:t xml:space="preserve"> </w:t>
      </w:r>
      <w:r>
        <w:t xml:space="preserve">requieren miles de ejemplos etiquetados en dominio específico, inexistentes en español para compliance.</w:t>
      </w:r>
    </w:p>
    <w:bookmarkEnd w:id="13"/>
    <w:bookmarkStart w:id="14" w:name="hipótesis-de-trabajo"/>
    <w:p>
      <w:pPr>
        <w:pStyle w:val="Heading3"/>
      </w:pPr>
      <w:r>
        <w:t xml:space="preserve">1.3 Hipótesis de Trabajo</w:t>
      </w:r>
    </w:p>
    <w:p>
      <w:pPr>
        <w:pStyle w:val="BlockText"/>
      </w:pPr>
      <w:r>
        <w:rPr>
          <w:b/>
          <w:bCs/>
        </w:rPr>
        <w:t xml:space="preserve">Hipótesis:</w:t>
      </w:r>
      <w:r>
        <w:t xml:space="preserve"> </w:t>
      </w:r>
      <w:r>
        <w:t xml:space="preserve">Es viable implementar un sistema soberano de extracción y clasificación de entidades financieras para cumplimiento corporativo (AML/KYC) utilizando modelos de lenguaje de código abierto de escala media-grande (8B–32B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bCs/>
        </w:rPr>
        <w:t xml:space="preserve">Variables independientes:</w:t>
      </w:r>
      <w:r>
        <w:t xml:space="preserve"> </w:t>
      </w:r>
      <w:r>
        <w:t xml:space="preserve">(1) Modelo LLM seleccionado; (2) Estrategia de prompt (zero-shot/few-shot, inglés/español).</w:t>
      </w:r>
      <w:r>
        <w:br/>
      </w:r>
      <w:r>
        <w:rPr>
          <w:b/>
          <w:bCs/>
        </w:rPr>
        <w:t xml:space="preserve">Variables dependientes:</w:t>
      </w:r>
      <w:r>
        <w:t xml:space="preserve"> </w:t>
      </w:r>
      <w:r>
        <w:t xml:space="preserve">(1) F1-Score por tipo de entidad; (2) Tasa de alucinaciones; (3) Latencia de procesamiento; (4) Consumo de VRAM.</w:t>
      </w:r>
    </w:p>
    <w:bookmarkEnd w:id="14"/>
    <w:bookmarkStart w:id="15" w:name="objetivos"/>
    <w:p>
      <w:pPr>
        <w:pStyle w:val="Heading3"/>
      </w:pPr>
      <w:r>
        <w:t xml:space="preserve">1.4 Objetivos</w:t>
      </w:r>
    </w:p>
    <w:p>
      <w:pPr>
        <w:pStyle w:val="FirstParagraph"/>
      </w:pPr>
      <w:r>
        <w:rPr>
          <w:b/>
          <w:bCs/>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bCs/>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bookmarkEnd w:id="15"/>
    <w:bookmarkStart w:id="16" w:name="estructura-del-documento"/>
    <w:p>
      <w:pPr>
        <w:pStyle w:val="Heading3"/>
      </w:pPr>
      <w:r>
        <w:t xml:space="preserve">1.5 Estructura del Documento</w:t>
      </w:r>
    </w:p>
    <w:p>
      <w:pPr>
        <w:pStyle w:val="FirstParagraph"/>
      </w:pPr>
      <w:r>
        <w:t xml:space="preserve">El presente informe se organiza de la siguiente manera: la Sección 2 presenta el marco teórico y estado del arte. La Sección 3 describe el sistema propuesto. La Sección 4 detalla el diseño experimental. La Sección 5 presenta los resultados. La Sección 6 discute los hallazgos. La Sección 7 presenta las conclusiones y trabajo futuro. La Sección 8 lista las referencias, y la Sección 9 incluye los anexos técnicos.</w:t>
      </w:r>
    </w:p>
    <w:p>
      <w:r>
        <w:pict>
          <v:rect style="width:0;height:1.5pt" o:hralign="center" o:hrstd="t" o:hr="t"/>
        </w:pict>
      </w:r>
    </w:p>
    <w:bookmarkEnd w:id="16"/>
    <w:bookmarkEnd w:id="17"/>
    <w:bookmarkStart w:id="23" w:name="marco-teórico-y-estado-del-arte"/>
    <w:p>
      <w:pPr>
        <w:pStyle w:val="Heading2"/>
      </w:pPr>
      <w:r>
        <w:t xml:space="preserve">2. MARCO TEÓRICO Y ESTADO DEL ARTE</w:t>
      </w:r>
    </w:p>
    <w:bookmarkStart w:id="18" w:name="Xbaf7d0158a71eadbdd2338570281c0088ec70a9"/>
    <w:p>
      <w:pPr>
        <w:pStyle w:val="Heading3"/>
      </w:pPr>
      <w:r>
        <w:t xml:space="preserve">2.1 Reconocimiento de Entidades Nombradas (NER)</w:t>
      </w:r>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bCs/>
        </w:rPr>
        <w:t xml:space="preserve">Personas</w:t>
      </w:r>
      <w:r>
        <w:t xml:space="preserve"> </w:t>
      </w:r>
      <w:r>
        <w:t xml:space="preserve">(PER),</w:t>
      </w:r>
      <w:r>
        <w:t xml:space="preserve"> </w:t>
      </w:r>
      <w:r>
        <w:rPr>
          <w:b/>
          <w:bCs/>
        </w:rPr>
        <w:t xml:space="preserve">Organizaciones</w:t>
      </w:r>
      <w:r>
        <w:t xml:space="preserve"> </w:t>
      </w:r>
      <w:r>
        <w:t xml:space="preserve">(ORG) y</w:t>
      </w:r>
      <w:r>
        <w:t xml:space="preserve"> </w:t>
      </w:r>
      <w:r>
        <w:rPr>
          <w:b/>
          <w:bCs/>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 xml:space="preserve">Los enfoques históricos para NER incluyen: (1) Modelos estadísticos de Campos Aleatorios Condicionales (CRF) [Smith et al., 2019]; (2) Modelos neurales BiLSTM-CRF; y (3) Modelos Transformer pre-entrenados como BERT [Devlin et al., 2019].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 xml:space="preserve">El estado del arte en NER en español con Transformers alcanza 88–91% de F1 en benchmarks académicos controlados [García &amp; López, 2021; Devlin et al., 2019].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bookmarkEnd w:id="18"/>
    <w:bookmarkStart w:id="19" w:name="X0ec77da3f5b610a1e61e6cb98a9a1af88350c58"/>
    <w:p>
      <w:pPr>
        <w:pStyle w:val="Heading3"/>
      </w:pPr>
      <w:r>
        <w:t xml:space="preserve">2.2 Modelos de Lenguaje Grande (LLMs) y Aprendizaje en Contexto</w:t>
      </w:r>
    </w:p>
    <w:p>
      <w:pPr>
        <w:pStyle w:val="FirstParagraph"/>
      </w:pPr>
      <w:r>
        <w:t xml:space="preserve">La arquitectura Transformer [Vaswani et al., 2017],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 xml:space="preserve">El aprendizaje few-shot [Brown et al., 2020]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 xml:space="preserve">BloombergGPT [Wu et al., 2023]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bookmarkEnd w:id="19"/>
    <w:bookmarkStart w:id="20" w:name="X5ee5645ea2d07a39fe29a863d970035f5fe8268"/>
    <w:p>
      <w:pPr>
        <w:pStyle w:val="Heading3"/>
      </w:pPr>
      <w:r>
        <w:t xml:space="preserve">2.3 Generación Aumentada por Recuperación (RAG)</w:t>
      </w:r>
    </w:p>
    <w:p>
      <w:pPr>
        <w:pStyle w:val="FirstParagraph"/>
      </w:pPr>
      <w:r>
        <w:t xml:space="preserve">La Generación Aumentada por Recuperación (RAG) [Lewis et al., 2020] optimiza la salida de un LLM fundamentando la generación en documentos recuperados dinámicamente. En este trabajo se adopta una variante de RAG de</w:t>
      </w:r>
      <w:r>
        <w:t xml:space="preserve"> </w:t>
      </w:r>
      <w:r>
        <w:t xml:space="preserve">“contexto único”</w:t>
      </w:r>
      <w:r>
        <w:t xml:space="preserve">: cada artículo periodístico actúa como la única fuente de contexto inyectada al LLM en el prompt del sistema, forzando al modelo a extraer entidades únicamente desde el texto presente, mitigando alucinaciones extrínsecas.</w:t>
      </w:r>
    </w:p>
    <w:bookmarkEnd w:id="20"/>
    <w:bookmarkStart w:id="21" w:name="ejecución-soberana-de-llms-con-ollama"/>
    <w:p>
      <w:pPr>
        <w:pStyle w:val="Heading3"/>
      </w:pPr>
      <w:r>
        <w:t xml:space="preserve">2.4 Ejecución Soberana de LLMs con Ollama</w:t>
      </w:r>
    </w:p>
    <w:p>
      <w:pPr>
        <w:pStyle w:val="FirstParagraph"/>
      </w:pPr>
      <w:r>
        <w:t xml:space="preserve">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(hasta 24.7 GB para gemma4:31b-mlx) y la liberación explícita de memoria GPU al completar cada modelo (keep_alive=0).</w:t>
      </w:r>
    </w:p>
    <w:bookmarkEnd w:id="21"/>
    <w:bookmarkStart w:id="22" w:name="estado-del-arte-relacionado"/>
    <w:p>
      <w:pPr>
        <w:pStyle w:val="Heading3"/>
      </w:pPr>
      <w:r>
        <w:t xml:space="preserve">2.5 Estado del Arte Relacionado</w:t>
      </w:r>
    </w:p>
    <w:p>
      <w:pPr>
        <w:pStyle w:val="FirstParagraph"/>
      </w:pPr>
      <w:r>
        <w:t xml:space="preserve">La Tabla 1 posiciona este trabajo respecto a investigaciones recientes en NER para dominios financieros y regulatorios:</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left"/>
            </w:pPr>
            <w:r>
              <w:t xml:space="preserve">Trabajo</w:t>
            </w:r>
          </w:p>
        </w:tc>
        <w:tc>
          <w:tcPr/>
          <w:p>
            <w:pPr>
              <w:pStyle w:val="Compact"/>
              <w:jc w:val="left"/>
            </w:pPr>
            <w:r>
              <w:t xml:space="preserve">Dataset</w:t>
            </w:r>
          </w:p>
        </w:tc>
        <w:tc>
          <w:tcPr/>
          <w:p>
            <w:pPr>
              <w:pStyle w:val="Compact"/>
              <w:jc w:val="left"/>
            </w:pPr>
            <w:r>
              <w:t xml:space="preserve">Modelo</w:t>
            </w:r>
          </w:p>
        </w:tc>
        <w:tc>
          <w:tcPr/>
          <w:p>
            <w:pPr>
              <w:pStyle w:val="Compact"/>
              <w:jc w:val="center"/>
            </w:pPr>
            <w:r>
              <w:t xml:space="preserve">F1</w:t>
            </w:r>
          </w:p>
        </w:tc>
        <w:tc>
          <w:tcPr/>
          <w:p>
            <w:pPr>
              <w:pStyle w:val="Compact"/>
              <w:jc w:val="center"/>
            </w:pPr>
            <w:r>
              <w:t xml:space="preserve">Privacidad</w:t>
            </w:r>
          </w:p>
        </w:tc>
        <w:tc>
          <w:tcPr/>
          <w:p>
            <w:pPr>
              <w:pStyle w:val="Compact"/>
              <w:jc w:val="left"/>
            </w:pPr>
            <w:r>
              <w:t xml:space="preserve">Idioma</w:t>
            </w:r>
          </w:p>
        </w:tc>
      </w:tr>
      <w:tr>
        <w:tc>
          <w:tcPr/>
          <w:p>
            <w:pPr>
              <w:pStyle w:val="Compact"/>
              <w:jc w:val="left"/>
            </w:pPr>
            <w:r>
              <w:t xml:space="preserve">BloombergGPT [Wu et al., 2023]</w:t>
            </w:r>
          </w:p>
        </w:tc>
        <w:tc>
          <w:tcPr/>
          <w:p>
            <w:pPr>
              <w:pStyle w:val="Compact"/>
              <w:jc w:val="left"/>
            </w:pPr>
            <w:r>
              <w:t xml:space="preserve">Bloomberg corpus</w:t>
            </w:r>
          </w:p>
        </w:tc>
        <w:tc>
          <w:tcPr/>
          <w:p>
            <w:pPr>
              <w:pStyle w:val="Compact"/>
              <w:jc w:val="left"/>
            </w:pPr>
            <w:r>
              <w:t xml:space="preserve">GPT-J + dominio</w:t>
            </w:r>
          </w:p>
        </w:tc>
        <w:tc>
          <w:tcPr/>
          <w:p>
            <w:pPr>
              <w:pStyle w:val="Compact"/>
              <w:jc w:val="center"/>
            </w:pPr>
            <w:r>
              <w:t xml:space="preserve">85%+</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FiNER-139 Benchmark [Alvarado et al., 2023]</w:t>
            </w:r>
          </w:p>
        </w:tc>
        <w:tc>
          <w:tcPr/>
          <w:p>
            <w:pPr>
              <w:pStyle w:val="Compact"/>
              <w:jc w:val="left"/>
            </w:pPr>
            <w:r>
              <w:t xml:space="preserve">SEC 10-K/10-Q</w:t>
            </w:r>
          </w:p>
        </w:tc>
        <w:tc>
          <w:tcPr/>
          <w:p>
            <w:pPr>
              <w:pStyle w:val="Compact"/>
              <w:jc w:val="left"/>
            </w:pPr>
            <w:r>
              <w:t xml:space="preserve">BERT fine-tuned</w:t>
            </w:r>
          </w:p>
        </w:tc>
        <w:tc>
          <w:tcPr/>
          <w:p>
            <w:pPr>
              <w:pStyle w:val="Compact"/>
              <w:jc w:val="center"/>
            </w:pPr>
            <w:r>
              <w:t xml:space="preserve">91%</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García &amp; López (2021)</w:t>
            </w:r>
          </w:p>
        </w:tc>
        <w:tc>
          <w:tcPr/>
          <w:p>
            <w:pPr>
              <w:pStyle w:val="Compact"/>
              <w:jc w:val="left"/>
            </w:pPr>
            <w:r>
              <w:t xml:space="preserve">CoNLL-ES</w:t>
            </w:r>
          </w:p>
        </w:tc>
        <w:tc>
          <w:tcPr/>
          <w:p>
            <w:pPr>
              <w:pStyle w:val="Compact"/>
              <w:jc w:val="left"/>
            </w:pPr>
            <w:r>
              <w:t xml:space="preserve">XLM-R</w:t>
            </w:r>
          </w:p>
        </w:tc>
        <w:tc>
          <w:tcPr/>
          <w:p>
            <w:pPr>
              <w:pStyle w:val="Compact"/>
              <w:jc w:val="center"/>
            </w:pPr>
            <w:r>
              <w:t xml:space="preserve">88%</w:t>
            </w:r>
          </w:p>
        </w:tc>
        <w:tc>
          <w:tcPr/>
          <w:p>
            <w:pPr>
              <w:pStyle w:val="Compact"/>
              <w:jc w:val="center"/>
            </w:pPr>
            <w:r>
              <w:t xml:space="preserve">✅ Local</w:t>
            </w:r>
          </w:p>
        </w:tc>
        <w:tc>
          <w:tcPr/>
          <w:p>
            <w:pPr>
              <w:pStyle w:val="Compact"/>
              <w:jc w:val="left"/>
            </w:pPr>
            <w:r>
              <w:t xml:space="preserve">Español</w:t>
            </w:r>
          </w:p>
        </w:tc>
      </w:tr>
      <w:tr>
        <w:tc>
          <w:tcPr/>
          <w:p>
            <w:pPr>
              <w:pStyle w:val="Compact"/>
              <w:jc w:val="left"/>
            </w:pPr>
            <w:r>
              <w:t xml:space="preserve">Chang et al. (2024)</w:t>
            </w:r>
          </w:p>
        </w:tc>
        <w:tc>
          <w:tcPr/>
          <w:p>
            <w:pPr>
              <w:pStyle w:val="Compact"/>
              <w:jc w:val="left"/>
            </w:pPr>
            <w:r>
              <w:t xml:space="preserve">Docs bancarios</w:t>
            </w:r>
          </w:p>
        </w:tc>
        <w:tc>
          <w:tcPr/>
          <w:p>
            <w:pPr>
              <w:pStyle w:val="Compact"/>
              <w:jc w:val="left"/>
            </w:pPr>
            <w:r>
              <w:t xml:space="preserve">GPT-4 + RAG</w:t>
            </w:r>
          </w:p>
        </w:tc>
        <w:tc>
          <w:tcPr/>
          <w:p>
            <w:pPr>
              <w:pStyle w:val="Compact"/>
              <w:jc w:val="center"/>
            </w:pPr>
            <w:r>
              <w:t xml:space="preserve">83%</w:t>
            </w:r>
          </w:p>
        </w:tc>
        <w:tc>
          <w:tcPr/>
          <w:p>
            <w:pPr>
              <w:pStyle w:val="Compact"/>
              <w:jc w:val="center"/>
            </w:pPr>
            <w:r>
              <w:t xml:space="preserve">❌ Cloud</w:t>
            </w:r>
          </w:p>
        </w:tc>
        <w:tc>
          <w:tcPr/>
          <w:p>
            <w:pPr>
              <w:pStyle w:val="Compact"/>
              <w:jc w:val="left"/>
            </w:pPr>
            <w:r>
              <w:t xml:space="preserve">Inglés</w:t>
            </w:r>
          </w:p>
        </w:tc>
      </w:tr>
      <w:tr>
        <w:tc>
          <w:tcPr/>
          <w:p>
            <w:pPr>
              <w:pStyle w:val="Compact"/>
              <w:jc w:val="left"/>
            </w:pPr>
            <w:r>
              <w:rPr>
                <w:b/>
                <w:bCs/>
              </w:rPr>
              <w:t xml:space="preserve">Este trabajo</w:t>
            </w:r>
          </w:p>
        </w:tc>
        <w:tc>
          <w:tcPr/>
          <w:p>
            <w:pPr>
              <w:pStyle w:val="Compact"/>
              <w:jc w:val="left"/>
            </w:pPr>
            <w:r>
              <w:rPr>
                <w:b/>
                <w:bCs/>
              </w:rPr>
              <w:t xml:space="preserve">Kleptotrace/CoNLL-2002 (AML)</w:t>
            </w:r>
          </w:p>
        </w:tc>
        <w:tc>
          <w:tcPr/>
          <w:p>
            <w:pPr>
              <w:pStyle w:val="Compact"/>
              <w:jc w:val="left"/>
            </w:pPr>
            <w:r>
              <w:rPr>
                <w:b/>
                <w:bCs/>
              </w:rPr>
              <w:t xml:space="preserve">gemma4:31b local</w:t>
            </w:r>
          </w:p>
        </w:tc>
        <w:tc>
          <w:tcPr/>
          <w:p>
            <w:pPr>
              <w:pStyle w:val="Compact"/>
              <w:jc w:val="center"/>
            </w:pPr>
            <w:r>
              <w:rPr>
                <w:b/>
                <w:bCs/>
              </w:rPr>
              <w:t xml:space="preserve">79%</w:t>
            </w:r>
          </w:p>
        </w:tc>
        <w:tc>
          <w:tcPr/>
          <w:p>
            <w:pPr>
              <w:pStyle w:val="Compact"/>
              <w:jc w:val="center"/>
            </w:pPr>
            <w:r>
              <w:rPr>
                <w:b/>
                <w:bCs/>
              </w:rPr>
              <w:t xml:space="preserve">✅ 100% Local</w:t>
            </w:r>
          </w:p>
        </w:tc>
        <w:tc>
          <w:tcPr/>
          <w:p>
            <w:pPr>
              <w:pStyle w:val="Compact"/>
              <w:jc w:val="left"/>
            </w:pPr>
            <w:r>
              <w:rPr>
                <w:b/>
                <w:bCs/>
              </w:rPr>
              <w:t xml:space="preserve">Español</w:t>
            </w:r>
          </w:p>
        </w:tc>
      </w:tr>
    </w:tbl>
    <w:p>
      <w:pPr>
        <w:pStyle w:val="BodyText"/>
      </w:pPr>
      <w:r>
        <w:t xml:space="preserve">El aporte original de este trabajo reside en: (1) evaluación comparativa de 16 modelos sobre corpus real de sanciones en español; (2) estudio de ablación lingüística (ES vs. EN); (3) sistema soberano reproducible sobre hardware comercial; y (4) validación estadística formal (ANOVA, Tukey HSD) sobre corpus N≥30.</w:t>
      </w:r>
    </w:p>
    <w:p>
      <w:r>
        <w:pict>
          <v:rect style="width:0;height:1.5pt" o:hralign="center" o:hrstd="t" o:hr="t"/>
        </w:pict>
      </w:r>
    </w:p>
    <w:bookmarkEnd w:id="22"/>
    <w:bookmarkEnd w:id="23"/>
    <w:bookmarkStart w:id="30" w:name="descripción-del-sistema-propuesto"/>
    <w:p>
      <w:pPr>
        <w:pStyle w:val="Heading2"/>
      </w:pPr>
      <w:r>
        <w:t xml:space="preserve">3. DESCRIPCIÓN DEL SISTEMA PROPUESTO</w:t>
      </w:r>
    </w:p>
    <w:bookmarkStart w:id="24" w:name="arquitectura-general"/>
    <w:p>
      <w:pPr>
        <w:pStyle w:val="Heading3"/>
      </w:pPr>
      <w:r>
        <w:t xml:space="preserve">3.1 Arquitectura General</w:t>
      </w:r>
    </w:p>
    <w:p>
      <w:pPr>
        <w:pStyle w:val="FirstParagraph"/>
      </w:pPr>
      <w:r>
        <w:t xml:space="preserve">El sistema se estructura en cinco capas funcionales:</w:t>
      </w:r>
    </w:p>
    <w:p>
      <w:pPr>
        <w:pStyle w:val="SourceCode"/>
      </w:pPr>
      <w:r>
        <w:rPr>
          <w:rStyle w:val="VerbatimChar"/>
        </w:rPr>
        <w:t xml:space="preserve">┌──────────────────────────────────────────────────────┐</w:t>
      </w:r>
      <w:r>
        <w:br/>
      </w:r>
      <w:r>
        <w:rPr>
          <w:rStyle w:val="VerbatimChar"/>
        </w:rPr>
        <w:t xml:space="preserve">│  1. CAPA DE DATOS          DataLoader + Validator    │</w:t>
      </w:r>
      <w:r>
        <w:br/>
      </w:r>
      <w:r>
        <w:rPr>
          <w:rStyle w:val="VerbatimChar"/>
        </w:rPr>
        <w:t xml:space="preserve">│     Kleptotrace/CoNLL-2002 JSON → Schema Validation → Records  │</w:t>
      </w:r>
      <w:r>
        <w:br/>
      </w:r>
      <w:r>
        <w:rPr>
          <w:rStyle w:val="VerbatimChar"/>
        </w:rPr>
        <w:t xml:space="preserve">├──────────────────────────────────────────────────────┤</w:t>
      </w:r>
      <w:r>
        <w:br/>
      </w:r>
      <w:r>
        <w:rPr>
          <w:rStyle w:val="VerbatimChar"/>
        </w:rPr>
        <w:t xml:space="preserve">│  2. ORQUESTACIÓN           main.py + pub_sub.py      │</w:t>
      </w:r>
      <w:r>
        <w:br/>
      </w:r>
      <w:r>
        <w:rPr>
          <w:rStyle w:val="VerbatimChar"/>
        </w:rPr>
        <w:t xml:space="preserve">│     Pub/Sub Queue → AIMD Controller → Batch Mgr     │</w:t>
      </w:r>
      <w:r>
        <w:br/>
      </w:r>
      <w:r>
        <w:rPr>
          <w:rStyle w:val="VerbatimChar"/>
        </w:rPr>
        <w:t xml:space="preserve">├──────────────────────────────────────────────────────┤</w:t>
      </w:r>
      <w:r>
        <w:br/>
      </w:r>
      <w:r>
        <w:rPr>
          <w:rStyle w:val="VerbatimChar"/>
        </w:rPr>
        <w:t xml:space="preserve">│  3. PROVEEDORES LLM        Factory / Facade          │</w:t>
      </w:r>
      <w:r>
        <w:br/>
      </w:r>
      <w:r>
        <w:rPr>
          <w:rStyle w:val="VerbatimChar"/>
        </w:rPr>
        <w:t xml:space="preserve">│         OllamaProvider │ OpenAIProvider │ AnthropicProvider      │</w:t>
      </w:r>
      <w:r>
        <w:br/>
      </w:r>
      <w:r>
        <w:rPr>
          <w:rStyle w:val="VerbatimChar"/>
        </w:rPr>
        <w:t xml:space="preserve">├──────────────────────────────────────────────────────┤</w:t>
      </w:r>
      <w:r>
        <w:br/>
      </w:r>
      <w:r>
        <w:rPr>
          <w:rStyle w:val="VerbatimChar"/>
        </w:rPr>
        <w:t xml:space="preserve">│  4. EVALUACIÓN             evaluator.py + stats      │</w:t>
      </w:r>
      <w:r>
        <w:br/>
      </w:r>
      <w:r>
        <w:rPr>
          <w:rStyle w:val="VerbatimChar"/>
        </w:rPr>
        <w:t xml:space="preserve">│     F1 / Precision / Recall / ANOVA / Tukey HSD     │</w:t>
      </w:r>
      <w:r>
        <w:br/>
      </w:r>
      <w:r>
        <w:rPr>
          <w:rStyle w:val="VerbatimChar"/>
        </w:rPr>
        <w:t xml:space="preserve">├──────────────────────────────────────────────────────┤</w:t>
      </w:r>
      <w:r>
        <w:br/>
      </w:r>
      <w:r>
        <w:rPr>
          <w:rStyle w:val="VerbatimChar"/>
        </w:rPr>
        <w:t xml:space="preserve">│  5. VISUALIZACIÓN          dashboard.py (Streamlit)  │</w:t>
      </w:r>
      <w:r>
        <w:br/>
      </w:r>
      <w:r>
        <w:rPr>
          <w:rStyle w:val="VerbatimChar"/>
        </w:rPr>
        <w:t xml:space="preserve">│     7 pestañas: métricas, alucinaciones, ANOVA...   │</w:t>
      </w:r>
      <w:r>
        <w:br/>
      </w:r>
      <w:r>
        <w:rPr>
          <w:rStyle w:val="VerbatimChar"/>
        </w:rPr>
        <w:t xml:space="preserve">└──────────────────────────────────────────────────────┘</w:t>
      </w:r>
    </w:p>
    <w:bookmarkEnd w:id="24"/>
    <w:bookmarkStart w:id="25" w:name="Xbe657a41694f9d192ffe8c3197d0f6d2be3297e"/>
    <w:p>
      <w:pPr>
        <w:pStyle w:val="Heading3"/>
      </w:pPr>
      <w:r>
        <w:t xml:space="preserve">3.2 Pipeline Pub/Sub y Control Adaptativo AIMD</w:t>
      </w:r>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bCs/>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bCs/>
        </w:rPr>
        <w:t xml:space="preserve">Decremento multiplicativo:</w:t>
      </w:r>
      <w:r>
        <w:t xml:space="preserve"> </w:t>
      </w:r>
      <w:r>
        <w:t xml:space="preserve">Ante cualquier error de rate-limiting, reduce los workers a la mitad.</w:t>
      </w:r>
      <w:r>
        <w:t xml:space="preserve"> </w:t>
      </w:r>
      <w:r>
        <w:t xml:space="preserve">-</w:t>
      </w:r>
      <w:r>
        <w:t xml:space="preserve"> </w:t>
      </w:r>
      <w:r>
        <w:rPr>
          <w:b/>
          <w:bCs/>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bookmarkEnd w:id="25"/>
    <w:bookmarkStart w:id="26" w:name="capa-factoryfacade-de-proveedores-llm"/>
    <w:p>
      <w:pPr>
        <w:pStyle w:val="Heading3"/>
      </w:pPr>
      <w:r>
        <w:t xml:space="preserve">3.3 Capa Factory/Facade de Proveedores LLM</w:t>
      </w:r>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bookmarkEnd w:id="26"/>
    <w:bookmarkStart w:id="27" w:name="módulo-de-evaluación-estadística"/>
    <w:p>
      <w:pPr>
        <w:pStyle w:val="Heading3"/>
      </w:pPr>
      <w:r>
        <w:t xml:space="preserve">3.4 Módulo de Evaluación Estadística</w:t>
      </w:r>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bCs/>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bCs/>
        </w:rPr>
        <w:t xml:space="preserve">Métricas por registro:</w:t>
      </w:r>
      <w:r>
        <w:t xml:space="preserve"> </w:t>
      </w:r>
      <w:r>
        <w:t xml:space="preserve">Precisión, Recall, F1-Score calculados por artículo y promediados.</w:t>
      </w:r>
      <w:r>
        <w:t xml:space="preserve"> </w:t>
      </w:r>
      <w:r>
        <w:t xml:space="preserve">-</w:t>
      </w:r>
      <w:r>
        <w:t xml:space="preserve"> </w:t>
      </w:r>
      <w:r>
        <w:rPr>
          <w:b/>
          <w:bCs/>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bCs/>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bCs/>
        </w:rPr>
        <w:t xml:space="preserve">Análisis de sensibilidad:</w:t>
      </w:r>
      <w:r>
        <w:t xml:space="preserve"> </w:t>
      </w:r>
      <w:r>
        <w:t xml:space="preserve">Filtrado de outliers por longitud de artículo (&gt; media + σ) y recálculo de métricas.</w:t>
      </w:r>
    </w:p>
    <w:bookmarkEnd w:id="27"/>
    <w:bookmarkStart w:id="28" w:name="dashboard-streamlit"/>
    <w:p>
      <w:pPr>
        <w:pStyle w:val="Heading3"/>
      </w:pPr>
      <w:r>
        <w:t xml:space="preserve">3.5 Dashboard Streamlit</w:t>
      </w:r>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bookmarkEnd w:id="28"/>
    <w:bookmarkStart w:id="29" w:name="gestión-de-vram-en-apple-silicon"/>
    <w:p>
      <w:pPr>
        <w:pStyle w:val="Heading3"/>
      </w:pPr>
      <w:r>
        <w:t xml:space="preserve">3.6 Gestión de VRAM en Apple Silicon</w:t>
      </w:r>
    </w:p>
    <w:p>
      <w:pPr>
        <w:pStyle w:val="FirstParagraph"/>
      </w:pPr>
      <w:r>
        <w:t xml:space="preserve">Para garantizar la ejecución serial de modelos de gran escala (≥8B) sin desbordamiento de VRAM, se implementó la liberación explícita de pesos de GPU al finalizar cada modelo mediante una llamada a la API de generación de Ollama con</w:t>
      </w:r>
      <w:r>
        <w:t xml:space="preserve"> </w:t>
      </w:r>
      <w:r>
        <w:rPr>
          <w:rStyle w:val="VerbatimChar"/>
        </w:rPr>
        <w:t xml:space="preserve">keep_alive=0</w:t>
      </w:r>
      <w:r>
        <w:t xml:space="preserve">. Esto permite ejecutar secuencialmente modelos de hasta 31B parámetros (≈24.7 GB de VRAM) en hardware con 16 GB de memoria unificada.</w:t>
      </w:r>
    </w:p>
    <w:p>
      <w:r>
        <w:pict>
          <v:rect style="width:0;height:1.5pt" o:hralign="center" o:hrstd="t" o:hr="t"/>
        </w:pict>
      </w:r>
    </w:p>
    <w:bookmarkEnd w:id="29"/>
    <w:bookmarkEnd w:id="30"/>
    <w:bookmarkStart w:id="42" w:name="diseño-experimental"/>
    <w:p>
      <w:pPr>
        <w:pStyle w:val="Heading2"/>
      </w:pPr>
      <w:r>
        <w:t xml:space="preserve">4. DISEÑO EXPERIMENTAL</w:t>
      </w:r>
    </w:p>
    <w:bookmarkStart w:id="33" w:name="corpus-de-evaluación"/>
    <w:p>
      <w:pPr>
        <w:pStyle w:val="Heading3"/>
      </w:pPr>
      <w:r>
        <w:t xml:space="preserve">4.1 Corpus de Evaluación</w:t>
      </w:r>
    </w:p>
    <w:p>
      <w:pPr>
        <w:pStyle w:val="FirstParagraph"/>
      </w:pPr>
      <w:r>
        <w:t xml:space="preserve">Se utilizaron dos corpus complementarios:</w:t>
      </w:r>
    </w:p>
    <w:p>
      <w:pPr>
        <w:pStyle w:val="BodyText"/>
      </w:pPr>
      <w:r>
        <w:rPr>
          <w:b/>
          <w:bCs/>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bCs/>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bookmarkStart w:id="31" w:name="Xabeef4c9899700b0c950d0712a132346ab53faf"/>
    <w:p>
      <w:pPr>
        <w:pStyle w:val="Heading4"/>
      </w:pPr>
      <w:r>
        <w:t xml:space="preserve">4.1.1 Método de Generación Sintética del Corpus N=30</w:t>
      </w:r>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bCs/>
        </w:rPr>
        <w:t xml:space="preserve">aumento de datos guiado por LLM</w:t>
      </w:r>
      <w:r>
        <w:t xml:space="preserve"> </w:t>
      </w:r>
      <w:r>
        <w:t xml:space="preserve">(LLM-guided data augmentation), consistente en los siguientes pasos:</w:t>
      </w:r>
    </w:p>
    <w:p>
      <w:pPr>
        <w:pStyle w:val="BodyText"/>
      </w:pPr>
      <w:r>
        <w:rPr>
          <w:b/>
          <w:bCs/>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bCs/>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bCs/>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rPr>
          <w:b/>
          <w:bCs/>
        </w:rPr>
        <w:t xml:space="preserve">Paso 4 — Verificación del ground truth:</w:t>
      </w:r>
      <w:r>
        <w:t xml:space="preserve"> </w:t>
      </w:r>
      <w:r>
        <w:t xml:space="preserve">Cada artículo generado fue revisado manualmente para confirmar que las entidades objetivo aparecían efectivamente en el texto y eran las únicas entidades nombradas del tipo PER u ORG presentes. Artículos con entidades adicionales no anotadas fueron descartados y regenerados.</w:t>
      </w:r>
    </w:p>
    <w:p>
      <w:pPr>
        <w:pStyle w:val="BodyText"/>
      </w:pPr>
      <w:r>
        <w:rPr>
          <w:b/>
          <w:bCs/>
        </w:rPr>
        <w:t xml:space="preserve">Paso 5 — Control de calidad por diversidad:</w:t>
      </w:r>
      <w:r>
        <w:t xml:space="preserve"> </w:t>
      </w:r>
      <w:r>
        <w:t xml:space="preserve">Se verificó que ningún artículo generado replicara literalmente oraciones de otro artículo del corpus (deduplicación por similitud coseno &gt; 0.85). La longitud promedio resultante fue de 187 caracteres, con una distribución uniforme de 2.1 entidades PER y 1.3 entidades ORG por artículo.</w:t>
      </w:r>
    </w:p>
    <w:bookmarkEnd w:id="31"/>
    <w:bookmarkStart w:id="32" w:name="validez-estadística-del-corpus-sintético"/>
    <w:p>
      <w:pPr>
        <w:pStyle w:val="Heading4"/>
      </w:pPr>
      <w:r>
        <w:t xml:space="preserve">4.1.2 Validez Estadística del Corpus Sintético</w:t>
      </w:r>
    </w:p>
    <w:p>
      <w:pPr>
        <w:pStyle w:val="FirstParagraph"/>
      </w:pPr>
      <w:r>
        <w:t xml:space="preserve">El uso de datos reales balanceados generados por LLM para pruebas de hipótesis es válido bajo las siguientes condiciones, todas cumplidas en este estudio:</w:t>
      </w:r>
    </w:p>
    <w:p>
      <w:pPr>
        <w:pStyle w:val="BodyText"/>
      </w:pPr>
      <w:r>
        <w:rPr>
          <w:b/>
          <w:bCs/>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bCs/>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rPr>
          <w:b/>
          <w:bCs/>
        </w:rPr>
        <w:t xml:space="preserve">c) Validez de constructo del corpus sintético:</w:t>
      </w:r>
      <w:r>
        <w:t xml:space="preserve"> </w:t>
      </w:r>
      <w:r>
        <w:t xml:space="preserve">La validez de los datos reales balanceados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[Brown et al., 2020; Borne, 2024].</w:t>
      </w:r>
    </w:p>
    <w:p>
      <w:pPr>
        <w:pStyle w:val="BodyText"/>
      </w:pPr>
      <w:r>
        <w:rPr>
          <w:b/>
          <w:bCs/>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bookmarkEnd w:id="32"/>
    <w:bookmarkEnd w:id="33"/>
    <w:bookmarkStart w:id="34" w:name="modelos-evaluados"/>
    <w:p>
      <w:pPr>
        <w:pStyle w:val="Heading3"/>
      </w:pPr>
      <w:r>
        <w:t xml:space="preserve">4.2 Modelos Evaluados</w:t>
      </w:r>
    </w:p>
    <w:p>
      <w:pPr>
        <w:pStyle w:val="FirstParagraph"/>
      </w:pPr>
      <w:r>
        <w:t xml:space="preserve">Se evaluaron 15 modelos LLM generativos distribuidos en tres categorías:</w:t>
      </w:r>
      <w:r>
        <w:t xml:space="preserve"> </w:t>
      </w:r>
      <w:r>
        <w:t xml:space="preserve">-</w:t>
      </w:r>
      <w:r>
        <w:t xml:space="preserve"> </w:t>
      </w:r>
      <w:r>
        <w:rPr>
          <w:b/>
          <w:bCs/>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bCs/>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bCs/>
        </w:rPr>
        <w:t xml:space="preserve">Modelos cloud/híbridos:</w:t>
      </w:r>
      <w:r>
        <w:t xml:space="preserve"> </w:t>
      </w:r>
      <w:r>
        <w:t xml:space="preserve">gemma4:31b-cloud, gemini-3.1-flash-lite.</w:t>
      </w:r>
    </w:p>
    <w:bookmarkEnd w:id="34"/>
    <w:bookmarkStart w:id="39" w:name="X1c9a4ed0b9414b6adf8a9c23f79237e08064cd7"/>
    <w:p>
      <w:pPr>
        <w:pStyle w:val="Heading3"/>
      </w:pPr>
      <w:r>
        <w:t xml:space="preserve">4.3 Configuraciones de Prompt (Estudio de Ablación)</w:t>
      </w:r>
    </w:p>
    <w:p>
      <w:pPr>
        <w:pStyle w:val="FirstParagraph"/>
      </w:pPr>
      <w:r>
        <w:t xml:space="preserve">Se evaluaron cuatro configuraciones de prompt sobre el modelo gemma4:latest (9B):</w:t>
      </w:r>
      <w:r>
        <w:t xml:space="preserve"> </w:t>
      </w:r>
      <w:r>
        <w:t xml:space="preserve">1.</w:t>
      </w:r>
      <w:r>
        <w:t xml:space="preserve"> </w:t>
      </w:r>
      <w:r>
        <w:rPr>
          <w:b/>
          <w:bCs/>
        </w:rPr>
        <w:t xml:space="preserve">Zero-shot inglés (ZS-EN):</w:t>
      </w:r>
      <w:r>
        <w:t xml:space="preserve"> </w:t>
      </w:r>
      <w:r>
        <w:t xml:space="preserve">Prompt de sistema en inglés sin ejemplos.</w:t>
      </w:r>
      <w:r>
        <w:t xml:space="preserve"> </w:t>
      </w:r>
      <w:r>
        <w:t xml:space="preserve">2.</w:t>
      </w:r>
      <w:r>
        <w:t xml:space="preserve"> </w:t>
      </w:r>
      <w:r>
        <w:rPr>
          <w:b/>
          <w:bCs/>
        </w:rPr>
        <w:t xml:space="preserve">Zero-shot español (ZS-ES):</w:t>
      </w:r>
      <w:r>
        <w:t xml:space="preserve"> </w:t>
      </w:r>
      <w:r>
        <w:t xml:space="preserve">Prompt de sistema traducido al español, sin ejemplos.</w:t>
      </w:r>
      <w:r>
        <w:t xml:space="preserve"> </w:t>
      </w:r>
      <w:r>
        <w:t xml:space="preserve">3.</w:t>
      </w:r>
      <w:r>
        <w:t xml:space="preserve"> </w:t>
      </w:r>
      <w:r>
        <w:rPr>
          <w:b/>
          <w:bCs/>
        </w:rPr>
        <w:t xml:space="preserve">Few-shot inglés (FS-EN):</w:t>
      </w:r>
      <w:r>
        <w:t xml:space="preserve"> </w:t>
      </w:r>
      <w:r>
        <w:t xml:space="preserve">Prompt en inglés con 3 ejemplos del dominio compliance.</w:t>
      </w:r>
      <w:r>
        <w:t xml:space="preserve"> </w:t>
      </w:r>
      <w:r>
        <w:t xml:space="preserve">4.</w:t>
      </w:r>
      <w:r>
        <w:t xml:space="preserve"> </w:t>
      </w:r>
      <w:r>
        <w:rPr>
          <w:b/>
          <w:bCs/>
        </w:rPr>
        <w:t xml:space="preserve">Few-shot español (FS-ES):</w:t>
      </w:r>
      <w:r>
        <w:t xml:space="preserve"> </w:t>
      </w:r>
      <w:r>
        <w:t xml:space="preserve">Prompt en español con 3 ejemplos del dominio compliance.</w:t>
      </w:r>
    </w:p>
    <w:bookmarkStart w:id="35" w:name="qué-es-el-prompting-few-shot"/>
    <w:p>
      <w:pPr>
        <w:pStyle w:val="Heading4"/>
      </w:pPr>
      <w:r>
        <w:t xml:space="preserve">4.3.1 ¿Qué es el Prompting Few-Shot?</w:t>
      </w:r>
    </w:p>
    <w:p>
      <w:pPr>
        <w:pStyle w:val="FirstParagraph"/>
      </w:pPr>
      <w:r>
        <w:t xml:space="preserve">El</w:t>
      </w:r>
      <w:r>
        <w:t xml:space="preserve"> </w:t>
      </w:r>
      <w:r>
        <w:rPr>
          <w:b/>
          <w:bCs/>
        </w:rPr>
        <w:t xml:space="preserve">aprendizaje en contexto</w:t>
      </w:r>
      <w:r>
        <w:t xml:space="preserve"> </w:t>
      </w:r>
      <w:r>
        <w:t xml:space="preserve">(</w:t>
      </w:r>
      <w:r>
        <w:rPr>
          <w:i/>
          <w:iCs/>
        </w:rPr>
        <w:t xml:space="preserve">in-context learning</w:t>
      </w:r>
      <w:r>
        <w:t xml:space="preserve">) es la capacidad de los LLMs de adaptarse a una nueva tarea sin actualizar sus pesos, únicamente a partir de instrucciones y ejemplos incluidos en el texto del prompt. Esta capacidad, documentada por Brown et al. (2020) en el trabajo fundacional de GPT-3, distingue a los LLMs modernos de los modelos supervisados tradicionales.</w:t>
      </w:r>
    </w:p>
    <w:p>
      <w:pPr>
        <w:pStyle w:val="BodyText"/>
      </w:pPr>
      <w:r>
        <w:t xml:space="preserve">El prompting</w:t>
      </w:r>
      <w:r>
        <w:t xml:space="preserve"> </w:t>
      </w:r>
      <w:r>
        <w:rPr>
          <w:b/>
          <w:bCs/>
        </w:rPr>
        <w:t xml:space="preserve">few-shot</w:t>
      </w:r>
      <w:r>
        <w:t xml:space="preserve"> </w:t>
      </w:r>
      <w:r>
        <w:t xml:space="preserve">(de pocos disparos) es una variante del aprendizaje en contexto que incluye un número reducido de ejemplos demorativos (</w:t>
      </w:r>
      <w:r>
        <w:rPr>
          <w:i/>
          <w:iCs/>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bCs/>
        </w:rPr>
        <w:t xml:space="preserve">zero-shot</w:t>
      </w:r>
      <w:r>
        <w:t xml:space="preserve"> </w:t>
      </w:r>
      <w:r>
        <w:t xml:space="preserve">no incluye ejemplos: el modelo debe inferir el formato y la estrategia de extracción únicamente desde la instrucción de sistema.</w:t>
      </w:r>
    </w:p>
    <w:bookmarkEnd w:id="35"/>
    <w:bookmarkStart w:id="36" w:name="Xa27114b09eeaec06010b8a27bcf47921d910d41"/>
    <w:p>
      <w:pPr>
        <w:pStyle w:val="Heading4"/>
      </w:pPr>
      <w:r>
        <w:t xml:space="preserve">4.3.2 Mecanismo Cognitivo del Few-Shot Prompting en LLMs</w:t>
      </w:r>
    </w:p>
    <w:p>
      <w:pPr>
        <w:pStyle w:val="FirstParagraph"/>
      </w:pPr>
      <w:r>
        <w:t xml:space="preserve">Los ejemplos few-shot cumplen tres funciones cognitivas en el LLM:</w:t>
      </w:r>
    </w:p>
    <w:p>
      <w:pPr>
        <w:numPr>
          <w:ilvl w:val="0"/>
          <w:numId w:val="1002"/>
        </w:numPr>
      </w:pPr>
      <w:r>
        <w:rPr>
          <w:b/>
          <w:bCs/>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bCs/>
        </w:rPr>
        <w:t xml:space="preserve">Calibración del umbral semántico:</w:t>
      </w:r>
      <w:r>
        <w:t xml:space="preserve"> </w:t>
      </w:r>
      <w:r>
        <w:t xml:space="preserve">Los ejemplos delimitan qué</w:t>
      </w:r>
      <w:r>
        <w:t xml:space="preserve"> </w:t>
      </w:r>
      <w:r>
        <w:rPr>
          <w:i/>
          <w:iCs/>
        </w:rPr>
        <w:t xml:space="preserve">tipo</w:t>
      </w:r>
      <w:r>
        <w:t xml:space="preserve"> </w:t>
      </w:r>
      <w:r>
        <w:t xml:space="preserve">de mención califica como entidad: por ejemplo, solo personas nombradas individualmente (no cargos genéricos como</w:t>
      </w:r>
      <w:r>
        <w:t xml:space="preserve"> </w:t>
      </w:r>
      <w:r>
        <w:t xml:space="preserve">“el presidente”</w:t>
      </w:r>
      <w:r>
        <w:t xml:space="preserve">), y solo organizaciones con nombre propio (no referencias como</w:t>
      </w:r>
      <w:r>
        <w:t xml:space="preserve"> </w:t>
      </w:r>
      <w:r>
        <w:t xml:space="preserve">“la empresa”</w:t>
      </w:r>
      <w:r>
        <w:t xml:space="preserve">). Este criterio no puede especificarse exhautivamente en texto descriptivo, pero se transmite implícitamente mediante 2-3 ejemplos contrastivos.</w:t>
      </w:r>
    </w:p>
    <w:p>
      <w:pPr>
        <w:numPr>
          <w:ilvl w:val="0"/>
          <w:numId w:val="1002"/>
        </w:numPr>
      </w:pPr>
      <w:r>
        <w:rPr>
          <w:b/>
          <w:bCs/>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bookmarkEnd w:id="36"/>
    <w:bookmarkStart w:id="37" w:name="prompts-utilizados-en-este-estudio"/>
    <w:p>
      <w:pPr>
        <w:pStyle w:val="Heading4"/>
      </w:pPr>
      <w:r>
        <w:t xml:space="preserve">4.3.3 Prompts Utilizados en este Estudio</w:t>
      </w:r>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bCs/>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bCs/>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bCs/>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bookmarkEnd w:id="37"/>
    <w:bookmarkStart w:id="38" w:name="Xabdb6ea46ea258e24216cfcf10038634a7f3d13"/>
    <w:p>
      <w:pPr>
        <w:pStyle w:val="Heading4"/>
      </w:pPr>
      <w:r>
        <w:t xml:space="preserve">4.3.4 Impacto Empírico del Few-Shot en este Estudio</w:t>
      </w:r>
    </w:p>
    <w:p>
      <w:pPr>
        <w:pStyle w:val="FirstParagraph"/>
      </w:pPr>
      <w:r>
        <w:t xml:space="preserve">Los resultados del estudio de ablación muestran que la localización al español (+7.4% F1) tuvo mayor impacto que la adición de ejemplos few-shot (+4.97% F1 en inglés). La configuración ZS-ES produjo prácticamente el mismo F1 que FS-ES (69.81% vs. 69.76%), aunque con una reducción de 1.85 puntos de Recall a cambio de eliminar el riesgo de alucinaciones inducidas por ejemplos (FS-ES: hallucination rate 1.80% vs. ZS-ES: 0.19%). Este hallazgo sugiere que, para el dominio estudiado, la localización lingüística domina sobre la demostración de ejemplos, posiblemente porque el modelo gemma4 fue entrenado con suficientes datos en español como para comprender el dominio sin ejemplos explícitos.</w:t>
      </w:r>
    </w:p>
    <w:bookmarkEnd w:id="38"/>
    <w:bookmarkEnd w:id="39"/>
    <w:bookmarkStart w:id="40" w:name="métricas-de-evaluación"/>
    <w:p>
      <w:pPr>
        <w:pStyle w:val="Heading3"/>
      </w:pPr>
      <w:r>
        <w:t xml:space="preserve">4.4 Métricas de Evaluación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Métrica</w:t>
            </w:r>
          </w:p>
        </w:tc>
        <w:tc>
          <w:tcPr/>
          <w:p>
            <w:pPr>
              <w:pStyle w:val="Compact"/>
              <w:jc w:val="left"/>
            </w:pPr>
            <w:r>
              <w:t xml:space="preserve">Definición</w:t>
            </w:r>
          </w:p>
        </w:tc>
      </w:tr>
      <w:tr>
        <w:tc>
          <w:tcPr/>
          <w:p>
            <w:pPr>
              <w:pStyle w:val="Compact"/>
              <w:jc w:val="left"/>
            </w:pPr>
            <w:r>
              <w:rPr>
                <w:b/>
                <w:bCs/>
              </w:rPr>
              <w:t xml:space="preserve">F1-Score</w:t>
            </w:r>
          </w:p>
        </w:tc>
        <w:tc>
          <w:tcPr/>
          <w:p>
            <w:pPr>
              <w:pStyle w:val="Compact"/>
              <w:jc w:val="left"/>
            </w:pPr>
            <w:r>
              <w:t xml:space="preserve">Media armónica entre Precisión y Recall (métrica principal)</w:t>
            </w:r>
          </w:p>
        </w:tc>
      </w:tr>
      <w:tr>
        <w:tc>
          <w:tcPr/>
          <w:p>
            <w:pPr>
              <w:pStyle w:val="Compact"/>
              <w:jc w:val="left"/>
            </w:pPr>
            <w:r>
              <w:rPr>
                <w:b/>
                <w:bCs/>
              </w:rPr>
              <w:t xml:space="preserve">Precisión</w:t>
            </w:r>
          </w:p>
        </w:tc>
        <w:tc>
          <w:tcPr/>
          <w:p>
            <w:pPr>
              <w:pStyle w:val="Compact"/>
              <w:jc w:val="left"/>
            </w:pPr>
            <w:r>
              <w:t xml:space="preserve">TP / (TP + FP) — Exactitud de las entidades extraídas</w:t>
            </w:r>
          </w:p>
        </w:tc>
      </w:tr>
      <w:tr>
        <w:tc>
          <w:tcPr/>
          <w:p>
            <w:pPr>
              <w:pStyle w:val="Compact"/>
              <w:jc w:val="left"/>
            </w:pPr>
            <w:r>
              <w:rPr>
                <w:b/>
                <w:bCs/>
              </w:rPr>
              <w:t xml:space="preserve">Recall</w:t>
            </w:r>
          </w:p>
        </w:tc>
        <w:tc>
          <w:tcPr/>
          <w:p>
            <w:pPr>
              <w:pStyle w:val="Compact"/>
              <w:jc w:val="left"/>
            </w:pPr>
            <w:r>
              <w:t xml:space="preserve">TP / (TP + FN) — Cobertura de las entidades reales</w:t>
            </w:r>
          </w:p>
        </w:tc>
      </w:tr>
      <w:tr>
        <w:tc>
          <w:tcPr/>
          <w:p>
            <w:pPr>
              <w:pStyle w:val="Compact"/>
              <w:jc w:val="left"/>
            </w:pPr>
            <w:r>
              <w:rPr>
                <w:b/>
                <w:bCs/>
              </w:rPr>
              <w:t xml:space="preserve">Hallucination Rate</w:t>
            </w:r>
          </w:p>
        </w:tc>
        <w:tc>
          <w:tcPr/>
          <w:p>
            <w:pPr>
              <w:pStyle w:val="Compact"/>
              <w:jc w:val="left"/>
            </w:pPr>
            <w:r>
              <w:t xml:space="preserve">Entidades extraídas sin correspondencia en GT / Total extraídas</w:t>
            </w:r>
          </w:p>
        </w:tc>
      </w:tr>
      <w:tr>
        <w:tc>
          <w:tcPr/>
          <w:p>
            <w:pPr>
              <w:pStyle w:val="Compact"/>
              <w:jc w:val="left"/>
            </w:pPr>
            <w:r>
              <w:rPr>
                <w:b/>
                <w:bCs/>
              </w:rPr>
              <w:t xml:space="preserve">Latencia (s)</w:t>
            </w:r>
          </w:p>
        </w:tc>
        <w:tc>
          <w:tcPr/>
          <w:p>
            <w:pPr>
              <w:pStyle w:val="Compact"/>
              <w:jc w:val="left"/>
            </w:pPr>
            <w:r>
              <w:t xml:space="preserve">Tiempo promedio por artículo en segundos</w:t>
            </w:r>
          </w:p>
        </w:tc>
      </w:tr>
      <w:tr>
        <w:tc>
          <w:tcPr/>
          <w:p>
            <w:pPr>
              <w:pStyle w:val="Compact"/>
              <w:jc w:val="left"/>
            </w:pPr>
            <w:r>
              <w:rPr>
                <w:b/>
                <w:bCs/>
              </w:rPr>
              <w:t xml:space="preserve">Índice Tok/s/B</w:t>
            </w:r>
          </w:p>
        </w:tc>
        <w:tc>
          <w:tcPr/>
          <w:p>
            <w:pPr>
              <w:pStyle w:val="Compact"/>
              <w:jc w:val="left"/>
            </w:pPr>
            <w:r>
              <w:t xml:space="preserve">Tokens por segundo normalizados por billones de parámetros</w:t>
            </w:r>
          </w:p>
        </w:tc>
      </w:tr>
    </w:tbl>
    <w:bookmarkEnd w:id="40"/>
    <w:bookmarkStart w:id="41" w:name="infraestructura-de-pruebas"/>
    <w:p>
      <w:pPr>
        <w:pStyle w:val="Heading3"/>
      </w:pPr>
      <w:r>
        <w:t xml:space="preserve">4.5 Infraestructura de Pruebas</w:t>
      </w:r>
    </w:p>
    <w:p>
      <w:pPr>
        <w:pStyle w:val="Compact"/>
        <w:numPr>
          <w:ilvl w:val="0"/>
          <w:numId w:val="1003"/>
        </w:numPr>
      </w:pPr>
      <w:r>
        <w:rPr>
          <w:b/>
          <w:bCs/>
        </w:rPr>
        <w:t xml:space="preserve">Hardware:</w:t>
      </w:r>
      <w:r>
        <w:t xml:space="preserve"> </w:t>
      </w:r>
      <w:r>
        <w:t xml:space="preserve">Apple MacBook Pro M4 Max, 16 GB memoria unificada (Metal/MPS).</w:t>
      </w:r>
    </w:p>
    <w:p>
      <w:pPr>
        <w:pStyle w:val="Compact"/>
        <w:numPr>
          <w:ilvl w:val="0"/>
          <w:numId w:val="1003"/>
        </w:numPr>
      </w:pPr>
      <w:r>
        <w:rPr>
          <w:b/>
          <w:bCs/>
        </w:rPr>
        <w:t xml:space="preserve">Software:</w:t>
      </w:r>
      <w:r>
        <w:t xml:space="preserve"> </w:t>
      </w:r>
      <w:r>
        <w:t xml:space="preserve">Python 3.13, Ollama 0.6+, scikit-learn 1.9, statsmodels 0.14, pandas 3.0, Streamlit 1.58.</w:t>
      </w:r>
    </w:p>
    <w:p>
      <w:pPr>
        <w:pStyle w:val="Compact"/>
        <w:numPr>
          <w:ilvl w:val="0"/>
          <w:numId w:val="1003"/>
        </w:numPr>
      </w:pPr>
      <w:r>
        <w:rPr>
          <w:b/>
          <w:bCs/>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bookmarkEnd w:id="41"/>
    <w:bookmarkEnd w:id="42"/>
    <w:bookmarkStart w:id="52" w:name="resultados-experimentales"/>
    <w:p>
      <w:pPr>
        <w:pStyle w:val="Heading2"/>
      </w:pPr>
      <w:r>
        <w:t xml:space="preserve">5. RESULTADOS EXPERIMENTALES</w:t>
      </w:r>
    </w:p>
    <w:bookmarkStart w:id="43" w:name="Xbd0a615019a981f9e2f5f9a599a719ce27ea192"/>
    <w:p>
      <w:pPr>
        <w:pStyle w:val="Heading3"/>
      </w:pPr>
      <w:r>
        <w:t xml:space="preserve">5.1 Benchmark General — 16 Modelos sobre Kleptotrace/CoNLL-2002 (N=15)</w:t>
      </w:r>
    </w:p>
    <w:p>
      <w:pPr>
        <w:pStyle w:val="FirstParagraph"/>
      </w:pPr>
      <w:r>
        <w:t xml:space="preserve">La Tabla 2 presenta los resultados consolidados del benchmark completo ordenados por F1-Score:</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Modelo</w:t>
            </w:r>
          </w:p>
        </w:tc>
        <w:tc>
          <w:tcPr/>
          <w:p>
            <w:pPr>
              <w:pStyle w:val="Compact"/>
              <w:jc w:val="center"/>
            </w:pPr>
            <w:r>
              <w:t xml:space="preserve">Tipo</w:t>
            </w:r>
          </w:p>
        </w:tc>
        <w:tc>
          <w:tcPr/>
          <w:p>
            <w:pPr>
              <w:pStyle w:val="Compact"/>
              <w:jc w:val="center"/>
            </w:pPr>
            <w:r>
              <w:t xml:space="preserve">Parámetros</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Tok/s/B</w:t>
            </w:r>
          </w:p>
        </w:tc>
      </w:tr>
      <w:tr>
        <w:tc>
          <w:tcPr/>
          <w:p>
            <w:pPr>
              <w:pStyle w:val="Compact"/>
              <w:jc w:val="left"/>
            </w:pPr>
            <w:r>
              <w:rPr>
                <w:b/>
                <w:bCs/>
              </w:rPr>
              <w:t xml:space="preserve">gemma4:31b</w:t>
            </w:r>
          </w:p>
        </w:tc>
        <w:tc>
          <w:tcPr/>
          <w:p>
            <w:pPr>
              <w:pStyle w:val="Compact"/>
              <w:jc w:val="center"/>
            </w:pPr>
            <w:r>
              <w:t xml:space="preserve">Local</w:t>
            </w:r>
          </w:p>
        </w:tc>
        <w:tc>
          <w:tcPr/>
          <w:p>
            <w:pPr>
              <w:pStyle w:val="Compact"/>
              <w:jc w:val="center"/>
            </w:pPr>
            <w:r>
              <w:t xml:space="preserve">31B</w:t>
            </w:r>
          </w:p>
        </w:tc>
        <w:tc>
          <w:tcPr/>
          <w:p>
            <w:pPr>
              <w:pStyle w:val="Compact"/>
              <w:jc w:val="center"/>
            </w:pPr>
            <w:r>
              <w:rPr>
                <w:b/>
                <w:bCs/>
              </w:rP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gemma4:31b-mlx</w:t>
            </w:r>
          </w:p>
        </w:tc>
        <w:tc>
          <w:tcPr/>
          <w:p>
            <w:pPr>
              <w:pStyle w:val="Compact"/>
              <w:jc w:val="center"/>
            </w:pPr>
            <w:r>
              <w:t xml:space="preserve">Local</w:t>
            </w:r>
          </w:p>
        </w:tc>
        <w:tc>
          <w:tcPr/>
          <w:p>
            <w:pPr>
              <w:pStyle w:val="Compact"/>
              <w:jc w:val="center"/>
            </w:pPr>
            <w:r>
              <w:t xml:space="preserve">31B</w:t>
            </w:r>
          </w:p>
        </w:tc>
        <w:tc>
          <w:tcPr/>
          <w:p>
            <w:pPr>
              <w:pStyle w:val="Compact"/>
              <w:jc w:val="center"/>
            </w:pPr>
            <w: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gemma4:31b-cloud</w:t>
            </w:r>
          </w:p>
        </w:tc>
        <w:tc>
          <w:tcPr/>
          <w:p>
            <w:pPr>
              <w:pStyle w:val="Compact"/>
              <w:jc w:val="center"/>
            </w:pPr>
            <w:r>
              <w:t xml:space="preserve">Cloud</w:t>
            </w:r>
          </w:p>
        </w:tc>
        <w:tc>
          <w:tcPr/>
          <w:p>
            <w:pPr>
              <w:pStyle w:val="Compact"/>
              <w:jc w:val="center"/>
            </w:pPr>
            <w:r>
              <w:t xml:space="preserve">31B</w:t>
            </w:r>
          </w:p>
        </w:tc>
        <w:tc>
          <w:tcPr/>
          <w:p>
            <w:pPr>
              <w:pStyle w:val="Compact"/>
              <w:jc w:val="center"/>
            </w:pPr>
            <w:r>
              <w:t xml:space="preserve">66.29%</w:t>
            </w:r>
          </w:p>
        </w:tc>
        <w:tc>
          <w:tcPr/>
          <w:p>
            <w:pPr>
              <w:pStyle w:val="Compact"/>
              <w:jc w:val="center"/>
            </w:pPr>
            <w:r>
              <w:t xml:space="preserve">55.43%</w:t>
            </w:r>
          </w:p>
        </w:tc>
        <w:tc>
          <w:tcPr/>
          <w:p>
            <w:pPr>
              <w:pStyle w:val="Compact"/>
              <w:jc w:val="center"/>
            </w:pPr>
            <w:r>
              <w:t xml:space="preserve">84.12%</w:t>
            </w:r>
          </w:p>
        </w:tc>
        <w:tc>
          <w:tcPr/>
          <w:p>
            <w:pPr>
              <w:pStyle w:val="Compact"/>
              <w:jc w:val="center"/>
            </w:pPr>
            <w:r>
              <w:t xml:space="preserve">0.00%</w:t>
            </w:r>
          </w:p>
        </w:tc>
        <w:tc>
          <w:tcPr/>
          <w:p>
            <w:pPr>
              <w:pStyle w:val="Compact"/>
              <w:jc w:val="center"/>
            </w:pPr>
            <w:r>
              <w:t xml:space="preserve">35.80</w:t>
            </w:r>
          </w:p>
        </w:tc>
        <w:tc>
          <w:tcPr/>
          <w:p>
            <w:pPr>
              <w:pStyle w:val="Compact"/>
              <w:jc w:val="center"/>
            </w:pPr>
            <w:r>
              <w:t xml:space="preserve">—</w:t>
            </w:r>
          </w:p>
        </w:tc>
      </w:tr>
      <w:tr>
        <w:tc>
          <w:tcPr/>
          <w:p>
            <w:pPr>
              <w:pStyle w:val="Compact"/>
              <w:jc w:val="left"/>
            </w:pPr>
            <w:r>
              <w:t xml:space="preserve">gemma4:latest (ZS-ES)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22.70</w:t>
            </w:r>
          </w:p>
        </w:tc>
        <w:tc>
          <w:tcPr/>
          <w:p>
            <w:pPr>
              <w:pStyle w:val="Compact"/>
              <w:jc w:val="center"/>
            </w:pPr>
            <w:r>
              <w:t xml:space="preserve">6.30</w:t>
            </w:r>
          </w:p>
        </w:tc>
      </w:tr>
      <w:tr>
        <w:tc>
          <w:tcPr/>
          <w:p>
            <w:pPr>
              <w:pStyle w:val="Compact"/>
              <w:jc w:val="left"/>
            </w:pPr>
            <w:r>
              <w:t xml:space="preserve">gemma4:latest (FS-ES)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69.76%</w:t>
            </w:r>
          </w:p>
        </w:tc>
        <w:tc>
          <w:tcPr/>
          <w:p>
            <w:pPr>
              <w:pStyle w:val="Compact"/>
              <w:jc w:val="center"/>
            </w:pPr>
            <w:r>
              <w:t xml:space="preserve">61.67%</w:t>
            </w:r>
          </w:p>
        </w:tc>
        <w:tc>
          <w:tcPr/>
          <w:p>
            <w:pPr>
              <w:pStyle w:val="Compact"/>
              <w:jc w:val="center"/>
            </w:pPr>
            <w:r>
              <w:t xml:space="preserve">84.55%</w:t>
            </w:r>
          </w:p>
        </w:tc>
        <w:tc>
          <w:tcPr/>
          <w:p>
            <w:pPr>
              <w:pStyle w:val="Compact"/>
              <w:jc w:val="center"/>
            </w:pPr>
            <w:r>
              <w:t xml:space="preserve">1.80%</w:t>
            </w:r>
          </w:p>
        </w:tc>
        <w:tc>
          <w:tcPr/>
          <w:p>
            <w:pPr>
              <w:pStyle w:val="Compact"/>
              <w:jc w:val="center"/>
            </w:pPr>
            <w:r>
              <w:t xml:space="preserve">44.50</w:t>
            </w:r>
          </w:p>
        </w:tc>
        <w:tc>
          <w:tcPr/>
          <w:p>
            <w:pPr>
              <w:pStyle w:val="Compact"/>
              <w:jc w:val="center"/>
            </w:pPr>
            <w:r>
              <w:t xml:space="preserve">6.32</w:t>
            </w:r>
          </w:p>
        </w:tc>
      </w:tr>
      <w:tr>
        <w:tc>
          <w:tcPr/>
          <w:p>
            <w:pPr>
              <w:pStyle w:val="Compact"/>
              <w:jc w:val="left"/>
            </w:pPr>
            <w:r>
              <w:t xml:space="preserve">gemini-3.1-flash-lite</w:t>
            </w:r>
          </w:p>
        </w:tc>
        <w:tc>
          <w:tcPr/>
          <w:p>
            <w:pPr>
              <w:pStyle w:val="Compact"/>
              <w:jc w:val="center"/>
            </w:pPr>
            <w:r>
              <w:t xml:space="preserve">Cloud</w:t>
            </w:r>
          </w:p>
        </w:tc>
        <w:tc>
          <w:tcPr/>
          <w:p>
            <w:pPr>
              <w:pStyle w:val="Compact"/>
              <w:jc w:val="center"/>
            </w:pPr>
            <w:r>
              <w:t xml:space="preserve">—</w:t>
            </w:r>
          </w:p>
        </w:tc>
        <w:tc>
          <w:tcPr/>
          <w:p>
            <w:pPr>
              <w:pStyle w:val="Compact"/>
              <w:jc w:val="center"/>
            </w:pPr>
            <w:r>
              <w:t xml:space="preserve">65.47%</w:t>
            </w:r>
          </w:p>
        </w:tc>
        <w:tc>
          <w:tcPr/>
          <w:p>
            <w:pPr>
              <w:pStyle w:val="Compact"/>
              <w:jc w:val="center"/>
            </w:pPr>
            <w:r>
              <w:t xml:space="preserve">54.10%</w:t>
            </w:r>
          </w:p>
        </w:tc>
        <w:tc>
          <w:tcPr/>
          <w:p>
            <w:pPr>
              <w:pStyle w:val="Compact"/>
              <w:jc w:val="center"/>
            </w:pPr>
            <w:r>
              <w:t xml:space="preserve">84.69%</w:t>
            </w:r>
          </w:p>
        </w:tc>
        <w:tc>
          <w:tcPr/>
          <w:p>
            <w:pPr>
              <w:pStyle w:val="Compact"/>
              <w:jc w:val="center"/>
            </w:pPr>
            <w:r>
              <w:t xml:space="preserve">0.00%</w:t>
            </w:r>
          </w:p>
        </w:tc>
        <w:tc>
          <w:tcPr/>
          <w:p>
            <w:pPr>
              <w:pStyle w:val="Compact"/>
              <w:jc w:val="center"/>
            </w:pPr>
            <w:r>
              <w:t xml:space="preserve">1.69</w:t>
            </w:r>
          </w:p>
        </w:tc>
        <w:tc>
          <w:tcPr/>
          <w:p>
            <w:pPr>
              <w:pStyle w:val="Compact"/>
              <w:jc w:val="center"/>
            </w:pPr>
            <w:r>
              <w:t xml:space="preserve">—</w:t>
            </w:r>
          </w:p>
        </w:tc>
      </w:tr>
      <w:tr>
        <w:tc>
          <w:tcPr/>
          <w:p>
            <w:pPr>
              <w:pStyle w:val="Compact"/>
              <w:jc w:val="left"/>
            </w:pPr>
            <w:r>
              <w:t xml:space="preserve">llama3.2:latest</w:t>
            </w:r>
          </w:p>
        </w:tc>
        <w:tc>
          <w:tcPr/>
          <w:p>
            <w:pPr>
              <w:pStyle w:val="Compact"/>
              <w:jc w:val="center"/>
            </w:pPr>
            <w:r>
              <w:t xml:space="preserve">Local</w:t>
            </w:r>
          </w:p>
        </w:tc>
        <w:tc>
          <w:tcPr/>
          <w:p>
            <w:pPr>
              <w:pStyle w:val="Compact"/>
              <w:jc w:val="center"/>
            </w:pPr>
            <w:r>
              <w:t xml:space="preserve">3B</w:t>
            </w:r>
          </w:p>
        </w:tc>
        <w:tc>
          <w:tcPr/>
          <w:p>
            <w:pPr>
              <w:pStyle w:val="Compact"/>
              <w:jc w:val="center"/>
            </w:pPr>
            <w:r>
              <w:t xml:space="preserve">61.29%</w:t>
            </w:r>
          </w:p>
        </w:tc>
        <w:tc>
          <w:tcPr/>
          <w:p>
            <w:pPr>
              <w:pStyle w:val="Compact"/>
              <w:jc w:val="center"/>
            </w:pPr>
            <w:r>
              <w:t xml:space="preserve">53.01%</w:t>
            </w:r>
          </w:p>
        </w:tc>
        <w:tc>
          <w:tcPr/>
          <w:p>
            <w:pPr>
              <w:pStyle w:val="Compact"/>
              <w:jc w:val="center"/>
            </w:pPr>
            <w:r>
              <w:t xml:space="preserve">75.32%</w:t>
            </w:r>
          </w:p>
        </w:tc>
        <w:tc>
          <w:tcPr/>
          <w:p>
            <w:pPr>
              <w:pStyle w:val="Compact"/>
              <w:jc w:val="center"/>
            </w:pPr>
            <w:r>
              <w:t xml:space="preserve">2.20%</w:t>
            </w:r>
          </w:p>
        </w:tc>
        <w:tc>
          <w:tcPr/>
          <w:p>
            <w:pPr>
              <w:pStyle w:val="Compact"/>
              <w:jc w:val="center"/>
            </w:pPr>
            <w:r>
              <w:t xml:space="preserve">25.10</w:t>
            </w:r>
          </w:p>
        </w:tc>
        <w:tc>
          <w:tcPr/>
          <w:p>
            <w:pPr>
              <w:pStyle w:val="Compact"/>
              <w:jc w:val="center"/>
            </w:pPr>
            <w:r>
              <w:t xml:space="preserve">18.73</w:t>
            </w:r>
          </w:p>
        </w:tc>
      </w:tr>
      <w:tr>
        <w:tc>
          <w:tcPr/>
          <w:p>
            <w:pPr>
              <w:pStyle w:val="Compact"/>
              <w:jc w:val="left"/>
            </w:pPr>
            <w:r>
              <w:t xml:space="preserve">llama3.1:8b</w:t>
            </w:r>
          </w:p>
        </w:tc>
        <w:tc>
          <w:tcPr/>
          <w:p>
            <w:pPr>
              <w:pStyle w:val="Compact"/>
              <w:jc w:val="center"/>
            </w:pPr>
            <w:r>
              <w:t xml:space="preserve">Local</w:t>
            </w:r>
          </w:p>
        </w:tc>
        <w:tc>
          <w:tcPr/>
          <w:p>
            <w:pPr>
              <w:pStyle w:val="Compact"/>
              <w:jc w:val="center"/>
            </w:pPr>
            <w:r>
              <w:t xml:space="preserve">8B</w:t>
            </w:r>
          </w:p>
        </w:tc>
        <w:tc>
          <w:tcPr/>
          <w:p>
            <w:pPr>
              <w:pStyle w:val="Compact"/>
              <w:jc w:val="center"/>
            </w:pPr>
            <w:r>
              <w:t xml:space="preserve">59.61%</w:t>
            </w:r>
          </w:p>
        </w:tc>
        <w:tc>
          <w:tcPr/>
          <w:p>
            <w:pPr>
              <w:pStyle w:val="Compact"/>
              <w:jc w:val="center"/>
            </w:pPr>
            <w:r>
              <w:t xml:space="preserve">53.04%</w:t>
            </w:r>
          </w:p>
        </w:tc>
        <w:tc>
          <w:tcPr/>
          <w:p>
            <w:pPr>
              <w:pStyle w:val="Compact"/>
              <w:jc w:val="center"/>
            </w:pPr>
            <w:r>
              <w:t xml:space="preserve">73.58%</w:t>
            </w:r>
          </w:p>
        </w:tc>
        <w:tc>
          <w:tcPr/>
          <w:p>
            <w:pPr>
              <w:pStyle w:val="Compact"/>
              <w:jc w:val="center"/>
            </w:pPr>
            <w:r>
              <w:t xml:space="preserve">3.62%</w:t>
            </w:r>
          </w:p>
        </w:tc>
        <w:tc>
          <w:tcPr/>
          <w:p>
            <w:pPr>
              <w:pStyle w:val="Compact"/>
              <w:jc w:val="center"/>
            </w:pPr>
            <w:r>
              <w:t xml:space="preserve">47.67</w:t>
            </w:r>
          </w:p>
        </w:tc>
        <w:tc>
          <w:tcPr/>
          <w:p>
            <w:pPr>
              <w:pStyle w:val="Compact"/>
              <w:jc w:val="center"/>
            </w:pPr>
            <w:r>
              <w:t xml:space="preserve">4.73</w:t>
            </w:r>
          </w:p>
        </w:tc>
      </w:tr>
      <w:tr>
        <w:tc>
          <w:tcPr/>
          <w:p>
            <w:pPr>
              <w:pStyle w:val="Compact"/>
              <w:jc w:val="left"/>
            </w:pPr>
            <w:r>
              <w:t xml:space="preserve">qwen2.5:14b</w:t>
            </w:r>
          </w:p>
        </w:tc>
        <w:tc>
          <w:tcPr/>
          <w:p>
            <w:pPr>
              <w:pStyle w:val="Compact"/>
              <w:jc w:val="center"/>
            </w:pPr>
            <w:r>
              <w:t xml:space="preserve">Local</w:t>
            </w:r>
          </w:p>
        </w:tc>
        <w:tc>
          <w:tcPr/>
          <w:p>
            <w:pPr>
              <w:pStyle w:val="Compact"/>
              <w:jc w:val="center"/>
            </w:pPr>
            <w:r>
              <w:t xml:space="preserve">14B</w:t>
            </w:r>
          </w:p>
        </w:tc>
        <w:tc>
          <w:tcPr/>
          <w:p>
            <w:pPr>
              <w:pStyle w:val="Compact"/>
              <w:jc w:val="center"/>
            </w:pPr>
            <w:r>
              <w:t xml:space="preserve">58.74%</w:t>
            </w:r>
          </w:p>
        </w:tc>
        <w:tc>
          <w:tcPr/>
          <w:p>
            <w:pPr>
              <w:pStyle w:val="Compact"/>
              <w:jc w:val="center"/>
            </w:pPr>
            <w:r>
              <w:t xml:space="preserve">51.12%</w:t>
            </w:r>
          </w:p>
        </w:tc>
        <w:tc>
          <w:tcPr/>
          <w:p>
            <w:pPr>
              <w:pStyle w:val="Compact"/>
              <w:jc w:val="center"/>
            </w:pPr>
            <w:r>
              <w:t xml:space="preserve">71.40%</w:t>
            </w:r>
          </w:p>
        </w:tc>
        <w:tc>
          <w:tcPr/>
          <w:p>
            <w:pPr>
              <w:pStyle w:val="Compact"/>
              <w:jc w:val="center"/>
            </w:pPr>
            <w:r>
              <w:t xml:space="preserve">3.90%</w:t>
            </w:r>
          </w:p>
        </w:tc>
        <w:tc>
          <w:tcPr/>
          <w:p>
            <w:pPr>
              <w:pStyle w:val="Compact"/>
              <w:jc w:val="center"/>
            </w:pPr>
            <w:r>
              <w:t xml:space="preserve">58.20</w:t>
            </w:r>
          </w:p>
        </w:tc>
        <w:tc>
          <w:tcPr/>
          <w:p>
            <w:pPr>
              <w:pStyle w:val="Compact"/>
              <w:jc w:val="center"/>
            </w:pPr>
            <w:r>
              <w:t xml:space="preserve">4.15</w:t>
            </w:r>
          </w:p>
        </w:tc>
      </w:tr>
      <w:tr>
        <w:tc>
          <w:tcPr/>
          <w:p>
            <w:pPr>
              <w:pStyle w:val="Compact"/>
              <w:jc w:val="left"/>
            </w:pPr>
            <w:r>
              <w:t xml:space="preserve">mistral-nemo:latest</w:t>
            </w:r>
          </w:p>
        </w:tc>
        <w:tc>
          <w:tcPr/>
          <w:p>
            <w:pPr>
              <w:pStyle w:val="Compact"/>
              <w:jc w:val="center"/>
            </w:pPr>
            <w:r>
              <w:t xml:space="preserve">Local</w:t>
            </w:r>
          </w:p>
        </w:tc>
        <w:tc>
          <w:tcPr/>
          <w:p>
            <w:pPr>
              <w:pStyle w:val="Compact"/>
              <w:jc w:val="center"/>
            </w:pPr>
            <w:r>
              <w:t xml:space="preserve">12B</w:t>
            </w:r>
          </w:p>
        </w:tc>
        <w:tc>
          <w:tcPr/>
          <w:p>
            <w:pPr>
              <w:pStyle w:val="Compact"/>
              <w:jc w:val="center"/>
            </w:pPr>
            <w:r>
              <w:t xml:space="preserve">57.12%</w:t>
            </w:r>
          </w:p>
        </w:tc>
        <w:tc>
          <w:tcPr/>
          <w:p>
            <w:pPr>
              <w:pStyle w:val="Compact"/>
              <w:jc w:val="center"/>
            </w:pPr>
            <w:r>
              <w:t xml:space="preserve">49.80%</w:t>
            </w:r>
          </w:p>
        </w:tc>
        <w:tc>
          <w:tcPr/>
          <w:p>
            <w:pPr>
              <w:pStyle w:val="Compact"/>
              <w:jc w:val="center"/>
            </w:pPr>
            <w:r>
              <w:t xml:space="preserve">69.11%</w:t>
            </w:r>
          </w:p>
        </w:tc>
        <w:tc>
          <w:tcPr/>
          <w:p>
            <w:pPr>
              <w:pStyle w:val="Compact"/>
              <w:jc w:val="center"/>
            </w:pPr>
            <w:r>
              <w:t xml:space="preserve">4.10%</w:t>
            </w:r>
          </w:p>
        </w:tc>
        <w:tc>
          <w:tcPr/>
          <w:p>
            <w:pPr>
              <w:pStyle w:val="Compact"/>
              <w:jc w:val="center"/>
            </w:pPr>
            <w:r>
              <w:t xml:space="preserve">52.40</w:t>
            </w:r>
          </w:p>
        </w:tc>
        <w:tc>
          <w:tcPr/>
          <w:p>
            <w:pPr>
              <w:pStyle w:val="Compact"/>
              <w:jc w:val="center"/>
            </w:pPr>
            <w:r>
              <w:t xml:space="preserve">4.36</w:t>
            </w:r>
          </w:p>
        </w:tc>
      </w:tr>
      <w:tr>
        <w:tc>
          <w:tcPr/>
          <w:p>
            <w:pPr>
              <w:pStyle w:val="Compact"/>
              <w:jc w:val="left"/>
            </w:pPr>
            <w:r>
              <w:t xml:space="preserve">nuextract:latest</w:t>
            </w:r>
          </w:p>
        </w:tc>
        <w:tc>
          <w:tcPr/>
          <w:p>
            <w:pPr>
              <w:pStyle w:val="Compact"/>
              <w:jc w:val="center"/>
            </w:pPr>
            <w:r>
              <w:t xml:space="preserve">Local</w:t>
            </w:r>
          </w:p>
        </w:tc>
        <w:tc>
          <w:tcPr/>
          <w:p>
            <w:pPr>
              <w:pStyle w:val="Compact"/>
              <w:jc w:val="center"/>
            </w:pPr>
            <w:r>
              <w:t xml:space="preserve">3.8B</w:t>
            </w:r>
          </w:p>
        </w:tc>
        <w:tc>
          <w:tcPr/>
          <w:p>
            <w:pPr>
              <w:pStyle w:val="Compact"/>
              <w:jc w:val="center"/>
            </w:pPr>
            <w:r>
              <w:t xml:space="preserve">54.20%</w:t>
            </w:r>
          </w:p>
        </w:tc>
        <w:tc>
          <w:tcPr/>
          <w:p>
            <w:pPr>
              <w:pStyle w:val="Compact"/>
              <w:jc w:val="center"/>
            </w:pPr>
            <w:r>
              <w:t xml:space="preserve">46.10%</w:t>
            </w:r>
          </w:p>
        </w:tc>
        <w:tc>
          <w:tcPr/>
          <w:p>
            <w:pPr>
              <w:pStyle w:val="Compact"/>
              <w:jc w:val="center"/>
            </w:pPr>
            <w:r>
              <w:t xml:space="preserve">68.20%</w:t>
            </w:r>
          </w:p>
        </w:tc>
        <w:tc>
          <w:tcPr/>
          <w:p>
            <w:pPr>
              <w:pStyle w:val="Compact"/>
              <w:jc w:val="center"/>
            </w:pPr>
            <w:r>
              <w:t xml:space="preserve">4.30%</w:t>
            </w:r>
          </w:p>
        </w:tc>
        <w:tc>
          <w:tcPr/>
          <w:p>
            <w:pPr>
              <w:pStyle w:val="Compact"/>
              <w:jc w:val="center"/>
            </w:pPr>
            <w:r>
              <w:t xml:space="preserve">21.30</w:t>
            </w:r>
          </w:p>
        </w:tc>
        <w:tc>
          <w:tcPr/>
          <w:p>
            <w:pPr>
              <w:pStyle w:val="Compact"/>
              <w:jc w:val="center"/>
            </w:pPr>
            <w:r>
              <w:t xml:space="preserve">12.10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bCs/>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bCs/>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bCs/>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bookmarkEnd w:id="43"/>
    <w:bookmarkStart w:id="44" w:name="X88ebb274f290d8d3268085ab54f954376c2c9ba"/>
    <w:p>
      <w:pPr>
        <w:pStyle w:val="Heading3"/>
      </w:pPr>
      <w:r>
        <w:t xml:space="preserve">5.2 Estudio de Ablación del Prompt (gemma4:latest, N=15)</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Configuración</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Δ vs. Baseline</w:t>
            </w:r>
          </w:p>
        </w:tc>
      </w:tr>
      <w:tr>
        <w:tc>
          <w:tcPr/>
          <w:p>
            <w:pPr>
              <w:pStyle w:val="Compact"/>
              <w:jc w:val="left"/>
            </w:pPr>
            <w:r>
              <w:t xml:space="preserve">Zero-shot Inglés (Baseline)</w:t>
            </w:r>
          </w:p>
        </w:tc>
        <w:tc>
          <w:tcPr/>
          <w:p>
            <w:pPr>
              <w:pStyle w:val="Compact"/>
              <w:jc w:val="center"/>
            </w:pPr>
            <w:r>
              <w:t xml:space="preserve">62.41%</w:t>
            </w:r>
          </w:p>
        </w:tc>
        <w:tc>
          <w:tcPr/>
          <w:p>
            <w:pPr>
              <w:pStyle w:val="Compact"/>
              <w:jc w:val="center"/>
            </w:pPr>
            <w:r>
              <w:t xml:space="preserve">72.26%</w:t>
            </w:r>
          </w:p>
        </w:tc>
        <w:tc>
          <w:tcPr/>
          <w:p>
            <w:pPr>
              <w:pStyle w:val="Compact"/>
              <w:jc w:val="center"/>
            </w:pPr>
            <w:r>
              <w:t xml:space="preserve">72.42%</w:t>
            </w:r>
          </w:p>
        </w:tc>
        <w:tc>
          <w:tcPr/>
          <w:p>
            <w:pPr>
              <w:pStyle w:val="Compact"/>
              <w:jc w:val="center"/>
            </w:pPr>
            <w:r>
              <w:t xml:space="preserve">0.00%</w:t>
            </w:r>
          </w:p>
        </w:tc>
        <w:tc>
          <w:tcPr/>
          <w:p>
            <w:pPr>
              <w:pStyle w:val="Compact"/>
              <w:jc w:val="center"/>
            </w:pPr>
            <w:r>
              <w:t xml:space="preserve">23.75</w:t>
            </w:r>
          </w:p>
        </w:tc>
        <w:tc>
          <w:tcPr/>
          <w:p>
            <w:pPr>
              <w:pStyle w:val="Compact"/>
              <w:jc w:val="center"/>
            </w:pPr>
            <w:r>
              <w:t xml:space="preserve">—</w:t>
            </w:r>
          </w:p>
        </w:tc>
      </w:tr>
      <w:tr>
        <w:tc>
          <w:tcPr/>
          <w:p>
            <w:pPr>
              <w:pStyle w:val="Compact"/>
              <w:jc w:val="left"/>
            </w:pPr>
            <w:r>
              <w:t xml:space="preserve">Zero-shot Español</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22.67</w:t>
            </w:r>
          </w:p>
        </w:tc>
        <w:tc>
          <w:tcPr/>
          <w:p>
            <w:pPr>
              <w:pStyle w:val="Compact"/>
              <w:jc w:val="center"/>
            </w:pPr>
            <w:r>
              <w:rPr>
                <w:b/>
                <w:bCs/>
              </w:rPr>
              <w:t xml:space="preserve">+7.40%</w:t>
            </w:r>
          </w:p>
        </w:tc>
      </w:tr>
      <w:tr>
        <w:tc>
          <w:tcPr/>
          <w:p>
            <w:pPr>
              <w:pStyle w:val="Compact"/>
              <w:jc w:val="left"/>
            </w:pPr>
            <w:r>
              <w:t xml:space="preserve">Few-shot Inglés</w:t>
            </w:r>
          </w:p>
        </w:tc>
        <w:tc>
          <w:tcPr/>
          <w:p>
            <w:pPr>
              <w:pStyle w:val="Compact"/>
              <w:jc w:val="center"/>
            </w:pPr>
            <w:r>
              <w:t xml:space="preserve">67.38%</w:t>
            </w:r>
          </w:p>
        </w:tc>
        <w:tc>
          <w:tcPr/>
          <w:p>
            <w:pPr>
              <w:pStyle w:val="Compact"/>
              <w:jc w:val="center"/>
            </w:pPr>
            <w:r>
              <w:t xml:space="preserve">66.83%</w:t>
            </w:r>
          </w:p>
        </w:tc>
        <w:tc>
          <w:tcPr/>
          <w:p>
            <w:pPr>
              <w:pStyle w:val="Compact"/>
              <w:jc w:val="center"/>
            </w:pPr>
            <w:r>
              <w:t xml:space="preserve">80.07%</w:t>
            </w:r>
          </w:p>
        </w:tc>
        <w:tc>
          <w:tcPr/>
          <w:p>
            <w:pPr>
              <w:pStyle w:val="Compact"/>
              <w:jc w:val="center"/>
            </w:pPr>
            <w:r>
              <w:t xml:space="preserve">0.00%</w:t>
            </w:r>
          </w:p>
        </w:tc>
        <w:tc>
          <w:tcPr/>
          <w:p>
            <w:pPr>
              <w:pStyle w:val="Compact"/>
              <w:jc w:val="center"/>
            </w:pPr>
            <w:r>
              <w:t xml:space="preserve">65.50</w:t>
            </w:r>
          </w:p>
        </w:tc>
        <w:tc>
          <w:tcPr/>
          <w:p>
            <w:pPr>
              <w:pStyle w:val="Compact"/>
              <w:jc w:val="center"/>
            </w:pPr>
            <w:r>
              <w:t xml:space="preserve">+4.97%</w:t>
            </w:r>
          </w:p>
        </w:tc>
      </w:tr>
      <w:tr>
        <w:tc>
          <w:tcPr/>
          <w:p>
            <w:pPr>
              <w:pStyle w:val="Compact"/>
              <w:jc w:val="left"/>
            </w:pPr>
            <w:r>
              <w:t xml:space="preserve">Few-shot Español</w:t>
            </w:r>
          </w:p>
        </w:tc>
        <w:tc>
          <w:tcPr/>
          <w:p>
            <w:pPr>
              <w:pStyle w:val="Compact"/>
              <w:jc w:val="center"/>
            </w:pPr>
            <w:r>
              <w:rPr>
                <w:b/>
                <w:bCs/>
              </w:rPr>
              <w:t xml:space="preserve">69.76%</w:t>
            </w:r>
          </w:p>
        </w:tc>
        <w:tc>
          <w:tcPr/>
          <w:p>
            <w:pPr>
              <w:pStyle w:val="Compact"/>
              <w:jc w:val="center"/>
            </w:pPr>
            <w:r>
              <w:t xml:space="preserve">61.67%</w:t>
            </w:r>
          </w:p>
        </w:tc>
        <w:tc>
          <w:tcPr/>
          <w:p>
            <w:pPr>
              <w:pStyle w:val="Compact"/>
              <w:jc w:val="center"/>
            </w:pPr>
            <w:r>
              <w:rPr>
                <w:b/>
                <w:bCs/>
              </w:rPr>
              <w:t xml:space="preserve">84.55%</w:t>
            </w:r>
          </w:p>
        </w:tc>
        <w:tc>
          <w:tcPr/>
          <w:p>
            <w:pPr>
              <w:pStyle w:val="Compact"/>
              <w:jc w:val="center"/>
            </w:pPr>
            <w:r>
              <w:t xml:space="preserve">1.80%</w:t>
            </w:r>
          </w:p>
        </w:tc>
        <w:tc>
          <w:tcPr/>
          <w:p>
            <w:pPr>
              <w:pStyle w:val="Compact"/>
              <w:jc w:val="center"/>
            </w:pPr>
            <w:r>
              <w:t xml:space="preserve">44.47</w:t>
            </w:r>
          </w:p>
        </w:tc>
        <w:tc>
          <w:tcPr/>
          <w:p>
            <w:pPr>
              <w:pStyle w:val="Compact"/>
              <w:jc w:val="center"/>
            </w:pPr>
            <w:r>
              <w:rPr>
                <w:b/>
                <w:bCs/>
              </w:rPr>
              <w:t xml:space="preserve">+7.35%</w:t>
            </w:r>
          </w:p>
        </w:tc>
      </w:tr>
    </w:tbl>
    <w:p>
      <w:pPr>
        <w:pStyle w:val="BlockText"/>
      </w:pPr>
      <w:r>
        <w:rPr>
          <w:b/>
          <w:bCs/>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bookmarkEnd w:id="44"/>
    <w:bookmarkStart w:id="49" w:name="validación-estadística-sobre-corpus-n30"/>
    <w:p>
      <w:pPr>
        <w:pStyle w:val="Heading3"/>
      </w:pPr>
      <w:r>
        <w:t xml:space="preserve">5.3 Validación Estadística sobre Corpus N=30</w:t>
      </w:r>
    </w:p>
    <w:bookmarkStart w:id="45" w:name="resultados-del-benchmark-serial"/>
    <w:p>
      <w:pPr>
        <w:pStyle w:val="Heading4"/>
      </w:pPr>
      <w:r>
        <w:t xml:space="preserve">5.3.1 Resultados del Benchmark Serial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r>
      <w:tr>
        <w:tc>
          <w:tcPr/>
          <w:p>
            <w:pPr>
              <w:pStyle w:val="Compact"/>
              <w:jc w:val="left"/>
            </w:pPr>
            <w:r>
              <w:rPr>
                <w:b/>
                <w:bCs/>
              </w:rPr>
              <w:t xml:space="preserve">gemma4:31b</w:t>
            </w:r>
          </w:p>
        </w:tc>
        <w:tc>
          <w:tcPr/>
          <w:p>
            <w:pPr>
              <w:pStyle w:val="Compact"/>
              <w:jc w:val="center"/>
            </w:pPr>
            <w:r>
              <w:rPr>
                <w:b/>
                <w:bCs/>
              </w:rPr>
              <w:t xml:space="preserve">79.03%</w:t>
            </w:r>
          </w:p>
        </w:tc>
        <w:tc>
          <w:tcPr/>
          <w:p>
            <w:pPr>
              <w:pStyle w:val="Compact"/>
              <w:jc w:val="center"/>
            </w:pPr>
            <w:r>
              <w:t xml:space="preserve">73.34%</w:t>
            </w:r>
          </w:p>
        </w:tc>
        <w:tc>
          <w:tcPr/>
          <w:p>
            <w:pPr>
              <w:pStyle w:val="Compact"/>
              <w:jc w:val="center"/>
            </w:pPr>
            <w:r>
              <w:t xml:space="preserve">89.11%</w:t>
            </w:r>
          </w:p>
        </w:tc>
        <w:tc>
          <w:tcPr/>
          <w:p>
            <w:pPr>
              <w:pStyle w:val="Compact"/>
              <w:jc w:val="center"/>
            </w:pPr>
            <w:r>
              <w:rPr>
                <w:b/>
                <w:bCs/>
              </w:rPr>
              <w:t xml:space="preserve">0.00%</w:t>
            </w:r>
          </w:p>
        </w:tc>
        <w:tc>
          <w:tcPr/>
          <w:p>
            <w:pPr>
              <w:pStyle w:val="Compact"/>
              <w:jc w:val="center"/>
            </w:pPr>
            <w:r>
              <w:t xml:space="preserve">160.23</w:t>
            </w:r>
          </w:p>
        </w:tc>
      </w:tr>
      <w:tr>
        <w:tc>
          <w:tcPr/>
          <w:p>
            <w:pPr>
              <w:pStyle w:val="Compact"/>
              <w:jc w:val="left"/>
            </w:pPr>
            <w:r>
              <w:t xml:space="preserve">gemma4:31b-mlx</w:t>
            </w:r>
          </w:p>
        </w:tc>
        <w:tc>
          <w:tcPr/>
          <w:p>
            <w:pPr>
              <w:pStyle w:val="Compact"/>
              <w:jc w:val="center"/>
            </w:pPr>
            <w:r>
              <w:t xml:space="preserve">77.47%</w:t>
            </w:r>
          </w:p>
        </w:tc>
        <w:tc>
          <w:tcPr/>
          <w:p>
            <w:pPr>
              <w:pStyle w:val="Compact"/>
              <w:jc w:val="center"/>
            </w:pPr>
            <w:r>
              <w:t xml:space="preserve">73.01%</w:t>
            </w:r>
          </w:p>
        </w:tc>
        <w:tc>
          <w:tcPr/>
          <w:p>
            <w:pPr>
              <w:pStyle w:val="Compact"/>
              <w:jc w:val="center"/>
            </w:pPr>
            <w:r>
              <w:t xml:space="preserve">87.17%</w:t>
            </w:r>
          </w:p>
        </w:tc>
        <w:tc>
          <w:tcPr/>
          <w:p>
            <w:pPr>
              <w:pStyle w:val="Compact"/>
              <w:jc w:val="center"/>
            </w:pPr>
            <w:r>
              <w:t xml:space="preserve">0.00%</w:t>
            </w:r>
          </w:p>
        </w:tc>
        <w:tc>
          <w:tcPr/>
          <w:p>
            <w:pPr>
              <w:pStyle w:val="Compact"/>
              <w:jc w:val="center"/>
            </w:pPr>
            <w:r>
              <w:t xml:space="preserve">163.76</w:t>
            </w:r>
          </w:p>
        </w:tc>
      </w:tr>
    </w:tbl>
    <w:bookmarkEnd w:id="45"/>
    <w:bookmarkStart w:id="46" w:name="anova-de-una-vía-α-0.05"/>
    <w:p>
      <w:pPr>
        <w:pStyle w:val="Heading4"/>
      </w:pPr>
      <w:r>
        <w:t xml:space="preserve">5.3.2 ANOVA de Una Vía (α = 0.05)</w:t>
      </w:r>
    </w:p>
    <w:p>
      <w:pPr>
        <w:pStyle w:val="Compact"/>
        <w:numPr>
          <w:ilvl w:val="0"/>
          <w:numId w:val="1004"/>
        </w:numPr>
      </w:pPr>
      <w:r>
        <w:rPr>
          <w:b/>
          <w:bCs/>
        </w:rPr>
        <w:t xml:space="preserve">F-Statistic:</w:t>
      </w:r>
      <w:r>
        <w:t xml:space="preserve"> </w:t>
      </w:r>
      <w:r>
        <w:t xml:space="preserve">0.141</w:t>
      </w:r>
    </w:p>
    <w:p>
      <w:pPr>
        <w:pStyle w:val="Compact"/>
        <w:numPr>
          <w:ilvl w:val="0"/>
          <w:numId w:val="1004"/>
        </w:numPr>
      </w:pPr>
      <w:r>
        <w:rPr>
          <w:b/>
          <w:bCs/>
        </w:rPr>
        <w:t xml:space="preserve">p-Value:</w:t>
      </w:r>
      <w:r>
        <w:t xml:space="preserve"> </w:t>
      </w:r>
      <w:r>
        <w:t xml:space="preserve">0.708 (p ≥ 0.05 → No se rechaza H₀)</w:t>
      </w:r>
    </w:p>
    <w:p>
      <w:pPr>
        <w:pStyle w:val="Compact"/>
        <w:numPr>
          <w:ilvl w:val="0"/>
          <w:numId w:val="1004"/>
        </w:numPr>
      </w:pPr>
      <w:r>
        <w:rPr>
          <w:b/>
          <w:bCs/>
        </w:rPr>
        <w:t xml:space="preserve">Conclusión:</w:t>
      </w:r>
      <w:r>
        <w:t xml:space="preserve"> </w:t>
      </w:r>
      <w:r>
        <w:t xml:space="preserve">No existe diferencia estadísticamente significativa en los F1-Scores entre los dos modelos evaluados sobre N=30.</w:t>
      </w:r>
    </w:p>
    <w:bookmarkEnd w:id="46"/>
    <w:bookmarkStart w:id="47" w:name="intervalos-de-confianza-al-95"/>
    <w:p>
      <w:pPr>
        <w:pStyle w:val="Heading4"/>
      </w:pPr>
      <w:r>
        <w:t xml:space="preserve">5.3.3 Intervalos de Confianza al 95%</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N</w:t>
            </w:r>
          </w:p>
        </w:tc>
        <w:tc>
          <w:tcPr/>
          <w:p>
            <w:pPr>
              <w:pStyle w:val="Compact"/>
              <w:jc w:val="center"/>
            </w:pPr>
            <w:r>
              <w:t xml:space="preserve">F1 Media</w:t>
            </w:r>
          </w:p>
        </w:tc>
        <w:tc>
          <w:tcPr/>
          <w:p>
            <w:pPr>
              <w:pStyle w:val="Compact"/>
              <w:jc w:val="center"/>
            </w:pPr>
            <w:r>
              <w:t xml:space="preserve">IC 95% Inferior</w:t>
            </w:r>
          </w:p>
        </w:tc>
        <w:tc>
          <w:tcPr/>
          <w:p>
            <w:pPr>
              <w:pStyle w:val="Compact"/>
              <w:jc w:val="center"/>
            </w:pPr>
            <w:r>
              <w:t xml:space="preserve">IC 95% Superior</w:t>
            </w:r>
          </w:p>
        </w:tc>
        <w:tc>
          <w:tcPr/>
          <w:p>
            <w:pPr>
              <w:pStyle w:val="Compact"/>
              <w:jc w:val="center"/>
            </w:pPr>
            <w:r>
              <w:t xml:space="preserve">Desv. Est.</w:t>
            </w:r>
          </w:p>
        </w:tc>
      </w:tr>
      <w:tr>
        <w:tc>
          <w:tcPr/>
          <w:p>
            <w:pPr>
              <w:pStyle w:val="Compact"/>
              <w:jc w:val="left"/>
            </w:pPr>
            <w:r>
              <w:t xml:space="preserve">gemma4:31b</w:t>
            </w:r>
          </w:p>
        </w:tc>
        <w:tc>
          <w:tcPr/>
          <w:p>
            <w:pPr>
              <w:pStyle w:val="Compact"/>
              <w:jc w:val="center"/>
            </w:pPr>
            <w:r>
              <w:t xml:space="preserve">30</w:t>
            </w:r>
          </w:p>
        </w:tc>
        <w:tc>
          <w:tcPr/>
          <w:p>
            <w:pPr>
              <w:pStyle w:val="Compact"/>
              <w:jc w:val="center"/>
            </w:pPr>
            <w:r>
              <w:t xml:space="preserve">0.7903</w:t>
            </w:r>
          </w:p>
        </w:tc>
        <w:tc>
          <w:tcPr/>
          <w:p>
            <w:pPr>
              <w:pStyle w:val="Compact"/>
              <w:jc w:val="center"/>
            </w:pPr>
            <w:r>
              <w:t xml:space="preserve">0.7291</w:t>
            </w:r>
          </w:p>
        </w:tc>
        <w:tc>
          <w:tcPr/>
          <w:p>
            <w:pPr>
              <w:pStyle w:val="Compact"/>
              <w:jc w:val="center"/>
            </w:pPr>
            <w:r>
              <w:t xml:space="preserve">0.8515</w:t>
            </w:r>
          </w:p>
        </w:tc>
        <w:tc>
          <w:tcPr/>
          <w:p>
            <w:pPr>
              <w:pStyle w:val="Compact"/>
              <w:jc w:val="center"/>
            </w:pPr>
            <w:r>
              <w:t xml:space="preserve">0.1640</w:t>
            </w:r>
          </w:p>
        </w:tc>
      </w:tr>
      <w:tr>
        <w:tc>
          <w:tcPr/>
          <w:p>
            <w:pPr>
              <w:pStyle w:val="Compact"/>
              <w:jc w:val="left"/>
            </w:pPr>
            <w:r>
              <w:t xml:space="preserve">gemma4:31b-mlx</w:t>
            </w:r>
          </w:p>
        </w:tc>
        <w:tc>
          <w:tcPr/>
          <w:p>
            <w:pPr>
              <w:pStyle w:val="Compact"/>
              <w:jc w:val="center"/>
            </w:pPr>
            <w:r>
              <w:t xml:space="preserve">30</w:t>
            </w:r>
          </w:p>
        </w:tc>
        <w:tc>
          <w:tcPr/>
          <w:p>
            <w:pPr>
              <w:pStyle w:val="Compact"/>
              <w:jc w:val="center"/>
            </w:pPr>
            <w:r>
              <w:t xml:space="preserve">0.7747</w:t>
            </w:r>
          </w:p>
        </w:tc>
        <w:tc>
          <w:tcPr/>
          <w:p>
            <w:pPr>
              <w:pStyle w:val="Compact"/>
              <w:jc w:val="center"/>
            </w:pPr>
            <w:r>
              <w:t xml:space="preserve">0.7162</w:t>
            </w:r>
          </w:p>
        </w:tc>
        <w:tc>
          <w:tcPr/>
          <w:p>
            <w:pPr>
              <w:pStyle w:val="Compact"/>
              <w:jc w:val="center"/>
            </w:pPr>
            <w:r>
              <w:t xml:space="preserve">0.8332</w:t>
            </w:r>
          </w:p>
        </w:tc>
        <w:tc>
          <w:tcPr/>
          <w:p>
            <w:pPr>
              <w:pStyle w:val="Compact"/>
              <w:jc w:val="center"/>
            </w:pPr>
            <w:r>
              <w:t xml:space="preserve">0.1566</w:t>
            </w:r>
          </w:p>
        </w:tc>
      </w:tr>
    </w:tbl>
    <w:bookmarkEnd w:id="47"/>
    <w:bookmarkStart w:id="48" w:name="análisis-de-sensibilidad-outliers"/>
    <w:p>
      <w:pPr>
        <w:pStyle w:val="Heading4"/>
      </w:pPr>
      <w:r>
        <w:t xml:space="preserve">5.3.4 Análisis de Sensibilidad (Outliers)</w:t>
      </w:r>
    </w:p>
    <w:p>
      <w:pPr>
        <w:pStyle w:val="Compact"/>
        <w:numPr>
          <w:ilvl w:val="0"/>
          <w:numId w:val="1005"/>
        </w:numPr>
      </w:pPr>
      <w:r>
        <w:rPr>
          <w:b/>
          <w:bCs/>
        </w:rPr>
        <w:t xml:space="preserve">Criterio de outlier:</w:t>
      </w:r>
      <w:r>
        <w:t xml:space="preserve"> </w:t>
      </w:r>
      <w:r>
        <w:t xml:space="preserve">Artículos con longitud &gt; 702 caracteres.</w:t>
      </w:r>
    </w:p>
    <w:p>
      <w:pPr>
        <w:pStyle w:val="Compact"/>
        <w:numPr>
          <w:ilvl w:val="0"/>
          <w:numId w:val="1005"/>
        </w:numPr>
      </w:pPr>
      <w:r>
        <w:rPr>
          <w:b/>
          <w:bCs/>
        </w:rPr>
        <w:t xml:space="preserve">Registros outlier identificados:</w:t>
      </w:r>
      <w:r>
        <w:t xml:space="preserve"> </w:t>
      </w:r>
      <w:r>
        <w:t xml:space="preserve">0</w:t>
      </w:r>
    </w:p>
    <w:p>
      <w:pPr>
        <w:pStyle w:val="Compact"/>
        <w:numPr>
          <w:ilvl w:val="0"/>
          <w:numId w:val="1005"/>
        </w:numPr>
      </w:pPr>
      <w:r>
        <w:rPr>
          <w:b/>
          <w:bCs/>
        </w:rPr>
        <w:t xml:space="preserve">F1 estable (no filtrado):</w:t>
      </w:r>
      <w:r>
        <w:t xml:space="preserve"> </w:t>
      </w:r>
      <w:r>
        <w:t xml:space="preserve">gemma4:31b = 0.7903 | gemma4:31b-mlx = 0.7747</w:t>
      </w:r>
    </w:p>
    <w:bookmarkEnd w:id="48"/>
    <w:bookmarkEnd w:id="49"/>
    <w:bookmarkStart w:id="50" w:name="taxonomía-de-errores-ner"/>
    <w:p>
      <w:pPr>
        <w:pStyle w:val="Heading3"/>
      </w:pPr>
      <w:r>
        <w:t xml:space="preserve">5.4 Taxonomía de Errores NER</w:t>
      </w:r>
    </w:p>
    <w:p>
      <w:pPr>
        <w:pStyle w:val="FirstParagraph"/>
      </w:pPr>
      <w:r>
        <w:t xml:space="preserve">El análisis cualitativo de las extracciones identifica tres categorías de error recurrentes:</w:t>
      </w:r>
    </w:p>
    <w:p>
      <w:pPr>
        <w:numPr>
          <w:ilvl w:val="0"/>
          <w:numId w:val="1006"/>
        </w:numPr>
      </w:pPr>
      <w:r>
        <w:rPr>
          <w:b/>
          <w:bCs/>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bCs/>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bCs/>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bookmarkEnd w:id="50"/>
    <w:bookmarkStart w:id="51" w:name="Xf604ae9989c513fdfed822d1fc18083fd6ae7b9"/>
    <w:p>
      <w:pPr>
        <w:pStyle w:val="Heading3"/>
      </w:pPr>
      <w:r>
        <w:t xml:space="preserve">5.5 Análisis de Eficiencia en Hardware Soberano</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VRAM (MB)</w:t>
            </w:r>
          </w:p>
        </w:tc>
        <w:tc>
          <w:tcPr/>
          <w:p>
            <w:pPr>
              <w:pStyle w:val="Compact"/>
              <w:jc w:val="center"/>
            </w:pPr>
            <w:r>
              <w:t xml:space="preserve">Tok/s</w:t>
            </w:r>
          </w:p>
        </w:tc>
        <w:tc>
          <w:tcPr/>
          <w:p>
            <w:pPr>
              <w:pStyle w:val="Compact"/>
              <w:jc w:val="center"/>
            </w:pPr>
            <w:r>
              <w:t xml:space="preserve">Parámetros (B)</w:t>
            </w:r>
          </w:p>
        </w:tc>
        <w:tc>
          <w:tcPr/>
          <w:p>
            <w:pPr>
              <w:pStyle w:val="Compact"/>
              <w:jc w:val="center"/>
            </w:pPr>
            <w:r>
              <w:t xml:space="preserve">Índice Tok/s/B</w:t>
            </w:r>
          </w:p>
        </w:tc>
        <w:tc>
          <w:tcPr/>
          <w:p>
            <w:pPr>
              <w:pStyle w:val="Compact"/>
              <w:jc w:val="center"/>
            </w:pPr>
            <w:r>
              <w:t xml:space="preserve">Costo/Artículo</w:t>
            </w:r>
          </w:p>
        </w:tc>
      </w:tr>
      <w:tr>
        <w:tc>
          <w:tcPr/>
          <w:p>
            <w:pPr>
              <w:pStyle w:val="Compact"/>
              <w:jc w:val="left"/>
            </w:pPr>
            <w:r>
              <w:t xml:space="preserve">gemma4:31b</w:t>
            </w:r>
          </w:p>
        </w:tc>
        <w:tc>
          <w:tcPr/>
          <w:p>
            <w:pPr>
              <w:pStyle w:val="Compact"/>
              <w:jc w:val="center"/>
            </w:pPr>
            <w:r>
              <w:t xml:space="preserve">18,803</w:t>
            </w:r>
          </w:p>
        </w:tc>
        <w:tc>
          <w:tcPr/>
          <w:p>
            <w:pPr>
              <w:pStyle w:val="Compact"/>
              <w:jc w:val="center"/>
            </w:pPr>
            <w:r>
              <w:t xml:space="preserve">11.37</w:t>
            </w:r>
          </w:p>
        </w:tc>
        <w:tc>
          <w:tcPr/>
          <w:p>
            <w:pPr>
              <w:pStyle w:val="Compact"/>
              <w:jc w:val="center"/>
            </w:pPr>
            <w:r>
              <w:t xml:space="preserve">31</w:t>
            </w:r>
          </w:p>
        </w:tc>
        <w:tc>
          <w:tcPr/>
          <w:p>
            <w:pPr>
              <w:pStyle w:val="Compact"/>
              <w:jc w:val="center"/>
            </w:pPr>
            <w:r>
              <w:t xml:space="preserve">0.37</w:t>
            </w:r>
          </w:p>
        </w:tc>
        <w:tc>
          <w:tcPr/>
          <w:p>
            <w:pPr>
              <w:pStyle w:val="Compact"/>
              <w:jc w:val="center"/>
            </w:pPr>
            <w:r>
              <w:t xml:space="preserve">$0.052</w:t>
            </w:r>
          </w:p>
        </w:tc>
      </w:tr>
      <w:tr>
        <w:tc>
          <w:tcPr/>
          <w:p>
            <w:pPr>
              <w:pStyle w:val="Compact"/>
              <w:jc w:val="left"/>
            </w:pPr>
            <w:r>
              <w:t xml:space="preserve">gemma4:31b-mlx</w:t>
            </w:r>
          </w:p>
        </w:tc>
        <w:tc>
          <w:tcPr/>
          <w:p>
            <w:pPr>
              <w:pStyle w:val="Compact"/>
              <w:jc w:val="center"/>
            </w:pPr>
            <w:r>
              <w:t xml:space="preserve">24,751</w:t>
            </w:r>
          </w:p>
        </w:tc>
        <w:tc>
          <w:tcPr/>
          <w:p>
            <w:pPr>
              <w:pStyle w:val="Compact"/>
              <w:jc w:val="center"/>
            </w:pPr>
            <w:r>
              <w:t xml:space="preserve">27.56</w:t>
            </w:r>
          </w:p>
        </w:tc>
        <w:tc>
          <w:tcPr/>
          <w:p>
            <w:pPr>
              <w:pStyle w:val="Compact"/>
              <w:jc w:val="center"/>
            </w:pPr>
            <w:r>
              <w:t xml:space="preserve">31</w:t>
            </w:r>
          </w:p>
        </w:tc>
        <w:tc>
          <w:tcPr/>
          <w:p>
            <w:pPr>
              <w:pStyle w:val="Compact"/>
              <w:jc w:val="center"/>
            </w:pPr>
            <w:r>
              <w:t xml:space="preserve">0.89</w:t>
            </w:r>
          </w:p>
        </w:tc>
        <w:tc>
          <w:tcPr/>
          <w:p>
            <w:pPr>
              <w:pStyle w:val="Compact"/>
              <w:jc w:val="center"/>
            </w:pPr>
            <w:r>
              <w:t xml:space="preserve">$0.052</w:t>
            </w:r>
          </w:p>
        </w:tc>
      </w:tr>
      <w:tr>
        <w:tc>
          <w:tcPr/>
          <w:p>
            <w:pPr>
              <w:pStyle w:val="Compact"/>
              <w:jc w:val="left"/>
            </w:pPr>
            <w:r>
              <w:t xml:space="preserve">llama3.2 (3B)</w:t>
            </w:r>
          </w:p>
        </w:tc>
        <w:tc>
          <w:tcPr/>
          <w:p>
            <w:pPr>
              <w:pStyle w:val="Compact"/>
              <w:jc w:val="center"/>
            </w:pPr>
            <w:r>
              <w:t xml:space="preserve">~3,000</w:t>
            </w:r>
          </w:p>
        </w:tc>
        <w:tc>
          <w:tcPr/>
          <w:p>
            <w:pPr>
              <w:pStyle w:val="Compact"/>
              <w:jc w:val="center"/>
            </w:pPr>
            <w:r>
              <w:t xml:space="preserve">47.5</w:t>
            </w:r>
          </w:p>
        </w:tc>
        <w:tc>
          <w:tcPr/>
          <w:p>
            <w:pPr>
              <w:pStyle w:val="Compact"/>
              <w:jc w:val="center"/>
            </w:pPr>
            <w:r>
              <w:t xml:space="preserve">3</w:t>
            </w:r>
          </w:p>
        </w:tc>
        <w:tc>
          <w:tcPr/>
          <w:p>
            <w:pPr>
              <w:pStyle w:val="Compact"/>
              <w:jc w:val="center"/>
            </w:pPr>
            <w:r>
              <w:t xml:space="preserve">15.8</w:t>
            </w:r>
          </w:p>
        </w:tc>
        <w:tc>
          <w:tcPr/>
          <w:p>
            <w:pPr>
              <w:pStyle w:val="Compact"/>
              <w:jc w:val="center"/>
            </w:pPr>
            <w:r>
              <w:t xml:space="preserve">$0.052</w:t>
            </w:r>
          </w:p>
        </w:tc>
      </w:tr>
    </w:tbl>
    <w:p>
      <w:pPr>
        <w:pStyle w:val="BlockText"/>
      </w:pPr>
      <w:r>
        <w:t xml:space="preserve">El costo por artículo en el sistema soberano local se estima en USD 0.052, versus USD 8.75 en revisión manual, representando una reducción del</w:t>
      </w:r>
      <w:r>
        <w:t xml:space="preserve"> </w:t>
      </w:r>
      <w:r>
        <w:rPr>
          <w:b/>
          <w:bCs/>
        </w:rPr>
        <w:t xml:space="preserve">99.4%</w:t>
      </w:r>
      <w:r>
        <w:t xml:space="preserve"> </w:t>
      </w:r>
      <w:r>
        <w:t xml:space="preserve">en costo unitario.</w:t>
      </w:r>
    </w:p>
    <w:p>
      <w:r>
        <w:pict>
          <v:rect style="width:0;height:1.5pt" o:hralign="center" o:hrstd="t" o:hr="t"/>
        </w:pict>
      </w:r>
    </w:p>
    <w:bookmarkEnd w:id="51"/>
    <w:bookmarkEnd w:id="52"/>
    <w:bookmarkStart w:id="57" w:name="discusión"/>
    <w:p>
      <w:pPr>
        <w:pStyle w:val="Heading2"/>
      </w:pPr>
      <w:r>
        <w:t xml:space="preserve">6. DISCUSIÓN</w:t>
      </w:r>
    </w:p>
    <w:bookmarkStart w:id="53" w:name="verificación-de-la-hipótesis"/>
    <w:p>
      <w:pPr>
        <w:pStyle w:val="Heading3"/>
      </w:pPr>
      <w:r>
        <w:t xml:space="preserve">6.1 Verificación de la Hipótesis</w:t>
      </w:r>
    </w:p>
    <w:p>
      <w:pPr>
        <w:pStyle w:val="FirstParagraph"/>
      </w:pPr>
      <w:r>
        <w:t xml:space="preserve">La hipótesis de trabajo planteaba un F1-Score ≥ 70% como umbral de viabilidad. Los resultados sobre N=30 muestran que</w:t>
      </w:r>
      <w:r>
        <w:t xml:space="preserve"> </w:t>
      </w:r>
      <w:r>
        <w:rPr>
          <w:rStyle w:val="VerbatimChar"/>
        </w:rPr>
        <w:t xml:space="preserve">gemma4:31b</w:t>
      </w:r>
      <w:r>
        <w:t xml:space="preserve"> </w:t>
      </w:r>
      <w:r>
        <w:t xml:space="preserve">supera consistentemente este umbral con un F1-Score de</w:t>
      </w:r>
      <w:r>
        <w:t xml:space="preserve"> </w:t>
      </w:r>
      <w:r>
        <w:rPr>
          <w:b/>
          <w:bCs/>
        </w:rPr>
        <w:t xml:space="preserve">79.03%</w:t>
      </w:r>
      <w:r>
        <w:t xml:space="preserve"> </w:t>
      </w:r>
      <w:r>
        <w:t xml:space="preserve">(IC 95%: [72.91%, 85.15%]) y tasa de alucinaciones del 0.0%. La hipótesis queda</w:t>
      </w:r>
      <w:r>
        <w:t xml:space="preserve"> </w:t>
      </w:r>
      <w:r>
        <w:rPr>
          <w:b/>
          <w:bCs/>
        </w:rPr>
        <w:t xml:space="preserve">confirmada</w:t>
      </w:r>
      <w:r>
        <w:t xml:space="preserve">.</w:t>
      </w:r>
    </w:p>
    <w:p>
      <w:pPr>
        <w:pStyle w:val="BodyText"/>
      </w:pPr>
      <w:r>
        <w:t xml:space="preserve">El objetivo original del proyecto propuso un F1 ≥ 85% como meta aspiracional. La brecha de 5.97 puntos respecto al 85% representa una oportunidad de optimización (no un fracaso del sistema), abordable mediante: (1) fine-tuning supervisado con ≥200 ejemplos del dominio Kleptotrace/CoNLL-2002; (2) escalamiento a modelos de mayor capacidad (127B+); y (3) técnicas de ensemble entre modelos locales.</w:t>
      </w:r>
    </w:p>
    <w:bookmarkEnd w:id="53"/>
    <w:bookmarkStart w:id="54" w:name="X947c8128b6882287f765a587789b0129bd36da2"/>
    <w:p>
      <w:pPr>
        <w:pStyle w:val="Heading3"/>
      </w:pPr>
      <w:r>
        <w:t xml:space="preserve">6.2 Contribución de la Localización Lingüística</w:t>
      </w:r>
    </w:p>
    <w:p>
      <w:pPr>
        <w:pStyle w:val="FirstParagraph"/>
      </w:pPr>
      <w:r>
        <w:t xml:space="preserve">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(2021) para BERT en español.</w:t>
      </w:r>
    </w:p>
    <w:bookmarkEnd w:id="54"/>
    <w:bookmarkStart w:id="55" w:name="Xe3b39e82a102480c0ec3ed3305c0d37451b2e26"/>
    <w:p>
      <w:pPr>
        <w:pStyle w:val="Heading3"/>
      </w:pPr>
      <w:r>
        <w:t xml:space="preserve">6.3 Trade-off Tamaño de Modelo vs. Rendimiento</w:t>
      </w:r>
    </w:p>
    <w:p>
      <w:pPr>
        <w:pStyle w:val="FirstParagraph"/>
      </w:pPr>
      <w:r>
        <w:t xml:space="preserve">El modelo compacto</w:t>
      </w:r>
      <w:r>
        <w:t xml:space="preserve"> </w:t>
      </w:r>
      <w:r>
        <w:rPr>
          <w:rStyle w:val="VerbatimChar"/>
        </w:rPr>
        <w:t xml:space="preserve">llama3.2</w:t>
      </w:r>
      <w:r>
        <w:t xml:space="preserve"> </w:t>
      </w:r>
      <w:r>
        <w:t xml:space="preserve">(3B parámetros) logra un F1 de 61.29% con una latencia 4.5× menor que</w:t>
      </w:r>
      <w:r>
        <w:t xml:space="preserve"> </w:t>
      </w:r>
      <w:r>
        <w:rPr>
          <w:rStyle w:val="VerbatimChar"/>
        </w:rPr>
        <w:t xml:space="preserve">gemma4:31b</w:t>
      </w:r>
      <w:r>
        <w:t xml:space="preserve"> </w:t>
      </w:r>
      <w:r>
        <w:t xml:space="preserve">y un índice de eficiencia de hardware (Tok/s/B) 18.73 veces mayor. Esta distribución permite una configuración en dos niveles:</w:t>
      </w:r>
      <w:r>
        <w:t xml:space="preserve"> </w:t>
      </w:r>
      <w:r>
        <w:rPr>
          <w:rStyle w:val="VerbatimChar"/>
        </w:rPr>
        <w:t xml:space="preserve">llama3.2</w:t>
      </w:r>
      <w:r>
        <w:t xml:space="preserve"> </w:t>
      </w:r>
      <w:r>
        <w:t xml:space="preserve">para screening masivo inicial a bajo costo computacional, y</w:t>
      </w:r>
      <w:r>
        <w:t xml:space="preserve"> </w:t>
      </w:r>
      <w:r>
        <w:rPr>
          <w:rStyle w:val="VerbatimChar"/>
        </w:rPr>
        <w:t xml:space="preserve">gemma4:31b</w:t>
      </w:r>
      <w:r>
        <w:t xml:space="preserve"> </w:t>
      </w:r>
      <w:r>
        <w:t xml:space="preserve">para validación de alto riesgo regulatorio donde el F1 máximo y la mínima tasa de alucinaciones son críticos.</w:t>
      </w:r>
    </w:p>
    <w:bookmarkEnd w:id="55"/>
    <w:bookmarkStart w:id="56" w:name="implicaciones-para-soberanía-de-datos"/>
    <w:p>
      <w:pPr>
        <w:pStyle w:val="Heading3"/>
      </w:pPr>
      <w:r>
        <w:t xml:space="preserve">6.4 Implicaciones para Soberanía de Datos</w:t>
      </w:r>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p>
      <w:r>
        <w:pict>
          <v:rect style="width:0;height:1.5pt" o:hralign="center" o:hrstd="t" o:hr="t"/>
        </w:pict>
      </w:r>
    </w:p>
    <w:bookmarkEnd w:id="56"/>
    <w:bookmarkEnd w:id="57"/>
    <w:bookmarkStart w:id="60" w:name="conclusiones-y-trabajo-futuro"/>
    <w:p>
      <w:pPr>
        <w:pStyle w:val="Heading2"/>
      </w:pPr>
      <w:r>
        <w:t xml:space="preserve">7. CONCLUSIONES Y TRABAJO FUTURO</w:t>
      </w:r>
    </w:p>
    <w:bookmarkStart w:id="58" w:name="conclusiones"/>
    <w:p>
      <w:pPr>
        <w:pStyle w:val="Heading3"/>
      </w:pPr>
      <w:r>
        <w:t xml:space="preserve">7.1 Conclusiones</w:t>
      </w:r>
    </w:p>
    <w:p>
      <w:pPr>
        <w:numPr>
          <w:ilvl w:val="0"/>
          <w:numId w:val="1007"/>
        </w:numPr>
      </w:pPr>
      <w:r>
        <w:rPr>
          <w:b/>
          <w:bCs/>
        </w:rPr>
        <w:t xml:space="preserve">Viabilidad demostrada:</w:t>
      </w:r>
      <w:r>
        <w:t xml:space="preserve"> </w:t>
      </w:r>
      <w:r>
        <w:t xml:space="preserve">Es técnicamente viable implementar un sistema NER soberano para cumplimiento AML/KYC con modelos de lenguaje de código abierto ejecutados localmente sobre hardware Apple Silicon M4, alcanzando F1=79.03% con tasa de alucinaciones del 0.0%.</w:t>
      </w:r>
    </w:p>
    <w:p>
      <w:pPr>
        <w:numPr>
          <w:ilvl w:val="0"/>
          <w:numId w:val="1007"/>
        </w:numPr>
      </w:pPr>
      <w:r>
        <w:rPr>
          <w:b/>
          <w:bCs/>
        </w:rPr>
        <w:t xml:space="preserve">Localización lingüística como factor crítico:</w:t>
      </w:r>
      <w:r>
        <w:t xml:space="preserve"> </w:t>
      </w:r>
      <w:r>
        <w:t xml:space="preserve">La localización del prompt al español produce la mayor ganancia unitaria de rendimiento (+7.4% F1), superando el impacto de los ejemplos few-shot. Esto tiene implicaciones directas para despliegues en mercados hispanohablantes.</w:t>
      </w:r>
    </w:p>
    <w:p>
      <w:pPr>
        <w:numPr>
          <w:ilvl w:val="0"/>
          <w:numId w:val="1007"/>
        </w:numPr>
      </w:pPr>
      <w:r>
        <w:rPr>
          <w:b/>
          <w:bCs/>
        </w:rPr>
        <w:t xml:space="preserve">Soberanía de datos sin costo de rendimiento:</w:t>
      </w:r>
      <w:r>
        <w:t xml:space="preserve"> </w:t>
      </w:r>
      <w:r>
        <w:t xml:space="preserve">El sistema local iguala o supera el rendimiento de la variante cloud (67.83% vs. 66.29% F1) mientras garantiza privacidad total.</w:t>
      </w:r>
    </w:p>
    <w:p>
      <w:pPr>
        <w:numPr>
          <w:ilvl w:val="0"/>
          <w:numId w:val="1007"/>
        </w:numPr>
      </w:pPr>
      <w:r>
        <w:rPr>
          <w:b/>
          <w:bCs/>
        </w:rPr>
        <w:t xml:space="preserve">Reducción de costos operativos:</w:t>
      </w:r>
      <w:r>
        <w:t xml:space="preserve"> </w:t>
      </w:r>
      <w:r>
        <w:t xml:space="preserve">El costo unitario del sistema soberano ($0.052/artículo) versus revisión manual ($8.75/artículo) representa una reducción del 99.4%, con potencial de procesamiento de cientos de artículos diarios sin personal analista dedicado.</w:t>
      </w:r>
    </w:p>
    <w:p>
      <w:pPr>
        <w:numPr>
          <w:ilvl w:val="0"/>
          <w:numId w:val="1007"/>
        </w:numPr>
      </w:pPr>
      <w:r>
        <w:rPr>
          <w:b/>
          <w:bCs/>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bookmarkEnd w:id="58"/>
    <w:bookmarkStart w:id="59" w:name="trabajo-futuro"/>
    <w:p>
      <w:pPr>
        <w:pStyle w:val="Heading3"/>
      </w:pPr>
      <w:r>
        <w:t xml:space="preserve">7.2 Trabajo Futuro</w:t>
      </w:r>
    </w:p>
    <w:p>
      <w:pPr>
        <w:numPr>
          <w:ilvl w:val="0"/>
          <w:numId w:val="1008"/>
        </w:numPr>
      </w:pPr>
      <w:r>
        <w:rPr>
          <w:b/>
          <w:bCs/>
        </w:rPr>
        <w:t xml:space="preserve">Fine-tuning supervisado (Fase 1):</w:t>
      </w:r>
      <w:r>
        <w:t xml:space="preserve"> </w:t>
      </w:r>
      <w:r>
        <w:t xml:space="preserve">Aplicar LoRA (Low-Rank Adaptation) sobre</w:t>
      </w:r>
      <w:r>
        <w:t xml:space="preserve"> </w:t>
      </w:r>
      <w:r>
        <w:rPr>
          <w:rStyle w:val="VerbatimChar"/>
        </w:rPr>
        <w:t xml:space="preserve">gemma4:31b</w:t>
      </w:r>
      <w:r>
        <w:t xml:space="preserve"> </w:t>
      </w:r>
      <w:r>
        <w:t xml:space="preserve">con 200+ ejemplos anotados de Kleptotrace/CoNLL-2002 para cerrar la brecha hacia el 85% de F1 objetivo.</w:t>
      </w:r>
    </w:p>
    <w:p>
      <w:pPr>
        <w:numPr>
          <w:ilvl w:val="0"/>
          <w:numId w:val="1008"/>
        </w:numPr>
      </w:pPr>
      <w:r>
        <w:rPr>
          <w:b/>
          <w:bCs/>
        </w:rPr>
        <w:t xml:space="preserve">Expansión del corpus de evaluación (Fase 2):</w:t>
      </w:r>
      <w:r>
        <w:t xml:space="preserve"> </w:t>
      </w:r>
      <w:r>
        <w:t xml:space="preserve">Ampliar el corpus de N=30 a N≥100 artículos reales del dominio AML/KYC chileno, incorporando fuentes como la UAF, CMF y bases de datos de OpenSanctions.</w:t>
      </w:r>
    </w:p>
    <w:p>
      <w:pPr>
        <w:numPr>
          <w:ilvl w:val="0"/>
          <w:numId w:val="1008"/>
        </w:numPr>
      </w:pPr>
      <w:r>
        <w:rPr>
          <w:b/>
          <w:bCs/>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08"/>
        </w:numPr>
      </w:pPr>
      <w:r>
        <w:rPr>
          <w:b/>
          <w:bCs/>
        </w:rPr>
        <w:t xml:space="preserve">Evaluación en producción (Fase 4):</w:t>
      </w:r>
      <w:r>
        <w:t xml:space="preserve"> </w:t>
      </w:r>
      <w:r>
        <w:t xml:space="preserve">Despliegue piloto en Leanstack SpA / Austranet con feeds reales de Google Alerts y medición de KPIs operacionales (tiempo de respuesta, carga, satisfacción del analista).</w:t>
      </w:r>
    </w:p>
    <w:p>
      <w:pPr>
        <w:numPr>
          <w:ilvl w:val="0"/>
          <w:numId w:val="1008"/>
        </w:numPr>
      </w:pPr>
      <w:r>
        <w:rPr>
          <w:b/>
          <w:bCs/>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bookmarkEnd w:id="59"/>
    <w:bookmarkEnd w:id="60"/>
    <w:bookmarkStart w:id="61" w:name="referencias-bibliográficas"/>
    <w:p>
      <w:pPr>
        <w:pStyle w:val="Heading2"/>
      </w:pPr>
      <w:r>
        <w:t xml:space="preserve">8. REFERENCIAS BIBLIOGRÁFICAS</w:t>
      </w:r>
    </w:p>
    <w:p>
      <w:pPr>
        <w:pStyle w:val="BlockText"/>
      </w:pPr>
      <w:r>
        <w:rPr>
          <w:i/>
          <w:iCs/>
        </w:rPr>
        <w:t xml:space="preserve">Formato IEEE</w:t>
      </w:r>
    </w:p>
    <w:p>
      <w:pPr>
        <w:pStyle w:val="FirstParagraph"/>
      </w:pPr>
      <w:r>
        <w:t xml:space="preserve">[1] P. Lewis et al.,</w:t>
      </w:r>
      <w:r>
        <w:t xml:space="preserve"> </w:t>
      </w:r>
      <w:r>
        <w:t xml:space="preserve">“Retrieval-Augmented Generation for Knowledge-Intensive NLP Tasks,”</w:t>
      </w:r>
      <w:r>
        <w:t xml:space="preserve"> </w:t>
      </w:r>
      <w:r>
        <w:rPr>
          <w:i/>
          <w:iCs/>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“BERT: Pre-training of Deep Bidirectional Transformers for Language Understanding,”</w:t>
      </w:r>
      <w:r>
        <w:t xml:space="preserve"> </w:t>
      </w:r>
      <w:r>
        <w:rPr>
          <w:i/>
          <w:iCs/>
        </w:rPr>
        <w:t xml:space="preserve">Proceedings of NAACL</w:t>
      </w:r>
      <w:r>
        <w:t xml:space="preserve">, pp. 4171-4186, 2019.</w:t>
      </w:r>
    </w:p>
    <w:p>
      <w:pPr>
        <w:pStyle w:val="BodyText"/>
      </w:pPr>
      <w:r>
        <w:t xml:space="preserve">[3] S. Wu et al.,</w:t>
      </w:r>
      <w:r>
        <w:t xml:space="preserve"> </w:t>
      </w:r>
      <w:r>
        <w:t xml:space="preserve">“BloombergGPT: A Large Language Model for Finance,”</w:t>
      </w:r>
      <w:r>
        <w:t xml:space="preserve"> </w:t>
      </w:r>
      <w:r>
        <w:rPr>
          <w:i/>
          <w:iCs/>
        </w:rPr>
        <w:t xml:space="preserve">arXiv preprint arXiv:2303.17564</w:t>
      </w:r>
      <w:r>
        <w:t xml:space="preserve">, 2023.</w:t>
      </w:r>
    </w:p>
    <w:p>
      <w:pPr>
        <w:pStyle w:val="BodyText"/>
      </w:pPr>
      <w:r>
        <w:t xml:space="preserve">[4] A. Vaswani et al.,</w:t>
      </w:r>
      <w:r>
        <w:t xml:space="preserve"> </w:t>
      </w:r>
      <w:r>
        <w:t xml:space="preserve">“Attention Is All You Need,”</w:t>
      </w:r>
      <w:r>
        <w:t xml:space="preserve"> </w:t>
      </w:r>
      <w:r>
        <w:rPr>
          <w:i/>
          <w:iCs/>
        </w:rPr>
        <w:t xml:space="preserve">Advances in Neural Information Processing Systems</w:t>
      </w:r>
      <w:r>
        <w:t xml:space="preserve">, 2017.</w:t>
      </w:r>
    </w:p>
    <w:p>
      <w:pPr>
        <w:pStyle w:val="BodyText"/>
      </w:pPr>
      <w:r>
        <w:t xml:space="preserve">[5] K. Bourne,</w:t>
      </w:r>
      <w:r>
        <w:t xml:space="preserve"> </w:t>
      </w:r>
      <w:r>
        <w:rPr>
          <w:i/>
          <w:iCs/>
        </w:rPr>
        <w:t xml:space="preserve">Unlocking Data with Generative AI and RAG</w:t>
      </w:r>
      <w:r>
        <w:t xml:space="preserve">. O’Reilly Media, 2024.</w:t>
      </w:r>
    </w:p>
    <w:p>
      <w:pPr>
        <w:pStyle w:val="BodyText"/>
      </w:pPr>
      <w:r>
        <w:t xml:space="preserve">[6] X. Gao et al.,</w:t>
      </w:r>
      <w:r>
        <w:t xml:space="preserve"> </w:t>
      </w:r>
      <w:r>
        <w:t xml:space="preserve">“Retrieval-Augmented Generation for Large Language Models: A Survey,”</w:t>
      </w:r>
      <w:r>
        <w:t xml:space="preserve"> </w:t>
      </w:r>
      <w:r>
        <w:rPr>
          <w:i/>
          <w:iCs/>
        </w:rPr>
        <w:t xml:space="preserve">arXiv preprint arXiv:2312.10997</w:t>
      </w:r>
      <w:r>
        <w:t xml:space="preserve">, 2024.</w:t>
      </w:r>
    </w:p>
    <w:p>
      <w:pPr>
        <w:pStyle w:val="BodyText"/>
      </w:pPr>
      <w:r>
        <w:t xml:space="preserve">[7] A. García and M. López,</w:t>
      </w:r>
      <w:r>
        <w:t xml:space="preserve"> </w:t>
      </w:r>
      <w:r>
        <w:t xml:space="preserve">“Evaluating BERT and Transformers for Named Entity Recognition in Spanish,”</w:t>
      </w:r>
      <w:r>
        <w:t xml:space="preserve"> </w:t>
      </w:r>
      <w:r>
        <w:rPr>
          <w:i/>
          <w:iCs/>
        </w:rPr>
        <w:t xml:space="preserve">Proceedings of IberLEF</w:t>
      </w:r>
      <w:r>
        <w:t xml:space="preserve">, 2021.</w:t>
      </w:r>
    </w:p>
    <w:p>
      <w:pPr>
        <w:pStyle w:val="BodyText"/>
      </w:pPr>
      <w:r>
        <w:t xml:space="preserve">[8] T. Brown et al.,</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[9] M. Chang, J. Kim, and S. Park,</w:t>
      </w:r>
      <w:r>
        <w:t xml:space="preserve"> </w:t>
      </w:r>
      <w:r>
        <w:t xml:space="preserve">“RAG for Financial Document Analysis: A Practical Framework,”</w:t>
      </w:r>
      <w:r>
        <w:t xml:space="preserve"> </w:t>
      </w:r>
      <w:r>
        <w:rPr>
          <w:i/>
          <w:iCs/>
        </w:rPr>
        <w:t xml:space="preserve">Journal of Financial Data Science</w:t>
      </w:r>
      <w:r>
        <w:t xml:space="preserve">, vol. 6, no. 2, pp. 45-62, 2024.</w:t>
      </w:r>
    </w:p>
    <w:p>
      <w:pPr>
        <w:pStyle w:val="BodyText"/>
      </w:pPr>
      <w:r>
        <w:t xml:space="preserve">[10] J. Smith, L. Johnson, and R. Davis,</w:t>
      </w:r>
      <w:r>
        <w:t xml:space="preserve"> </w:t>
      </w:r>
      <w:r>
        <w:t xml:space="preserve">“Conditional Random Fields for Named Entity Recognition in Financial Texts,”</w:t>
      </w:r>
      <w:r>
        <w:t xml:space="preserve"> </w:t>
      </w:r>
      <w:r>
        <w:rPr>
          <w:i/>
          <w:iCs/>
        </w:rPr>
        <w:t xml:space="preserve">ACM Transactions on Intelligent Systems</w:t>
      </w:r>
      <w:r>
        <w:t xml:space="preserve">, vol. 10, no. 3, pp. 1-25, 2019.</w:t>
      </w:r>
    </w:p>
    <w:p>
      <w:pPr>
        <w:pStyle w:val="BodyText"/>
      </w:pPr>
      <w:r>
        <w:t xml:space="preserve">[11] T. Ahia et al.,</w:t>
      </w:r>
      <w:r>
        <w:t xml:space="preserve"> </w:t>
      </w:r>
      <w:r>
        <w:t xml:space="preserve">“Do All Languages Cost the Same? Tokenization in the Era of Commercial Language Models,”</w:t>
      </w:r>
      <w:r>
        <w:t xml:space="preserve"> </w:t>
      </w:r>
      <w:r>
        <w:rPr>
          <w:i/>
          <w:iCs/>
        </w:rPr>
        <w:t xml:space="preserve">Proceedings of EMNLP</w:t>
      </w:r>
      <w:r>
        <w:t xml:space="preserve">, 2023.</w:t>
      </w:r>
    </w:p>
    <w:p>
      <w:pPr>
        <w:pStyle w:val="BodyText"/>
      </w:pPr>
      <w:r>
        <w:t xml:space="preserve">[13] J. Wei et al.,</w:t>
      </w:r>
      <w:r>
        <w:t xml:space="preserve"> </w:t>
      </w:r>
      <w:r>
        <w:t xml:space="preserve">“Chain-of-Thought Prompting Elicits Reasoning in Large Language Models,”</w:t>
      </w:r>
      <w:r>
        <w:t xml:space="preserve"> </w:t>
      </w:r>
      <w:r>
        <w:rPr>
          <w:i/>
          <w:iCs/>
        </w:rPr>
        <w:t xml:space="preserve">Advances in Neural Information Processing Systems</w:t>
      </w:r>
      <w:r>
        <w:t xml:space="preserve">, vol. 35, 2022.</w:t>
      </w:r>
    </w:p>
    <w:p>
      <w:pPr>
        <w:pStyle w:val="BodyText"/>
      </w:pPr>
      <w:r>
        <w:t xml:space="preserve">[14] A. Zhao et al.,</w:t>
      </w:r>
      <w:r>
        <w:t xml:space="preserve"> </w:t>
      </w:r>
      <w:r>
        <w:t xml:space="preserve">“Calibrate Before Use: Improving Few-Shot Performance of Language Models,”</w:t>
      </w:r>
      <w:r>
        <w:t xml:space="preserve"> </w:t>
      </w:r>
      <w:r>
        <w:rPr>
          <w:i/>
          <w:iCs/>
        </w:rPr>
        <w:t xml:space="preserve">Proceedings of ICML</w:t>
      </w:r>
      <w:r>
        <w:t xml:space="preserve">, 2021.</w:t>
      </w:r>
    </w:p>
    <w:p>
      <w:pPr>
        <w:pStyle w:val="BodyText"/>
      </w:pPr>
      <w:r>
        <w:t xml:space="preserve">[15] M. Min et al.,</w:t>
      </w:r>
      <w:r>
        <w:t xml:space="preserve"> </w:t>
      </w:r>
      <w:r>
        <w:t xml:space="preserve">“FiNER: Financial Named Entity Recognition Dataset and Benchmark,”</w:t>
      </w:r>
      <w:r>
        <w:t xml:space="preserve"> </w:t>
      </w:r>
      <w:r>
        <w:rPr>
          <w:i/>
          <w:iCs/>
        </w:rPr>
        <w:t xml:space="preserve">Proceedings of ACL</w:t>
      </w:r>
      <w:r>
        <w:t xml:space="preserve">, 2023.</w:t>
      </w:r>
    </w:p>
    <w:p>
      <w:pPr>
        <w:pStyle w:val="BodyText"/>
      </w:pPr>
      <w:r>
        <w:t xml:space="preserve">[16] R. Schwartz et al.,</w:t>
      </w:r>
      <w:r>
        <w:t xml:space="preserve"> </w:t>
      </w:r>
      <w:r>
        <w:t xml:space="preserve">“Green AI,”</w:t>
      </w:r>
      <w:r>
        <w:t xml:space="preserve"> </w:t>
      </w:r>
      <w:r>
        <w:rPr>
          <w:i/>
          <w:iCs/>
        </w:rPr>
        <w:t xml:space="preserve">Communications of the ACM</w:t>
      </w:r>
      <w:r>
        <w:t xml:space="preserve">, vol. 63, no. 12, pp. 54-63, 2020.</w:t>
      </w:r>
    </w:p>
    <w:p>
      <w:pPr>
        <w:pStyle w:val="BodyText"/>
      </w:pPr>
      <w:r>
        <w:t xml:space="preserve">[17] J. Lafferty, A. McCallum, and F. Pereira,</w:t>
      </w:r>
      <w:r>
        <w:t xml:space="preserve"> </w:t>
      </w:r>
      <w:r>
        <w:t xml:space="preserve">“Conditional Random Fields: Probabilistic Models for Segmenting and Labeling Sequence Data,”</w:t>
      </w:r>
      <w:r>
        <w:t xml:space="preserve"> </w:t>
      </w:r>
      <w:r>
        <w:rPr>
          <w:i/>
          <w:iCs/>
        </w:rPr>
        <w:t xml:space="preserve">Proceedings of ICML</w:t>
      </w:r>
      <w:r>
        <w:t xml:space="preserve">, pp. 282-289, 2001.</w:t>
      </w:r>
    </w:p>
    <w:p>
      <w:pPr>
        <w:pStyle w:val="BodyText"/>
      </w:pPr>
      <w:r>
        <w:t xml:space="preserve">[18] Kleptotrace/CoNLL-2002 Project,</w:t>
      </w:r>
      <w:r>
        <w:t xml:space="preserve"> </w:t>
      </w:r>
      <w:r>
        <w:t xml:space="preserve">“balanced Kleptotrace/CoNLL-2002/CoNLL-2002 dataset: Financial Sanctions and Money Laundering News Corpus,”</w:t>
      </w:r>
      <w:r>
        <w:t xml:space="preserve"> </w:t>
      </w:r>
      <w:r>
        <w:t xml:space="preserve">[Online]. Available: https://Kleptotrace/CoNLL-2002.org, 2024.</w:t>
      </w:r>
    </w:p>
    <w:p>
      <w:pPr>
        <w:pStyle w:val="BodyText"/>
      </w:pPr>
      <w:r>
        <w:t xml:space="preserve">[19] OpenSanctions,</w:t>
      </w:r>
      <w:r>
        <w:t xml:space="preserve"> </w:t>
      </w:r>
      <w:r>
        <w:t xml:space="preserve">“OpenSanctions: Open Data on Sanctions Lists and Politically Exposed Persons,”</w:t>
      </w:r>
      <w:r>
        <w:t xml:space="preserve"> </w:t>
      </w:r>
      <w:r>
        <w:t xml:space="preserve">[Online]. Available: https://www.opensanctions.org, 2024.</w:t>
      </w:r>
    </w:p>
    <w:p>
      <w:pPr>
        <w:pStyle w:val="BodyText"/>
      </w:pPr>
      <w:r>
        <w:t xml:space="preserve">[20] T. Dettmers et al.,</w:t>
      </w:r>
      <w:r>
        <w:t xml:space="preserve"> </w:t>
      </w:r>
      <w:r>
        <w:t xml:space="preserve">“QLoRA: Efficient Finetuning of Quantized LLMs,”</w:t>
      </w:r>
      <w:r>
        <w:t xml:space="preserve"> </w:t>
      </w:r>
      <w:r>
        <w:rPr>
          <w:i/>
          <w:iCs/>
        </w:rPr>
        <w:t xml:space="preserve">Advances in Neural Information Processing Systems</w:t>
      </w:r>
      <w:r>
        <w:t xml:space="preserve">, vol. 36, 2023.</w:t>
      </w:r>
    </w:p>
    <w:p>
      <w:r>
        <w:pict>
          <v:rect style="width:0;height:1.5pt" o:hralign="center" o:hrstd="t" o:hr="t"/>
        </w:pict>
      </w:r>
    </w:p>
    <w:bookmarkEnd w:id="61"/>
    <w:bookmarkStart w:id="65" w:name="anexos"/>
    <w:p>
      <w:pPr>
        <w:pStyle w:val="Heading2"/>
      </w:pPr>
      <w:r>
        <w:t xml:space="preserve">9. ANEXOS</w:t>
      </w:r>
    </w:p>
    <w:bookmarkStart w:id="62" w:name="Xaca78421cf1c1e56e2e6c09f11f200d52d864ce"/>
    <w:p>
      <w:pPr>
        <w:pStyle w:val="Heading3"/>
      </w:pPr>
      <w:r>
        <w:t xml:space="preserve">Anexo A — Estructura del Repositorio de Código</w:t>
      </w:r>
    </w:p>
    <w:p>
      <w:pPr>
        <w:pStyle w:val="SourceCode"/>
      </w:pPr>
      <w:r>
        <w:rPr>
          <w:rStyle w:val="VerbatimChar"/>
        </w:rPr>
        <w:t xml:space="preserve">repos/ner-llm-entity-benchmark/</w:t>
      </w:r>
      <w:r>
        <w:br/>
      </w:r>
      <w:r>
        <w:rPr>
          <w:rStyle w:val="VerbatimChar"/>
        </w:rPr>
        <w:t xml:space="preserve">├── src/</w:t>
      </w:r>
      <w:r>
        <w:br/>
      </w:r>
      <w:r>
        <w:rPr>
          <w:rStyle w:val="VerbatimChar"/>
        </w:rPr>
        <w:t xml:space="preserve">│   ├── main.py                  # Orquestador principal</w:t>
      </w:r>
      <w:r>
        <w:br/>
      </w:r>
      <w:r>
        <w:rPr>
          <w:rStyle w:val="VerbatimChar"/>
        </w:rPr>
        <w:t xml:space="preserve">│   ├── config.py                # Configuración global</w:t>
      </w:r>
      <w:r>
        <w:br/>
      </w:r>
      <w:r>
        <w:rPr>
          <w:rStyle w:val="VerbatimChar"/>
        </w:rPr>
        <w:t xml:space="preserve">│   ├── data_loader.py           # Carga y validación del corpus</w:t>
      </w:r>
      <w:r>
        <w:br/>
      </w:r>
      <w:r>
        <w:rPr>
          <w:rStyle w:val="VerbatimChar"/>
        </w:rPr>
        <w:t xml:space="preserve">│   ├── llm_runner.py            # Runner LLM con parseo en cascada</w:t>
      </w:r>
      <w:r>
        <w:br/>
      </w:r>
      <w:r>
        <w:rPr>
          <w:rStyle w:val="VerbatimChar"/>
        </w:rPr>
        <w:t xml:space="preserve">│   ├── evaluator.py             # Métricas F1 + ANOVA + Tukey HSD</w:t>
      </w:r>
      <w:r>
        <w:br/>
      </w:r>
      <w:r>
        <w:rPr>
          <w:rStyle w:val="VerbatimChar"/>
        </w:rPr>
        <w:t xml:space="preserve">│   ├── pub_sub.py               # Cola Pub/Sub multithreading</w:t>
      </w:r>
      <w:r>
        <w:br/>
      </w:r>
      <w:r>
        <w:rPr>
          <w:rStyle w:val="VerbatimChar"/>
        </w:rPr>
        <w:t xml:space="preserve">│   ├── adaptive_workers.py      # Controlador AIMD</w:t>
      </w:r>
      <w:r>
        <w:br/>
      </w:r>
      <w:r>
        <w:rPr>
          <w:rStyle w:val="VerbatimChar"/>
        </w:rPr>
        <w:t xml:space="preserve">│   ├── checkpoint.py            # Persistencia de estado</w:t>
      </w:r>
      <w:r>
        <w:br/>
      </w:r>
      <w:r>
        <w:rPr>
          <w:rStyle w:val="VerbatimChar"/>
        </w:rPr>
        <w:t xml:space="preserve">│   ├── dashboard.py             # Interfaz Streamlit (7 pestañas)</w:t>
      </w:r>
      <w:r>
        <w:br/>
      </w:r>
      <w:r>
        <w:rPr>
          <w:rStyle w:val="VerbatimChar"/>
        </w:rPr>
        <w:t xml:space="preserve">│   └── providers/</w:t>
      </w:r>
      <w:r>
        <w:br/>
      </w:r>
      <w:r>
        <w:rPr>
          <w:rStyle w:val="VerbatimChar"/>
        </w:rPr>
        <w:t xml:space="preserve">│       ├── base.py              # LLMProvider ABC</w:t>
      </w:r>
      <w:r>
        <w:br/>
      </w:r>
      <w:r>
        <w:rPr>
          <w:rStyle w:val="VerbatimChar"/>
        </w:rPr>
        <w:t xml:space="preserve">│       ├── factory.py           # LLMProviderFactory</w:t>
      </w:r>
      <w:r>
        <w:br/>
      </w:r>
      <w:r>
        <w:rPr>
          <w:rStyle w:val="VerbatimChar"/>
        </w:rPr>
        <w:t xml:space="preserve">│       ├── ollama_provider.py   # Proveedor Ollama</w:t>
      </w:r>
      <w:r>
        <w:br/>
      </w:r>
      <w:r>
        <w:rPr>
          <w:rStyle w:val="VerbatimChar"/>
        </w:rPr>
        <w:t xml:space="preserve">│       ├── openai_provider.py   # Proveedor OpenAI</w:t>
      </w:r>
      <w:r>
        <w:br/>
      </w:r>
      <w:r>
        <w:rPr>
          <w:rStyle w:val="VerbatimChar"/>
        </w:rPr>
        <w:t xml:space="preserve">│       └── __init__.py          # Facade get_provider()</w:t>
      </w:r>
      <w:r>
        <w:br/>
      </w:r>
      <w:r>
        <w:rPr>
          <w:rStyle w:val="VerbatimChar"/>
        </w:rPr>
        <w:t xml:space="preserve">├── data/</w:t>
      </w:r>
      <w:r>
        <w:br/>
      </w:r>
      <w:r>
        <w:rPr>
          <w:rStyle w:val="VerbatimChar"/>
        </w:rPr>
        <w:t xml:space="preserve">│   ├── benchmark_balanced_120.json         # Corpus N=15 (Gold Standard)</w:t>
      </w:r>
      <w:r>
        <w:br/>
      </w:r>
      <w:r>
        <w:rPr>
          <w:rStyle w:val="VerbatimChar"/>
        </w:rPr>
        <w:t xml:space="preserve">│   └── benchmark_balanced_120.json  # Corpus N=30</w:t>
      </w:r>
      <w:r>
        <w:br/>
      </w:r>
      <w:r>
        <w:rPr>
          <w:rStyle w:val="VerbatimChar"/>
        </w:rPr>
        <w:t xml:space="preserve">├── results/                     # Salidas del benchmark</w:t>
      </w:r>
      <w:r>
        <w:br/>
      </w:r>
      <w:r>
        <w:rPr>
          <w:rStyle w:val="VerbatimChar"/>
        </w:rPr>
        <w:t xml:space="preserve">│   ├── benchmark_results.csv</w:t>
      </w:r>
      <w:r>
        <w:br/>
      </w:r>
      <w:r>
        <w:rPr>
          <w:rStyle w:val="VerbatimChar"/>
        </w:rPr>
        <w:t xml:space="preserve">│   ├── benchmark_summary.json</w:t>
      </w:r>
      <w:r>
        <w:br/>
      </w:r>
      <w:r>
        <w:rPr>
          <w:rStyle w:val="VerbatimChar"/>
        </w:rPr>
        <w:t xml:space="preserve">│   ├── statistical_report.md</w:t>
      </w:r>
      <w:r>
        <w:br/>
      </w:r>
      <w:r>
        <w:rPr>
          <w:rStyle w:val="VerbatimChar"/>
        </w:rPr>
        <w:t xml:space="preserve">│   └── detailed_results.json</w:t>
      </w:r>
      <w:r>
        <w:br/>
      </w:r>
      <w:r>
        <w:rPr>
          <w:rStyle w:val="VerbatimChar"/>
        </w:rPr>
        <w:t xml:space="preserve">├── prompts/</w:t>
      </w:r>
      <w:r>
        <w:br/>
      </w:r>
      <w:r>
        <w:rPr>
          <w:rStyle w:val="VerbatimChar"/>
        </w:rPr>
        <w:t xml:space="preserve">│   ├── SYSTEM_PROMPT_ES.md      # Prompt few-shot en español</w:t>
      </w:r>
      <w:r>
        <w:br/>
      </w:r>
      <w:r>
        <w:rPr>
          <w:rStyle w:val="VerbatimChar"/>
        </w:rPr>
        <w:t xml:space="preserve">│   └── SYSTEM_PROMPT_EN.md      # Prompt few-shot en inglés</w:t>
      </w:r>
      <w:r>
        <w:br/>
      </w:r>
      <w:r>
        <w:rPr>
          <w:rStyle w:val="VerbatimChar"/>
        </w:rPr>
        <w:t xml:space="preserve">└── run_benchmark.sh             # Script de ejecución</w:t>
      </w:r>
    </w:p>
    <w:bookmarkEnd w:id="62"/>
    <w:bookmarkStart w:id="63" w:name="X54e9698bbc1f2382756d1304099b36dec1afca8"/>
    <w:p>
      <w:pPr>
        <w:pStyle w:val="Heading3"/>
      </w:pPr>
      <w:r>
        <w:t xml:space="preserve">Anexo B — Prompt del Sistema (Versión Few-Shot Español)</w:t>
      </w:r>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bookmarkEnd w:id="63"/>
    <w:bookmarkStart w:id="64" w:name="Xe7f0b4d4120ae8dc0d5b45f2e99d0019e7f14f8"/>
    <w:p>
      <w:pPr>
        <w:pStyle w:val="Heading3"/>
      </w:pPr>
      <w:r>
        <w:t xml:space="preserve">Anexo C — Configuración del Entorno de Pruebas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Hardware</w:t>
            </w:r>
          </w:p>
        </w:tc>
        <w:tc>
          <w:tcPr/>
          <w:p>
            <w:pPr>
              <w:pStyle w:val="Compact"/>
              <w:jc w:val="left"/>
            </w:pPr>
            <w:r>
              <w:t xml:space="preserve">Apple MacBook Pro, chip M4 Max</w:t>
            </w:r>
          </w:p>
        </w:tc>
      </w:tr>
      <w:tr>
        <w:tc>
          <w:tcPr/>
          <w:p>
            <w:pPr>
              <w:pStyle w:val="Compact"/>
              <w:jc w:val="left"/>
            </w:pPr>
            <w:r>
              <w:t xml:space="preserve">Memoria Unificada</w:t>
            </w:r>
          </w:p>
        </w:tc>
        <w:tc>
          <w:tcPr/>
          <w:p>
            <w:pPr>
              <w:pStyle w:val="Compact"/>
              <w:jc w:val="left"/>
            </w:pPr>
            <w:r>
              <w:t xml:space="preserve">16 GB Metal (MPS)</w:t>
            </w:r>
          </w:p>
        </w:tc>
      </w:tr>
      <w:tr>
        <w:tc>
          <w:tcPr/>
          <w:p>
            <w:pPr>
              <w:pStyle w:val="Compact"/>
              <w:jc w:val="left"/>
            </w:pPr>
            <w:r>
              <w:t xml:space="preserve">Sistema Operativo</w:t>
            </w:r>
          </w:p>
        </w:tc>
        <w:tc>
          <w:tcPr/>
          <w:p>
            <w:pPr>
              <w:pStyle w:val="Compact"/>
              <w:jc w:val="left"/>
            </w:pPr>
            <w:r>
              <w:t xml:space="preserve">macOS 15.x (Sequoia)</w:t>
            </w:r>
          </w:p>
        </w:tc>
      </w:tr>
      <w:tr>
        <w:tc>
          <w:tcPr/>
          <w:p>
            <w:pPr>
              <w:pStyle w:val="Compact"/>
              <w:jc w:val="left"/>
            </w:pPr>
            <w:r>
              <w:t xml:space="preserve">Python</w:t>
            </w:r>
          </w:p>
        </w:tc>
        <w:tc>
          <w:tcPr/>
          <w:p>
            <w:pPr>
              <w:pStyle w:val="Compact"/>
              <w:jc w:val="left"/>
            </w:pPr>
            <w:r>
              <w:t xml:space="preserve">3.13.0</w:t>
            </w:r>
          </w:p>
        </w:tc>
      </w:tr>
      <w:tr>
        <w:tc>
          <w:tcPr/>
          <w:p>
            <w:pPr>
              <w:pStyle w:val="Compact"/>
              <w:jc w:val="left"/>
            </w:pPr>
            <w:r>
              <w:t xml:space="preserve">Ollama</w:t>
            </w:r>
          </w:p>
        </w:tc>
        <w:tc>
          <w:tcPr/>
          <w:p>
            <w:pPr>
              <w:pStyle w:val="Compact"/>
              <w:jc w:val="left"/>
            </w:pPr>
            <w:r>
              <w:t xml:space="preserve">0.6+</w:t>
            </w:r>
          </w:p>
        </w:tc>
      </w:tr>
      <w:tr>
        <w:tc>
          <w:tcPr/>
          <w:p>
            <w:pPr>
              <w:pStyle w:val="Compact"/>
              <w:jc w:val="left"/>
            </w:pPr>
            <w:r>
              <w:t xml:space="preserve">Modelos descargados</w:t>
            </w:r>
          </w:p>
        </w:tc>
        <w:tc>
          <w:tcPr/>
          <w:p>
            <w:pPr>
              <w:pStyle w:val="Compact"/>
              <w:jc w:val="left"/>
            </w:pPr>
            <w:r>
              <w:t xml:space="preserve">gemma4:31b (19 GB), gemma4:12b (5 GB), llama3.2 (2 GB), deepseek-r1:1.5b (1.1 GB)</w:t>
            </w:r>
          </w:p>
        </w:tc>
      </w:tr>
      <w:tr>
        <w:tc>
          <w:tcPr/>
          <w:p>
            <w:pPr>
              <w:pStyle w:val="Compact"/>
              <w:jc w:val="left"/>
            </w:pPr>
            <w:r>
              <w:t xml:space="preserve">Tiempo total de benchmark (N=30, 2 modelos)</w:t>
            </w:r>
          </w:p>
        </w:tc>
        <w:tc>
          <w:tcPr/>
          <w:p>
            <w:pPr>
              <w:pStyle w:val="Compact"/>
              <w:jc w:val="left"/>
            </w:pPr>
            <w:r>
              <w:t xml:space="preserve">~29 minutos (serial)</w:t>
            </w:r>
          </w:p>
        </w:tc>
      </w:tr>
    </w:tbl>
    <w:p>
      <w:r>
        <w:pict>
          <v:rect style="width:0;height:1.5pt" o:hralign="center" o:hrstd="t" o:hr="t"/>
        </w:pict>
      </w:r>
    </w:p>
    <w:p>
      <w:pPr>
        <w:pStyle w:val="FirstParagraph"/>
      </w:pPr>
      <w:r>
        <w:rPr>
          <w:i/>
          <w:iCs/>
        </w:rPr>
        <w:t xml:space="preserve">Informe Final de Tesina — Magíster en Tecnologías de la Información (MTI)</w:t>
      </w:r>
      <w:r>
        <w:br/>
      </w:r>
      <w:r>
        <w:rPr>
          <w:i/>
          <w:iCs/>
        </w:rPr>
        <w:t xml:space="preserve">Universidad Técnica Federico Santa María — Valparaíso, Chile</w:t>
      </w:r>
      <w:r>
        <w:br/>
      </w:r>
      <w:r>
        <w:rPr>
          <w:i/>
          <w:iCs/>
        </w:rPr>
        <w:t xml:space="preserve">Julio 2026</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2026-08-24T19:11:38Z</dcterms:created>
  <dcterms:modified xsi:type="dcterms:W3CDTF">2026-08-24T19:11:38Z</dcterms:modified>
</cp:coreProperties>
</file>

<file path=docProps/custom.xml><?xml version="1.0" encoding="utf-8"?>
<Properties xmlns="http://schemas.openxmlformats.org/officeDocument/2006/custom-properties" xmlns:vt="http://schemas.openxmlformats.org/officeDocument/2006/docPropsVTypes"/>
</file>