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y 30 del dominio en inglés; contrastó la extracción directa con la generación aumentada por recuperación (RAG) contextual y midió las diferencias con ANOVA y Tukey HSD. El beneficio del RAG decrece con la capacidad del modelo: solo alcanza significancia en dos de los trece (+14,5 y +10,8 puntos de F1) y es nulo o adverso en los mayores. Redactar el prompt en español con ejemplos </w:t>
      </w:r>
      <w:r>
        <w:rPr>
          <w:i/>
        </w:rPr>
        <w:t>few-shot</w:t>
      </w:r>
      <w:r>
        <w:t xml:space="preserve"> aporta +10,4 puntos en el corpus de quince artículos, mejora que no replica sobre el corpus mayor. Restringida la medición a las categorías que el corpus anota, el mejor modelo local alcanza 76,55 % de F1 en español y 90,16 % en el dominio, preservando la confidencialidad.</w:t>
      </w:r>
    </w:p>
    <w:p>
      <w:pPr>
        <w:numPr>
          <w:ilvl w:val="0"/>
          <w:numId w:val="0"/>
        </w:numPr>
        <w:pStyle w:val="keywords"/>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and 30 domain ones in English; contrasted direct extraction with contextual retrieval-augmented generation (RAG) and measured the differences with ANOVA and Tukey HSD. The benefit of RAG decreases with model capacity: it reaches significance in only two of the thirteen (+14.5 and +10.8 F1 points) and is null or adverse in the larger ones. Writing the prompt in Spanish with </w:t>
      </w:r>
      <w:r>
        <w:rPr>
          <w:i/>
        </w:rPr>
        <w:t>few-shot</w:t>
      </w:r>
      <w:r>
        <w:t xml:space="preserve"> examples yields +10.4 points on the fifteen-article corpus, an improvement that does not replicate on the larger corpus. With scoring restricted to the categories the corpus annotates, the best local model reaches 76.55 % F1 in Spanish and 90.16 % on the domain corpus, preserving confidentiality.</w:t>
      </w:r>
    </w:p>
    <w:p>
      <w:pPr>
        <w:numPr>
          <w:ilvl w:val="0"/>
          <w:numId w:val="0"/>
        </w:numPr>
        <w:pStyle w:val="keywords"/>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w:t>
      </w:r>
    </w:p>
    <w:p>
      <w:pPr>
        <w:numPr>
          <w:ilvl w:val="0"/>
          <w:numId w:val="0"/>
        </w:numPr>
        <w:pStyle w:val="numbereditem"/>
      </w:pPr>
      <w:r>
        <w:t>Conclusiones y Trabajo Futuro</w:t>
      </w:r>
    </w:p>
    <w:p>
      <w:pPr>
        <w:numPr>
          <w:ilvl w:val="0"/>
          <w:numId w:val="0"/>
        </w:numPr>
        <w:pStyle w:val="numbereditem"/>
      </w:pPr>
      <w:r>
        <w:t>Referencias Bibliográficas</w:t>
      </w:r>
    </w:p>
    <w:p>
      <w:pPr>
        <w:numPr>
          <w:ilvl w:val="0"/>
          <w:numId w:val="0"/>
        </w:numPr>
        <w:pStyle w:val="numbered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brecha que este trabajo aborda se sitúa precisamente en esa intersección vacía: obtener un desempeño aprovechable sin datos etiquetados del dominio y sin ceder los datos a un tercero.</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(§5.3.5).</w:t>
      </w:r>
    </w:p>
    <w:p>
      <w:pPr>
        <w:numPr>
          <w:ilvl w:val="0"/>
          <w:numId w:val="0"/>
        </w:numPr>
        <w:pStyle w:val="numbereditem"/>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y de personas expuestas políticamente [19].</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w:t>
      </w:r>
    </w:p>
    <w:p>
      <w:pPr>
        <w:numPr>
          <w:ilvl w:val="0"/>
          <w:numId w:val="0"/>
        </w:numPr>
        <w:pStyle w:val="tablecaption"/>
      </w:pPr>
      <w:r>
        <w:t>Tabla 1. Familias de técnicas para el reconocimiento de entidades y su comportamiento frente a los criterios de selección.</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p1a"/>
      </w:pPr>
      <w:r>
        <w:t>La Generación Aumentada por Recuperación (RAG) [1] fundamenta la generación en información recuperada en tiempo de consulta, en lugar de confiarla exclusivamente a los pesos del modelo.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[5],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p1a"/>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dxa" w:w="8838"/>
        <w:tblLayout w:type="fixed"/>
        <w:tblLook w:firstRow="1" w:lastRow="0" w:firstColumn="0" w:lastColumn="0" w:noHBand="0" w:noVBand="0" w:val="0020"/>
      </w:tblPr>
      <w:tblGrid>
        <w:gridCol w:w="1295"/>
        <w:gridCol w:w="2376"/>
        <w:gridCol w:w="1523"/>
        <w:gridCol w:w="1447"/>
        <w:gridCol w:w="900"/>
        <w:gridCol w:w="1297"/>
      </w:tblGrid>
      <w:tr>
        <w:trPr>
          <w:tblHeader w:val="on"/>
        </w:trPr>
        <w:tc>
          <w:tcPr>
            <w:tcW w:type="dxa" w:w="1295"/>
          </w:tcPr>
          <w:p>
            <w:pPr>
              <w:pStyle w:val="Compact"/>
              <w:jc w:val="left"/>
            </w:pPr>
            <w:r>
              <w:rPr>
                <w:b/>
              </w:rPr>
              <w:t>Trabajo</w:t>
            </w:r>
          </w:p>
        </w:tc>
        <w:tc>
          <w:tcPr>
            <w:tcW w:type="dxa" w:w="2376"/>
          </w:tcPr>
          <w:p>
            <w:pPr>
              <w:pStyle w:val="Compact"/>
              <w:jc w:val="left"/>
            </w:pPr>
            <w:r>
              <w:rPr>
                <w:b/>
              </w:rPr>
              <w:t>Dataset</w:t>
            </w:r>
          </w:p>
        </w:tc>
        <w:tc>
          <w:tcPr>
            <w:tcW w:type="dxa" w:w="1523"/>
          </w:tcPr>
          <w:p>
            <w:pPr>
              <w:pStyle w:val="Compact"/>
              <w:jc w:val="left"/>
            </w:pPr>
            <w:r>
              <w:rPr>
                <w:b/>
              </w:rPr>
              <w:t>Modelo</w:t>
            </w:r>
          </w:p>
        </w:tc>
        <w:tc>
          <w:tcPr>
            <w:tcW w:type="dxa" w:w="1447"/>
          </w:tcPr>
          <w:p>
            <w:pPr>
              <w:pStyle w:val="Compact"/>
              <w:jc w:val="center"/>
            </w:pPr>
            <w:r>
              <w:rPr>
                <w:b/>
              </w:rPr>
              <w:t>Desempeño publicado</w:t>
            </w:r>
          </w:p>
        </w:tc>
        <w:tc>
          <w:tcPr>
            <w:tcW w:type="dxa" w:w="900"/>
          </w:tcPr>
          <w:p>
            <w:pPr>
              <w:pStyle w:val="Compact"/>
              <w:jc w:val="center"/>
            </w:pPr>
            <w:r>
              <w:rPr>
                <w:b/>
              </w:rPr>
              <w:t>Privacidad</w:t>
            </w:r>
          </w:p>
        </w:tc>
        <w:tc>
          <w:tcPr>
            <w:tcW w:type="dxa" w:w="1297"/>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 xml:space="preserve">76,55 %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última columna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p1a"/>
      </w:pPr>
      <w:r>
        <w:t>El sistema se organiza en cinco capas funcionales con responsabilidades separadas, así que cada una pueda evolucionar sin arrastrar a las demás.</w:t>
      </w:r>
    </w:p>
    <w:p>
      <w:pPr>
        <w:numPr>
          <w:ilvl w:val="0"/>
          <w:numId w:val="0"/>
        </w:numPr>
        <w:pStyle w:val="tablecaption"/>
      </w:pPr>
      <w:r>
        <w:t>Tabla 3. Arquitectura del sistema por capas, con sus módulos y su detalle técnico.</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de esquema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política tomada del control de congestión en redes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emparejamiento difuso a nivel de caracteres, implementado con la función </w:t>
      </w:r>
      <w:r>
        <w:t>ratio</w:t>
      </w:r>
      <w:r>
        <w:t xml:space="preserve"> de la biblioteca </w:t>
      </w:r>
      <w:r>
        <w:rPr>
          <w:i/>
        </w:rPr>
        <w:t>rapidfuzz</w:t>
      </w:r>
      <w:r>
        <w:t xml:space="preserve"> [33],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afecta a la comparabilidad de las cifras absolutas. Los prompts del sistema solicitan tres categorías de entidad, personas, organizaciones y localizaciones, mientras que los tres corpus anotan únicamente las dos primeras: el campo de localizaciones está vacío en los ciento veinte registros. Como el evaluador puntúa las tres categorías, toda localización que el modelo devuelve se contabiliza como falso positivo, sin que exista ninguna forma de acertar en ella. El efecto no es menor: </w:t>
      </w:r>
      <w:r>
        <w:t xml:space="preserve">el </w:t>
      </w:r>
      <w:r>
        <w:rPr>
          <w:b/>
        </w:rPr>
        <w:t xml:space="preserve">66,0 %</w:t>
      </w:r>
      <w:r>
        <w:t xml:space="preserve"> de los falsos positivos del estudio, 12 852 de 19 464, proceden de esa categoría</w:t>
      </w:r>
      <w:r>
        <w:t xml:space="preserve">. Conviene subrayar que se trata de una penalización exclusivamente de precisión, porque al no haber localizaciones anotadas tampoco puede haber omisiones: la exhaustividad no varía en ninguna configuración. Por esa razón este informe acompaña cada resultado de una segunda medición, </w:t>
      </w:r>
      <w:r>
        <w:rPr>
          <w:b/>
        </w:rPr>
        <w:t>restringida a las categorías que el corpus efectivamente anota</w:t>
      </w:r>
      <w:r>
        <w:t>, que se obtiene reagregando los desgloses por tipo ya almacenados y no requiere repetir la inferencia. Las cifras originales se conservan íntegras junto a ella, de modo que el lector pueda juzgar el alcance de la corrección; la Tabla del Anexo I recoge ambas para las cuarenta y nueve configuraciones medidas sobre el corpus N=120.</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dos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heading3"/>
      </w:pPr>
      <w:r>
        <w:t>4.1.1 Generación y validez del corpus sintético N=30</w:t>
      </w:r>
    </w:p>
    <w:p>
      <w:pPr>
        <w:numPr>
          <w:ilvl w:val="0"/>
          <w:numId w:val="0"/>
        </w:numPr>
        <w:pStyle w:val="p1a"/>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4.1.3 Extensión a Corpus Real N=120 (Dataset Conmutable)</w:t>
      </w:r>
    </w:p>
    <w:p>
      <w:pPr>
        <w:numPr>
          <w:ilvl w:val="0"/>
          <w:numId w:val="0"/>
        </w:numPr>
        <w:pStyle w:val="p1a"/>
      </w:pPr>
      <w:r>
        <w:t xml:space="preserve">Tras la validación sobre el corpus sintético N=30 (§4.1.1–4.1.2), y como parte del cierre del proyecto (1 de septiembre de 2026,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heading2"/>
      </w:pPr>
      <w:r>
        <w:t>4.2 Modelos evaluados</w:t>
      </w:r>
    </w:p>
    <w:p>
      <w:pPr>
        <w:numPr>
          <w:ilvl w:val="0"/>
          <w:numId w:val="0"/>
        </w:numPr>
        <w:pStyle w:val="p1a"/>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(§5.3.5)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p1a"/>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tres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tres ejemplos empleados en la configuración few-shot en español cubren un caso de persona sancionada, uno de organización y uno de mención ambigua;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p1a"/>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los segundos que tarda el sistema en procesar un artículo, pero no permite comparar modelos entre sí cuando las corridas usaron distinta concurrencia o distinto hardware, como ocurre en este estudio.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a nivel micro por artículo antes de promediarse entre artículos.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dxa" w:w="8838"/>
        <w:tblLayout w:type="fixed"/>
        <w:tblLook w:firstRow="1" w:lastRow="0" w:firstColumn="0" w:lastColumn="0" w:noHBand="0" w:noVBand="0" w:val="0020"/>
      </w:tblPr>
      <w:tblGrid>
        <w:gridCol w:w="1021"/>
        <w:gridCol w:w="900"/>
        <w:gridCol w:w="948"/>
        <w:gridCol w:w="900"/>
        <w:gridCol w:w="900"/>
        <w:gridCol w:w="900"/>
        <w:gridCol w:w="1232"/>
        <w:gridCol w:w="1137"/>
        <w:gridCol w:w="900"/>
      </w:tblGrid>
      <w:tr>
        <w:trPr>
          <w:tblHeader w:val="on"/>
        </w:trPr>
        <w:tc>
          <w:tcPr>
            <w:tcW w:type="dxa" w:w="1021"/>
          </w:tcPr>
          <w:p>
            <w:pPr>
              <w:pStyle w:val="Compact"/>
              <w:jc w:val="left"/>
            </w:pPr>
            <w:r>
              <w:rPr>
                <w:b/>
              </w:rPr>
              <w:t>Modelo</w:t>
            </w:r>
          </w:p>
        </w:tc>
        <w:tc>
          <w:tcPr>
            <w:tcW w:type="dxa" w:w="900"/>
          </w:tcPr>
          <w:p>
            <w:pPr>
              <w:pStyle w:val="Compact"/>
              <w:jc w:val="left"/>
            </w:pPr>
            <w:r>
              <w:rPr>
                <w:b/>
              </w:rPr>
              <w:t>Tipo</w:t>
            </w:r>
          </w:p>
        </w:tc>
        <w:tc>
          <w:tcPr>
            <w:tcW w:type="dxa" w:w="948"/>
          </w:tcPr>
          <w:p>
            <w:pPr>
              <w:pStyle w:val="Compact"/>
              <w:jc w:val="left"/>
            </w:pPr>
            <w:r>
              <w:rPr>
                <w:b/>
              </w:rPr>
              <w:t>Parámetros</w:t>
            </w:r>
          </w:p>
        </w:tc>
        <w:tc>
          <w:tcPr>
            <w:tcW w:type="dxa" w:w="900"/>
          </w:tcPr>
          <w:p>
            <w:pPr>
              <w:pStyle w:val="Compact"/>
              <w:jc w:val="center"/>
            </w:pPr>
            <w:r>
              <w:rPr>
                <w:b/>
              </w:rPr>
              <w:t>F1</w:t>
            </w:r>
          </w:p>
        </w:tc>
        <w:tc>
          <w:tcPr>
            <w:tcW w:type="dxa" w:w="900"/>
          </w:tcPr>
          <w:p>
            <w:pPr>
              <w:pStyle w:val="Compact"/>
              <w:jc w:val="center"/>
            </w:pPr>
            <w:r>
              <w:rPr>
                <w:b/>
              </w:rPr>
              <w:t>Precisión</w:t>
            </w:r>
          </w:p>
        </w:tc>
        <w:tc>
          <w:tcPr>
            <w:tcW w:type="dxa" w:w="900"/>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900"/>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 xml:space="preserve">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 xml:space="preserve">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p1a"/>
      </w:pPr>
      <w:r>
        <w:t xml:space="preserve">Cifras medidas sobre </w:t>
      </w:r>
      <w:r>
        <w:t xml:space="preserve">results/benchmark_results.csv</w:t>
      </w:r>
      <w:r>
        <w:t xml:space="preserve"> (N=15, modo </w:t>
      </w:r>
      <w:r>
        <w:t xml:space="preserve">entities</w:t>
      </w:r>
      <w:r>
        <w:t xml:space="preserve">), salvo </w:t>
      </w:r>
      <w:r>
        <w:t xml:space="preserve">gemma4:31b</w:t>
      </w:r>
      <w:r>
        <w:t xml:space="preserve"> (</w:t>
      </w:r>
      <w:r>
        <w:t xml:space="preserve">gemma4_31b_n15_REMOTO</w:t>
      </w:r>
      <w:r>
        <w:t xml:space="preserve">), las dos variantes de </w:t>
      </w:r>
      <w:r>
        <w:t xml:space="preserve">gemma4:latest</w:t>
      </w:r>
      <w:r>
        <w:t xml:space="preserve"> (</w:t>
      </w:r>
      <w:r>
        <w:t xml:space="preserve">ablacion_n15_REMOTO</w:t>
      </w:r>
      <w:r>
        <w:t xml:space="preserve">) y </w:t>
      </w:r>
      <w:r>
        <w:t xml:space="preserve">gemma4:31b-cloud</w:t>
      </w:r>
      <w:r>
        <w:t xml:space="preserve"> (</w:t>
      </w:r>
      <w:r>
        <w:t xml:space="preserve">cloud_n15_limpio_20260905</w:t>
      </w:r>
      <w:r>
        <w:t xml:space="preserve">). Las latencias proceden de corridas con distinta concurrencia y hardware, por lo que </w:t>
      </w:r>
      <w:r>
        <w:rPr>
          <w:b/>
        </w:rPr>
        <w:t xml:space="preserve">no son comparables entre filas</w:t>
      </w:r>
      <w:r>
        <w:t xml:space="preserve">; el índice Tok/s/B sí lo es. </w:t>
      </w:r>
      <w:r>
        <w:t xml:space="preserve"/>
      </w:r>
      <w:r>
        <w:t xml:space="preserve"/>
      </w:r>
      <w:r>
        <w:t xml:space="preserve"/>
      </w:r>
      <w:r>
        <w:t xml:space="preserve"/>
      </w:r>
      <w:r>
        <w:t xml:space="preserve"/>
      </w:r>
      <w:r>
        <w:t xml:space="preserve">La columna «Parámetros» recoge la denominación nominal de la etiqueta del modelo, que no siempre coincide con el recuento del manifiesto —1,8B en </w:t>
      </w:r>
      <w:r>
        <w:t xml:space="preserve">deepseek-r1:1.5b</w:t>
      </w:r>
      <w:r>
        <w:t xml:space="preserve">, 4,2B en </w:t>
      </w:r>
      <w:r>
        <w:t xml:space="preserve">nemotron-mini:4b</w:t>
      </w:r>
      <w:r>
        <w:t xml:space="preserve">, 8,2B en </w:t>
      </w:r>
      <w:r>
        <w:t xml:space="preserve">qwen3:8b</w:t>
      </w:r>
      <w:r>
        <w:t xml:space="preserve">, 12,2B en </w:t>
      </w:r>
      <w:r>
        <w:t xml:space="preserve">mistral-nemo</w:t>
      </w:r>
      <w:r>
        <w:t xml:space="preserve">, 31,3B en </w:t>
      </w:r>
      <w:r>
        <w:t xml:space="preserve">gemma4:31b</w:t>
      </w:r>
      <w:r>
        <w:t xml:space="preserve">—, y el índice Tok/s/B se calcula sobre la nominal. </w:t>
      </w:r>
      <w:r>
        <w:t xml:space="preserve">gemma4:31b-cloud</w:t>
      </w:r>
      <w:r>
        <w:t xml:space="preserve"> corre además en BF16 sobre ~32,7B parámetros sin cuantizar, así que su footprint no es comparable con el de las compilaciones locales.</w:t>
      </w:r>
    </w:p>
    <w:p>
      <w:pPr>
        <w:numPr>
          <w:ilvl w:val="0"/>
          <w:numId w:val="0"/>
        </w:numPr>
        <w:pStyle w:val="p1a"/>
      </w:pPr>
      <w:r>
        <w:rPr>
          <w:b/>
        </w:rPr>
        <w:t>Hallazgo 1:</w:t>
      </w:r>
      <w:r>
        <w:t xml:space="preserve"> la familia gemma4 copa las cinco primeras posiciones. gemma4:latest con prompt few-shot en español (74.44%) supera a los dos modelos de 31B, a un tercio de su tamaño.</w:t>
      </w:r>
    </w:p>
    <w:p>
      <w:pPr>
        <w:numPr>
          <w:ilvl w:val="0"/>
          <w:numId w:val="0"/>
        </w:numPr>
        <w:pStyle w:val="p1a"/>
      </w:pPr>
      <w:r>
        <w:rPr>
          <w:b/>
        </w:rPr>
        <w:t>Hallazgo 2:</w:t>
      </w:r>
      <w:r>
        <w:t xml:space="preserve"> gemma4:31b lidera en Recall entre los locales (86.80%) con una tasa de alucinación de 0.16%, y su contraparte cloud alcanza un Recall equivalente (86.88%).</w:t>
      </w:r>
    </w:p>
    <w:p>
      <w:pPr>
        <w:numPr>
          <w:ilvl w:val="0"/>
          <w:numId w:val="0"/>
        </w:numPr>
        <w:pStyle w:val="p1a"/>
      </w:pPr>
      <w:r>
        <w:rPr>
          <w:b/>
        </w:rPr>
        <w:t>Hallazgo 3:</w:t>
      </w:r>
      <w:r>
        <w:t xml:space="preserve"> deepseek-r1:1.5b debe descartarse para producción: F1 de 27.65% y Recall de sólo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tablecaption"/>
      </w:pPr>
      <w:r>
        <w:t xml:space="preserve">Tabla 5. Variantes de prompt sobre </w:t>
      </w:r>
      <w:r>
        <w:t>gemma4:latest</w:t>
      </w:r>
      <w:r>
        <w:t>: diseño factorial de idioma de la instrucción y de los ejemplos (N=15).</w:t>
      </w:r>
    </w:p>
    <w:tbl>
      <w:tblPr>
        <w:tblStyle w:val="Table"/>
        <w:tblW w:type="dxa" w:w="8838"/>
        <w:tblLayout w:type="fixed"/>
        <w:tblLook w:firstRow="1" w:lastRow="0" w:firstColumn="0" w:lastColumn="0" w:noHBand="0" w:noVBand="0" w:val="0020"/>
      </w:tblPr>
      <w:tblGrid>
        <w:gridCol w:w="2254"/>
        <w:gridCol w:w="900"/>
        <w:gridCol w:w="900"/>
        <w:gridCol w:w="900"/>
        <w:gridCol w:w="1293"/>
        <w:gridCol w:w="1194"/>
        <w:gridCol w:w="1397"/>
      </w:tblGrid>
      <w:tr>
        <w:trPr>
          <w:tblHeader w:val="on"/>
        </w:trPr>
        <w:tc>
          <w:tcPr>
            <w:tcW w:type="dxa" w:w="2254"/>
          </w:tcPr>
          <w:p>
            <w:pPr>
              <w:pStyle w:val="Compact"/>
              <w:jc w:val="left"/>
            </w:pPr>
            <w:r>
              <w:rPr>
                <w:b/>
              </w:rPr>
              <w:t>Configuración</w:t>
            </w:r>
          </w:p>
        </w:tc>
        <w:tc>
          <w:tcPr>
            <w:tcW w:type="dxa" w:w="900"/>
          </w:tcPr>
          <w:p>
            <w:pPr>
              <w:pStyle w:val="Compact"/>
              <w:jc w:val="left"/>
            </w:pPr>
            <w:r>
              <w:rPr>
                <w:b/>
              </w:rPr>
              <w:t>F1</w:t>
            </w:r>
          </w:p>
        </w:tc>
        <w:tc>
          <w:tcPr>
            <w:tcW w:type="dxa" w:w="900"/>
          </w:tcPr>
          <w:p>
            <w:pPr>
              <w:pStyle w:val="Compact"/>
              <w:jc w:val="left"/>
            </w:pPr>
            <w:r>
              <w:rPr>
                <w:b/>
              </w:rPr>
              <w:t>Precisión</w:t>
            </w:r>
          </w:p>
        </w:tc>
        <w:tc>
          <w:tcPr>
            <w:tcW w:type="dxa" w:w="900"/>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p1a"/>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p1a"/>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w:t>
      </w:r>
    </w:p>
    <w:p>
      <w:pPr>
        <w:numPr>
          <w:ilvl w:val="0"/>
          <w:numId w:val="0"/>
        </w:numPr>
        <w:pStyle w:val="tablecaption"/>
      </w:pPr>
      <w:r>
        <w:t>Tabla 6. Validación estadística sobre el corpus del dominio (N=30), con intervalos de confianza del 95 %.</w:t>
      </w:r>
    </w:p>
    <w:tbl>
      <w:tblPr>
        <w:tblStyle w:val="Table"/>
        <w:tblW w:type="dxa" w:w="8838"/>
        <w:tblLayout w:type="fixed"/>
        <w:tblLook w:firstRow="1" w:lastRow="0" w:firstColumn="0" w:lastColumn="0" w:noHBand="0" w:noVBand="0" w:val="0020"/>
      </w:tblPr>
      <w:tblGrid>
        <w:gridCol w:w="2028"/>
        <w:gridCol w:w="1014"/>
        <w:gridCol w:w="1303"/>
        <w:gridCol w:w="1014"/>
        <w:gridCol w:w="2579"/>
        <w:gridCol w:w="900"/>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579"/>
          </w:tcPr>
          <w:p>
            <w:pPr>
              <w:pStyle w:val="Compact"/>
              <w:jc w:val="center"/>
            </w:pPr>
            <w:r>
              <w:rPr>
                <w:b/>
              </w:rPr>
              <w:t>IC 95 % del F1</w:t>
            </w:r>
          </w:p>
        </w:tc>
        <w:tc>
          <w:tcPr>
            <w:tcW w:type="dxa" w:w="900"/>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y la diferencia entre ambos debe atribuirse a la variabilidad entre artículos y no a una superioridad real de una compilación sobre la otra. Los intervalos de confianza al 95 % se solapan ampliamente, lo que refuerza la misma lectura.</w:t>
      </w:r>
    </w:p>
    <w:p>
      <w:pPr>
        <w:numPr>
          <w:ilvl w:val="0"/>
          <w:numId w:val="0"/>
        </w:numPr>
        <w:pStyle w:val="Normal"/>
      </w:pPr>
      <w:r>
        <w:t xml:space="preserve">El </w:t>
      </w:r>
      <w:r>
        <w:rPr>
          <w:b/>
        </w:rPr>
        <w:t>análisis de sensibilidad</w:t>
      </w:r>
      <w:r>
        <w:t xml:space="preserve"> completa la validación. Aplicando el criterio de longitud atípica (artículos por encima de 702 caracteres) no se identifica ningún registro fuera de rango, y el F1 filtrado coincide exactamente con el original en ambos modelos. El resultado no depende, por tanto, de unos pocos textos extremos.</w:t>
      </w:r>
    </w:p>
    <w:p>
      <w:pPr>
        <w:numPr>
          <w:ilvl w:val="0"/>
          <w:numId w:val="0"/>
        </w:numPr>
        <w:pStyle w:val="Normal"/>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la precisión coincide hasta el cuarto decimal (73,34 %) y el F1 difiere en menos de medio punto,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5.3.5 Validación Estadística sobre Corpus Real N=120 (estudio completo)</w:t>
      </w:r>
    </w:p>
    <w:p>
      <w:pPr>
        <w:numPr>
          <w:ilvl w:val="0"/>
          <w:numId w:val="0"/>
        </w:numPr>
        <w:pStyle w:val="p1a"/>
      </w:pPr>
      <w:r>
        <w:t xml:space="preserve">Sobre el corpus real N=120 descrito en §4.1.3 se ejecutó el mismo protocolo (ANOVA de una vía + Tukey HSD) para el estudio completo de 13 modelos, cada uno en modo </w:t>
      </w:r>
      <w:r>
        <w:rPr>
          <w:i/>
        </w:rPr>
        <w:t>baseline</w:t>
      </w:r>
      <w:r>
        <w:t xml:space="preserve"> y </w:t>
      </w:r>
      <w:r>
        <w:rPr>
          <w:i/>
        </w:rPr>
        <w:t>KB RAG</w:t>
      </w:r>
      <w:r>
        <w:t xml:space="preserve">, con N=120 observaciones por grupo (26 grupos, 3 120 observaciones). Resultados consolidados en </w:t>
      </w:r>
      <w:r>
        <w:t>results/ANALISIS_CONJUNTO_20260907/</w:t>
      </w:r>
      <w:r>
        <w:t>.</w:t>
      </w:r>
    </w:p>
    <w:p>
      <w:pPr>
        <w:numPr>
          <w:ilvl w:val="0"/>
          <w:numId w:val="0"/>
        </w:numPr>
        <w:pStyle w:val="tablecaption"/>
      </w:pPr>
      <w:r>
        <w:t>Tabla 7. Efecto de la base de conocimientos contextual sobre el corpus real (N=120, trece modelos).</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62.38%</w:t>
            </w:r>
          </w:p>
        </w:tc>
        <w:tc>
          <w:tcPr>
            <w:tcW w:type="dxa" w:w="1262"/>
          </w:tcPr>
          <w:p>
            <w:pPr>
              <w:pStyle w:val="Compact"/>
              <w:jc w:val="left"/>
            </w:pPr>
            <w:r>
              <w:rPr>
                <w:b w:val="0"/>
              </w:rPr>
              <w:t>61.85%</w:t>
            </w:r>
          </w:p>
        </w:tc>
        <w:tc>
          <w:tcPr>
            <w:tcW w:type="dxa" w:w="1262"/>
          </w:tcPr>
          <w:p>
            <w:pPr>
              <w:pStyle w:val="Compact"/>
              <w:jc w:val="center"/>
            </w:pPr>
            <w:r>
              <w:rPr>
                <w:b w:val="0"/>
              </w:rPr>
              <w:t>−0.54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59.25%</w:t>
            </w:r>
          </w:p>
        </w:tc>
        <w:tc>
          <w:tcPr>
            <w:tcW w:type="dxa" w:w="1262"/>
          </w:tcPr>
          <w:p>
            <w:pPr>
              <w:pStyle w:val="Compact"/>
              <w:jc w:val="left"/>
            </w:pPr>
            <w:r>
              <w:rPr>
                <w:b w:val="0"/>
              </w:rPr>
              <w:t>59.07%</w:t>
            </w:r>
          </w:p>
        </w:tc>
        <w:tc>
          <w:tcPr>
            <w:tcW w:type="dxa" w:w="1262"/>
          </w:tcPr>
          <w:p>
            <w:pPr>
              <w:pStyle w:val="Compact"/>
              <w:jc w:val="center"/>
            </w:pPr>
            <w:r>
              <w:rPr>
                <w:b w:val="0"/>
              </w:rPr>
              <w:t>−0.18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56.18%</w:t>
            </w:r>
          </w:p>
        </w:tc>
        <w:tc>
          <w:tcPr>
            <w:tcW w:type="dxa" w:w="1262"/>
          </w:tcPr>
          <w:p>
            <w:pPr>
              <w:pStyle w:val="Compact"/>
              <w:jc w:val="left"/>
            </w:pPr>
            <w:r>
              <w:rPr>
                <w:b w:val="0"/>
              </w:rPr>
              <w:t>58.46%</w:t>
            </w:r>
          </w:p>
        </w:tc>
        <w:tc>
          <w:tcPr>
            <w:tcW w:type="dxa" w:w="1262"/>
          </w:tcPr>
          <w:p>
            <w:pPr>
              <w:pStyle w:val="Compact"/>
              <w:jc w:val="center"/>
            </w:pPr>
            <w:r>
              <w:rPr>
                <w:b w:val="0"/>
              </w:rPr>
              <w:t>+2.28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55.91%</w:t>
            </w:r>
          </w:p>
        </w:tc>
        <w:tc>
          <w:tcPr>
            <w:tcW w:type="dxa" w:w="1262"/>
          </w:tcPr>
          <w:p>
            <w:pPr>
              <w:pStyle w:val="Compact"/>
              <w:jc w:val="left"/>
            </w:pPr>
            <w:r>
              <w:rPr>
                <w:b w:val="0"/>
              </w:rPr>
              <w:t>54.74%</w:t>
            </w:r>
          </w:p>
        </w:tc>
        <w:tc>
          <w:tcPr>
            <w:tcW w:type="dxa" w:w="1262"/>
          </w:tcPr>
          <w:p>
            <w:pPr>
              <w:pStyle w:val="Compact"/>
              <w:jc w:val="center"/>
            </w:pPr>
            <w:r>
              <w:rPr>
                <w:b w:val="0"/>
              </w:rPr>
              <w:t>−1.17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52.39%</w:t>
            </w:r>
          </w:p>
        </w:tc>
        <w:tc>
          <w:tcPr>
            <w:tcW w:type="dxa" w:w="1262"/>
          </w:tcPr>
          <w:p>
            <w:pPr>
              <w:pStyle w:val="Compact"/>
              <w:jc w:val="left"/>
            </w:pPr>
            <w:r>
              <w:rPr>
                <w:b w:val="0"/>
              </w:rPr>
              <w:t>55.67%</w:t>
            </w:r>
          </w:p>
        </w:tc>
        <w:tc>
          <w:tcPr>
            <w:tcW w:type="dxa" w:w="1262"/>
          </w:tcPr>
          <w:p>
            <w:pPr>
              <w:pStyle w:val="Compact"/>
              <w:jc w:val="center"/>
            </w:pPr>
            <w:r>
              <w:rPr>
                <w:b w:val="0"/>
              </w:rPr>
              <w:t>+3.28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50.22%</w:t>
            </w:r>
          </w:p>
        </w:tc>
        <w:tc>
          <w:tcPr>
            <w:tcW w:type="dxa" w:w="1262"/>
          </w:tcPr>
          <w:p>
            <w:pPr>
              <w:pStyle w:val="Compact"/>
              <w:jc w:val="left"/>
            </w:pPr>
            <w:r>
              <w:rPr>
                <w:b w:val="0"/>
              </w:rPr>
              <w:t>54.84%</w:t>
            </w:r>
          </w:p>
        </w:tc>
        <w:tc>
          <w:tcPr>
            <w:tcW w:type="dxa" w:w="1262"/>
          </w:tcPr>
          <w:p>
            <w:pPr>
              <w:pStyle w:val="Compact"/>
              <w:jc w:val="center"/>
            </w:pPr>
            <w:r>
              <w:rPr>
                <w:b w:val="0"/>
              </w:rPr>
              <w:t>+4.62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48.76%</w:t>
            </w:r>
          </w:p>
        </w:tc>
        <w:tc>
          <w:tcPr>
            <w:tcW w:type="dxa" w:w="1262"/>
          </w:tcPr>
          <w:p>
            <w:pPr>
              <w:pStyle w:val="Compact"/>
              <w:jc w:val="left"/>
            </w:pPr>
            <w:r>
              <w:rPr>
                <w:b w:val="0"/>
              </w:rPr>
              <w:t>50.75%</w:t>
            </w:r>
          </w:p>
        </w:tc>
        <w:tc>
          <w:tcPr>
            <w:tcW w:type="dxa" w:w="1262"/>
          </w:tcPr>
          <w:p>
            <w:pPr>
              <w:pStyle w:val="Compact"/>
              <w:jc w:val="center"/>
            </w:pPr>
            <w:r>
              <w:rPr>
                <w:b w:val="0"/>
              </w:rPr>
              <w:t>+1.99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48.21%</w:t>
            </w:r>
          </w:p>
        </w:tc>
        <w:tc>
          <w:tcPr>
            <w:tcW w:type="dxa" w:w="1262"/>
          </w:tcPr>
          <w:p>
            <w:pPr>
              <w:pStyle w:val="Compact"/>
              <w:jc w:val="left"/>
            </w:pPr>
            <w:r>
              <w:rPr>
                <w:b w:val="0"/>
              </w:rPr>
              <w:t>51.46%</w:t>
            </w:r>
          </w:p>
        </w:tc>
        <w:tc>
          <w:tcPr>
            <w:tcW w:type="dxa" w:w="1262"/>
          </w:tcPr>
          <w:p>
            <w:pPr>
              <w:pStyle w:val="Compact"/>
              <w:jc w:val="center"/>
            </w:pPr>
            <w:r>
              <w:rPr>
                <w:b w:val="0"/>
              </w:rPr>
              <w:t>+3.25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44.00%</w:t>
            </w:r>
          </w:p>
        </w:tc>
        <w:tc>
          <w:tcPr>
            <w:tcW w:type="dxa" w:w="1262"/>
          </w:tcPr>
          <w:p>
            <w:pPr>
              <w:pStyle w:val="Compact"/>
              <w:jc w:val="left"/>
            </w:pPr>
            <w:r>
              <w:rPr>
                <w:b w:val="0"/>
              </w:rPr>
              <w:t>51.36%</w:t>
            </w:r>
          </w:p>
        </w:tc>
        <w:tc>
          <w:tcPr>
            <w:tcW w:type="dxa" w:w="1262"/>
          </w:tcPr>
          <w:p>
            <w:pPr>
              <w:pStyle w:val="Compact"/>
              <w:jc w:val="center"/>
            </w:pPr>
            <w:r>
              <w:rPr>
                <w:b w:val="0"/>
              </w:rPr>
              <w:t>+7.36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43.38%</w:t>
            </w:r>
          </w:p>
        </w:tc>
        <w:tc>
          <w:tcPr>
            <w:tcW w:type="dxa" w:w="1262"/>
          </w:tcPr>
          <w:p>
            <w:pPr>
              <w:pStyle w:val="Compact"/>
              <w:jc w:val="left"/>
            </w:pPr>
            <w:r>
              <w:rPr>
                <w:b w:val="0"/>
              </w:rPr>
              <w:t>45.76%</w:t>
            </w:r>
          </w:p>
        </w:tc>
        <w:tc>
          <w:tcPr>
            <w:tcW w:type="dxa" w:w="1262"/>
          </w:tcPr>
          <w:p>
            <w:pPr>
              <w:pStyle w:val="Compact"/>
              <w:jc w:val="center"/>
            </w:pPr>
            <w:r>
              <w:rPr>
                <w:b w:val="0"/>
              </w:rPr>
              <w:t>+2.37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36.11%</w:t>
            </w:r>
          </w:p>
        </w:tc>
        <w:tc>
          <w:tcPr>
            <w:tcW w:type="dxa" w:w="1262"/>
          </w:tcPr>
          <w:p>
            <w:pPr>
              <w:pStyle w:val="Compact"/>
              <w:jc w:val="left"/>
            </w:pPr>
            <w:r>
              <w:rPr>
                <w:b w:val="0"/>
              </w:rPr>
              <w:t>46.93%</w:t>
            </w:r>
          </w:p>
        </w:tc>
        <w:tc>
          <w:tcPr>
            <w:tcW w:type="dxa" w:w="1262"/>
          </w:tcPr>
          <w:p>
            <w:pPr>
              <w:pStyle w:val="Compact"/>
              <w:jc w:val="center"/>
            </w:pPr>
            <w:r>
              <w:rPr>
                <w:b/>
              </w:rPr>
              <w:t>+10.82 pp</w:t>
            </w:r>
          </w:p>
        </w:tc>
        <w:tc>
          <w:tcPr>
            <w:tcW w:type="dxa" w:w="2106"/>
          </w:tcPr>
          <w:p>
            <w:pPr>
              <w:pStyle w:val="Compact"/>
              <w:jc w:val="center"/>
            </w:pPr>
            <w:r>
              <w:rPr>
                <w:b w:val="0"/>
              </w:rPr>
              <w:t>sí (p=0.007)</w:t>
            </w:r>
          </w:p>
        </w:tc>
      </w:tr>
      <w:tr>
        <w:tc>
          <w:tcPr>
            <w:tcW w:type="dxa" w:w="2665"/>
          </w:tcPr>
          <w:p>
            <w:pPr>
              <w:pStyle w:val="Compact"/>
              <w:jc w:val="left"/>
            </w:pPr>
            <w:r>
              <w:rPr>
                <w:b w:val="0"/>
              </w:rPr>
              <w:t>deepseek-r1:1.5b</w:t>
            </w:r>
          </w:p>
        </w:tc>
        <w:tc>
          <w:tcPr>
            <w:tcW w:type="dxa" w:w="1543"/>
          </w:tcPr>
          <w:p>
            <w:pPr>
              <w:pStyle w:val="Compact"/>
              <w:jc w:val="left"/>
            </w:pPr>
            <w:r>
              <w:rPr>
                <w:b w:val="0"/>
              </w:rPr>
              <w:t>24.83%</w:t>
            </w:r>
          </w:p>
        </w:tc>
        <w:tc>
          <w:tcPr>
            <w:tcW w:type="dxa" w:w="1262"/>
          </w:tcPr>
          <w:p>
            <w:pPr>
              <w:pStyle w:val="Compact"/>
              <w:jc w:val="left"/>
            </w:pPr>
            <w:r>
              <w:rPr>
                <w:b w:val="0"/>
              </w:rPr>
              <w:t>23.94%</w:t>
            </w:r>
          </w:p>
        </w:tc>
        <w:tc>
          <w:tcPr>
            <w:tcW w:type="dxa" w:w="1262"/>
          </w:tcPr>
          <w:p>
            <w:pPr>
              <w:pStyle w:val="Compact"/>
              <w:jc w:val="center"/>
            </w:pPr>
            <w:r>
              <w:rPr>
                <w:b w:val="0"/>
              </w:rPr>
              <w:t>−0.90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22.59%</w:t>
            </w:r>
          </w:p>
        </w:tc>
        <w:tc>
          <w:tcPr>
            <w:tcW w:type="dxa" w:w="1262"/>
          </w:tcPr>
          <w:p>
            <w:pPr>
              <w:pStyle w:val="Compact"/>
              <w:jc w:val="left"/>
            </w:pPr>
            <w:r>
              <w:rPr>
                <w:b w:val="0"/>
              </w:rPr>
              <w:t>37.12%</w:t>
            </w:r>
          </w:p>
        </w:tc>
        <w:tc>
          <w:tcPr>
            <w:tcW w:type="dxa" w:w="1262"/>
          </w:tcPr>
          <w:p>
            <w:pPr>
              <w:pStyle w:val="Compact"/>
              <w:jc w:val="center"/>
            </w:pPr>
            <w:r>
              <w:rPr>
                <w:b/>
              </w:rPr>
              <w:t>+14.52 pp</w:t>
            </w:r>
          </w:p>
        </w:tc>
        <w:tc>
          <w:tcPr>
            <w:tcW w:type="dxa" w:w="2106"/>
          </w:tcPr>
          <w:p>
            <w:pPr>
              <w:pStyle w:val="Compact"/>
              <w:jc w:val="center"/>
            </w:pPr>
            <w:r>
              <w:rPr>
                <w:b w:val="0"/>
              </w:rPr>
              <w:t>sí (p&lt;0.001)</w:t>
            </w:r>
          </w:p>
        </w:tc>
      </w:tr>
    </w:tbl>
    <w:p>
      <w:pPr>
        <w:numPr>
          <w:ilvl w:val="0"/>
          <w:numId w:val="0"/>
        </w:numPr>
        <w:pStyle w:val="p1a"/>
      </w:pPr>
      <w:r>
        <w:rPr>
          <w:b/>
        </w:rPr>
        <w:t>Limitación del corpus N=120 — codificación defectuosa de los nombres.</w:t>
      </w:r>
      <w:r>
        <w:t xml:space="preserve"> El corpus </w:t>
      </w:r>
      <w:r>
        <w:t>data/benchmark_balanced_120.json</w:t>
      </w:r>
      <w:r>
        <w:t xml:space="preserve"> almacena los nombres con </w:t>
      </w:r>
      <w:r>
        <w:rPr>
          <w:i/>
        </w:rPr>
        <w:t>mojibake</w:t>
      </w:r>
      <w:r>
        <w:t xml:space="preserve"> (bytes UTF-8 reinterpretados como Latin-1): guarda </w:t>
      </w:r>
      <w:r>
        <w:t>JosÃ© Bono</w:t>
      </w:r>
      <w:r>
        <w:t xml:space="preserve">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+0.025</w:t>
      </w:r>
      <w:r>
        <w:t xml:space="preserve"> según el modelo. Los corpus N=15 y N=30 están </w:t>
      </w:r>
      <w:r>
        <w:rPr>
          <w:b/>
        </w:rPr>
        <w:t>libres de este defecto</w:t>
      </w:r>
      <w:r>
        <w:t xml:space="preserve"> (0 entidades afectadas), por lo que §5.1, §5.2 y §5.3 no se ven comprometidos. La corrección adecuada —normalizar la codificación </w:t>
      </w:r>
      <w:r>
        <w:rPr>
          <w:b/>
        </w:rPr>
        <w:t>en ambos lados</w:t>
      </w:r>
      <w:r>
        <w:t xml:space="preserve"> de la comparación— exige volver a inferir, ya que las extracciones por registro no se conservaron.</w:t>
      </w:r>
    </w:p>
    <w:p>
      <w:pPr>
        <w:numPr>
          <w:ilvl w:val="0"/>
          <w:numId w:val="0"/>
        </w:numPr>
        <w:pStyle w:val="p1a"/>
      </w:pPr>
      <w:r>
        <w:rPr>
          <w:b/>
        </w:rPr>
        <w:t>Dos salvedades de procedencia.</w:t>
      </w:r>
      <w:r>
        <w:t xml:space="preserve"> (i)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(114 de sus 240 filas registran exactamente 1,02 s). Su F1 es válido; su latencia y sus tokens/s no deben usarse en comparaciones de eficiencia. (ii) Siete filas de </w:t>
      </w:r>
      <w:r>
        <w:t>nemotron-mini:4b</w:t>
      </w:r>
      <w:r>
        <w:t xml:space="preserve"> tienen </w:t>
      </w:r>
      <w:r>
        <w:t>latencia = 0</w:t>
      </w:r>
      <w:r>
        <w:t xml:space="preserve"> y </w:t>
      </w:r>
      <w:r>
        <w:t>0 tokens/s</w:t>
      </w:r>
      <w:r>
        <w:t xml:space="preserve"> porque se re-extrajeron fuera del arnés de lotes tras un fallo de contexto; sus valores de precisión, </w:t>
      </w:r>
      <w:r>
        <w:rPr>
          <w:i/>
        </w:rPr>
        <w:t>recall</w:t>
      </w:r>
      <w:r>
        <w:t xml:space="preserve"> y F1 son reales, pero su telemetría no existe.</w:t>
      </w:r>
    </w:p>
    <w:p>
      <w:pPr>
        <w:numPr>
          <w:ilvl w:val="0"/>
          <w:numId w:val="0"/>
        </w:numPr>
        <w:pStyle w:val="Normal"/>
      </w:pPr>
      <w:r>
        <w:t xml:space="preserve">El ANOVA de una vía sobre los veintiséis grupos arroja </w:t>
      </w:r>
      <w:r>
        <w:rPr>
          <w:b/>
        </w:rPr>
        <w:t>F = 38,2222</w:t>
      </w:r>
      <w:r>
        <w:t xml:space="preserve"> con p = 3,4453 × 10⁻¹⁶⁰, de modo que se rechaza la hipótesis nula: las diferencias de desempeño entre modelos y modos son estadísticamente significativas, con una potencia muy superior a la del corpus del dominio, donde la comparación entre las dos compilaciones de 31B no alcanzaba significancia. El post-hoc de Tukey identifica 158 comparaciones significativas de las 325 posibles; pero al contrastar cada modelo consigo mismo (extracción directa frente a KB RAG) la mejora solo supera la corrección por comparaciones múltiples en </w:t>
      </w:r>
      <w:r>
        <w:t>nemotron-mini:4b</w:t>
      </w:r>
      <w:r>
        <w:t xml:space="preserve">, con 14,52 puntos, y en </w:t>
      </w:r>
      <w:r>
        <w:t>llama3.2:latest</w:t>
      </w:r>
      <w:r>
        <w:t>, con 10,82. Conviene declarar una limitación del contraste: los veintiséis grupos evalúan los mismos 120 artículos, de modo que las observaciones están apareadas y un modelo de medidas repetidas sería el procedimiento estrictamente correcto. La homocedasticidad se verifica (Levene, p = 0,18) y, al ser el diseño pareado más potente que el independiente, la significancia obtenida por esta vía es conservadora.</w:t>
      </w:r>
    </w:p>
    <w:p>
      <w:pPr>
        <w:numPr>
          <w:ilvl w:val="0"/>
          <w:numId w:val="0"/>
        </w:numPr>
        <w:pStyle w:val="Normal"/>
      </w:pPr>
      <w:r>
        <w:t>Ese resultado dibuja el hallazgo central del estudio: el beneficio del KB RAG es inversamente proporcional a la capacidad del modelo. Aporta de forma demostrable en los dos modelos más débiles, es positivo pero no concluyente en la franja intermedia y se anula o revierte en los de mayor capacidad (−0,54 y −0,18 puntos en los dos de 31B), que ya siguen correctamente las instrucciones sin contexto adicional. Nueve de los trece modelos mejoran, aunque solo dos lo hagan de manera estadísticamente sólida.</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p1a"/>
      </w:pPr>
      <w:r>
        <w:t xml:space="preserve">El análisis cualitativo de las extracciones revela tres patrones de error recurrentes. Los </w:t>
      </w:r>
      <w:r>
        <w:rPr>
          <w:b/>
        </w:rPr>
        <w:t>errores de límite</w:t>
      </w:r>
      <w:r>
        <w:t xml:space="preserve"> son los más frecuentes: el modelo incorpora al nombre preposiciones o aposiciones descriptivas, y extrae «Isabel dos Santos, hija del expresidente» donde la referencia registra solo «Isabel dos Santos». El cotejo difuso descrito en §4.4 absorbe buena parte de estos casos, que rara vez alteran la identificación de la entidad. La </w:t>
      </w:r>
      <w:r>
        <w:rPr>
          <w:b/>
        </w:rPr>
        <w:t>confusión de tipo</w:t>
      </w:r>
      <w:r>
        <w:t xml:space="preserve"> aparece cuando una organización se clasifica como localización («Sonangol», la petrolera estatal angoleña según el propio artículo del corpus, etiquetada como lugar), error más costoso porque desplaza la entidad de la categoría en que un analista de cumplimiento la buscaría. Las </w:t>
      </w:r>
      <w:r>
        <w:rPr>
          <w:b/>
        </w:rPr>
        <w:t>alucinaciones extrínsecas</w:t>
      </w:r>
      <w:r>
        <w:t xml:space="preserve">, en las que el modelo propone entidades procedentes de su memoria paramétrica y ausentes del texto, resultaron ser el problema menos extendido: la instrucción de restringir la extracción al artículo presente las mantiene por debajo del 1 % en los modelos de mayor capacidad, aunque superan el 13 % en </w:t>
      </w:r>
      <w:r>
        <w:t>deepseek-r1:1.5b</w:t>
      </w:r>
      <w:r>
        <w:t>.</w:t>
      </w:r>
    </w:p>
    <w:p>
      <w:pPr>
        <w:numPr>
          <w:ilvl w:val="0"/>
          <w:numId w:val="0"/>
        </w:numPr>
        <w:pStyle w:val="heading2"/>
      </w:pPr>
      <w:r>
        <w:t>5.5 Análisis de Eficiencia en Hardware Soberano</w:t>
      </w:r>
    </w:p>
    <w:p>
      <w:pPr>
        <w:numPr>
          <w:ilvl w:val="0"/>
          <w:numId w:val="0"/>
        </w:numPr>
        <w:pStyle w:val="tablecaption"/>
      </w:pPr>
      <w:r>
        <w:t>Tabla 8. Eficiencia en hardware soberano: memoria, rendimiento y coste estimado por artículo.</w:t>
      </w:r>
    </w:p>
    <w:tbl>
      <w:tblPr>
        <w:tblStyle w:val="Table"/>
        <w:tblW w:type="dxa" w:w="8838"/>
        <w:tblLayout w:type="fixed"/>
        <w:tblLook w:firstRow="1" w:lastRow="0" w:firstColumn="0" w:lastColumn="0" w:noHBand="0" w:noVBand="0" w:val="0020"/>
      </w:tblPr>
      <w:tblGrid>
        <w:gridCol w:w="1753"/>
        <w:gridCol w:w="1127"/>
        <w:gridCol w:w="900"/>
        <w:gridCol w:w="1753"/>
        <w:gridCol w:w="1753"/>
        <w:gridCol w:w="1552"/>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900"/>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552"/>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26.5</w:t>
            </w:r>
          </w:p>
        </w:tc>
        <w:tc>
          <w:tcPr>
            <w:tcW w:type="dxa" w:w="1552"/>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de las listas de sanciones de OpenSanctions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doce de los catorce modelos con par completo de resultados empeoraron al activarlo (los quince solicitados menos </w:t>
      </w:r>
      <w:r>
        <w:t>gpt-oss:20b</w:t>
      </w:r>
      <w:r>
        <w:t>, que no llegó a ejecutarse), y entre ellos los de mejor desempeño base; solo mejoraron los dos servidos en la nube.</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§5.3.5,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no se alcanza sobre el corpus periodístico general, cuyo mejor resultado local es 59,25 % (</w:t>
      </w:r>
      <w:r>
        <w:t>gemma4:31b-mlx</w:t>
      </w:r>
      <w:r>
        <w:t>) sobre N=120. La hipótesis queda por tanto confirmada para el dominio específico de sanciones financieras y no confirmada para corpus periodísticos heterogéneos. La brecha de unos veinte puntos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equivalencia entre ejecución local y en la nube. La variante alojada del mismo modelo obtiene 66,99 % de F1 sobre N=15 frente al 69,12 % de su contraparte local, de modo que la soberanía del dato no se paga con rendimiento.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con la medición restringida a las categorías que el corpus anota, </w:t>
      </w:r>
      <w:r>
        <w:rPr>
          <w:b/>
        </w:rPr>
        <w:t xml:space="preserve">76,55 % de F1 sobre el corpus periodístico de ciento veinte artículos</w:t>
      </w:r>
      <w:r>
        <w:t xml:space="preserve"> —de los que 105 están en español— y </w:t>
      </w:r>
      <w:r>
        <w:rPr>
          <w:b/>
        </w:rPr>
        <w:t xml:space="preserve">90,16 % sobre el corpus del dominio de treinta artículos</w:t>
      </w:r>
      <w:r>
        <w:t>, que está redactado en inglés. Bajo la convención original, que puntúa también una categoría sin anotar, las cifras equivalentes son 62,67 % y 80,51 %. En ninguno de los dos corpus se registraron extracciones fallidas.</w:t>
      </w:r>
    </w:p>
    <w:p>
      <w:pPr>
        <w:numPr>
          <w:ilvl w:val="0"/>
          <w:numId w:val="0"/>
        </w:numPr>
        <w:pStyle w:val="numbereditem"/>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numbereditem"/>
      </w:pPr>
      <w:r>
        <w:t xml:space="preserve">Soberanía de datos con un coste de rendimiento acotado: sobre el corpus de quince artículos la ejecución local supera a la alojada (69,12 % frente a 66,99 % de F1), pero ese experimento es el de menor potencia estadística y el estudio principal lo contradice: sobre los ciento veinte artículos, y con la medición restringida a las categorías anotadas, la variante en la nube del mismo modelo obtiene 80,42 % frente al 76,55 % del mejor local. La conclusión sostenible no es la equivalencia sino que </w:t>
      </w:r>
      <w:r>
        <w:rPr>
          <w:b/>
        </w:rPr>
        <w:t>la soberanía cuesta unos cinco puntos de F1</w:t>
      </w:r>
      <w:r>
        <w:t>, un precio que en un entorno regulado puede resultar razonable, y que se paga a cambio de no transferir texto de clientes a un tercero.</w:t>
      </w:r>
    </w:p>
    <w:p>
      <w:pPr>
        <w:numPr>
          <w:ilvl w:val="0"/>
          <w:numId w:val="0"/>
        </w:numPr>
        <w:pStyle w:val="numbereditem"/>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numbereditem"/>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numbereditem"/>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dos de los trece modelos (</w:t>
      </w:r>
      <w:r>
        <w:t>nemotron-mini:4b</w:t>
      </w:r>
      <w:r>
        <w:t xml:space="preserve"> </w:t>
      </w:r>
      <w:r>
        <w:rPr>
          <w:b/>
        </w:rPr>
        <w:t>+14,52 pp</w:t>
      </w:r>
      <w:r>
        <w:t xml:space="preserve">, p&lt;0,001, y </w:t>
      </w:r>
      <w:r>
        <w:t>llama3.2:latest</w:t>
      </w:r>
      <w:r>
        <w:t xml:space="preserve"> </w:t>
      </w:r>
      <w:r>
        <w:rPr>
          <w:b/>
        </w:rPr>
        <w:t>+10,82 pp</w:t>
      </w:r>
      <w:r>
        <w:t xml:space="preserve">, p=0,007; conviene precisar que este último no es el segundo más débil del estudio sino el tercero por la cola, y que el segundo, </w:t>
      </w:r>
      <w:r>
        <w:t>deepseek-r1:1.5b</w:t>
      </w:r>
      <w:r>
        <w:t xml:space="preserve">, empeora 0,90 puntos con KB RAG), con ganancias positivas pero no concluyentes en la franja intermedia y efecto nulo en los modelos de 31B, versus el dict-RAG (v1.0), que en un sondeo exploratorio N=5 sobre el mismo modelo, no persistido en </w:t>
      </w:r>
      <w:r>
        <w:t>results/</w:t>
      </w:r>
      <w:r>
        <w:t xml:space="preserve">, degradó el F1 hasta 0.2367 (−57.8% respecto de su propio baseline), degradación confirmada después en la corrida reproducible N=120, donde ese mismo modelo cae de 0.3611 a 0.3113. Su efectividad parece modularse por la capacidad paramétrica, beneficiando sobre todo a los modelos de 3 a 14 mil millones de parámetros, donde actúa como memoria externa de conocimiento lingüístico sin coste adicional de hardware. La relación es una </w:t>
      </w:r>
      <w:r>
        <w:rPr>
          <w:b/>
        </w:rPr>
        <w:t>tendencia y no un resultado significativo</w:t>
      </w:r>
      <w:r>
        <w:t>: la correlación por rangos entre capacidad y beneficio da ρ = −0,52 con p = 0,071, que no alcanza el nivel de significación que este trabajo fija, con trece modelos como tamaño de muestra. Este hallazgo tiene implicaciones directas para el diseño de sistemas RAG en dominio abierto con LLMs soberanos.</w:t>
      </w:r>
    </w:p>
    <w:p>
      <w:pPr>
        <w:numPr>
          <w:ilvl w:val="0"/>
          <w:numId w:val="0"/>
        </w:numPr>
        <w:pStyle w:val="numbereditem"/>
      </w:pPr>
      <w:r>
        <w:t xml:space="preserve">La codificación del corpus condiciona la medición, y no de forma neutra: el corpus N=120 almacena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diecinueve de las veinticuatro configuraciones medidas puntúan </w:t>
      </w:r>
      <w:r>
        <w:rPr>
          <w:b/>
        </w:rPr>
        <w:t>mejor</w:t>
      </w:r>
      <w:r>
        <w:t xml:space="preserve"> en los artículos afectados, porque el cotejo premia transcribir los bytes literalmente y penaliza al modelo que escribe el nombre correctamente. Cuando está en el texto de entrada, diecinueve de veinticuatro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w:t>
      </w:r>
      <w:r>
        <w:rPr>
          <w:b/>
        </w:rPr>
        <w:t>de la entrada y de la referencia 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numbereditem"/>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numbereditem"/>
      </w:pPr>
      <w:r>
        <w:t>Expansión del corpus de evaluación (Fase 2): Ampliar el corpus de N=120 a N≥200 artículos reales del dominio AML/KYC chileno, incorporando fuentes como la UAF, CMF y bases de datos de OpenSanctions [19].</w:t>
      </w:r>
    </w:p>
    <w:p>
      <w:pPr>
        <w:numPr>
          <w:ilvl w:val="0"/>
          <w:numId w:val="0"/>
        </w:numPr>
        <w:pStyle w:val="numbereditem"/>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t>Evaluación en producción (Fase 4):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numbereditem"/>
      </w:pPr>
      <w:r>
        <w:t xml:space="preserve">Normalización de codificación del corpus y re-evaluación (Fase 6): el corpus N=120 almacena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Esto favorece a los modelos que transcriben literalmente y penaliza a los que normalizan la ortografía, con un efecto que varía entre −0.070 y +0.025 de F1 según el modelo (§5.3.5). La línea de trabajo consiste en normalizar la codificación en ambos lados de la comparación —reparando la referencia y la extracción antes del cotejo difuso, de modo que el resultado deje de depender de la representación de bytes— y </w:t>
      </w:r>
      <w:r>
        <w:rPr>
          <w:b/>
        </w:rPr>
        <w:t>re-ejecutar el estudio N=120</w:t>
      </w:r>
      <w:r>
        <w:t xml:space="preserve"> para obtener valores absolutos libres de esta interacción. No se abordó en este trabajo porque el cotejo se resuelve en tiempo de inferencia y las extracciones por registro no se conservaron, lo que obliga a repetir la inferencia completa.</w:t>
      </w:r>
    </w:p>
    <w:p>
      <w:pPr>
        <w:numPr>
          <w:ilvl w:val="0"/>
          <w:numId w:val="0"/>
        </w:numPr>
        <w:pStyle w:val="heading1"/>
      </w:pPr>
      <w:r>
        <w:t>8 REFERENCIAS BIBLIOGRÁFICAS</w:t>
      </w:r>
    </w:p>
    <w:p>
      <w:pPr>
        <w:numPr>
          <w:ilvl w:val="0"/>
          <w:numId w:val="0"/>
        </w:numPr>
        <w:pStyle w:val="numbereditem"/>
      </w:pPr>
      <w:r>
        <w:t>Anotación de localizaciones en el corpus de referencia (Prioridad Alta): los prompts del sistema solicitan</w:t>
      </w:r>
    </w:p>
    <w:p>
      <w:pPr>
        <w:numPr>
          <w:ilvl w:val="0"/>
          <w:numId w:val="0"/>
        </w:numPr>
        <w:pStyle w:val="Normal"/>
      </w:pPr>
      <w:r>
        <w:t xml:space="preserve">tres categorías de entidad, personas, organizaciones y localizaciones, pero ninguno de los tres corpus anota la tercera. Como se explica en §3.3, eso convierte toda localización correctamente identificada en un falso positivo, y de ahí procede el 66,0 % de los falsos positivos del estudio. La medición restringida a las dos categorías anotadas, que este informe publica en paralelo, corrige el efecto sin reejecutar inferencia, pero no sustituye a la solución de fondo: anotar las localizaciones y medir las tres categorías, que es la única vía para saber cuánto de la precisión aparente se debe a la habilidad del modelo y cuánto al vacío del gold.</w:t>
      </w:r>
    </w:p>
    <w:p>
      <w:pPr>
        <w:numPr>
          <w:ilvl w:val="0"/>
          <w:numId w:val="0"/>
        </w:numPr>
        <w:pStyle w:val="numbereditem"/>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numbereditem"/>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p1a"/>
      </w:pPr>
      <w:r>
        <w:rPr>
          <w:i/>
        </w:rPr>
        <w:t>Formato IEEE</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referenceitem"/>
      </w:pPr>
      <w:r>
        <w:t>[3] S. Wu et al., "BloombergGPT: A Large Language Model for Finance," 2023, arXiv:2303.17564. [Online]. Available: https://arxiv.org/abs/2303.17564</w:t>
      </w:r>
    </w:p>
    <w:p>
      <w:pPr>
        <w:numPr>
          <w:ilvl w:val="0"/>
          <w:numId w:val="0"/>
        </w:numPr>
        <w:pStyle w:val="referenceitem"/>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referenceitem"/>
      </w:pPr>
      <w:r>
        <w:t xml:space="preserve">[5] K. Bourne, </w:t>
      </w:r>
      <w:r>
        <w:rPr>
          <w:i/>
        </w:rPr>
        <w:t>Unlocking Data with Generative AI and RAG</w:t>
      </w:r>
      <w:r>
        <w:t>. Birmingham, R.U.: Packt Publishing, 2024, ISBN 978-1-83588-790-5. [En línea]. Disponible: https://books.google.com/books?vid=ISBN9781835887905</w:t>
      </w:r>
    </w:p>
    <w:p>
      <w:pPr>
        <w:numPr>
          <w:ilvl w:val="0"/>
          <w:numId w:val="0"/>
        </w:numPr>
        <w:pStyle w:val="referenceitem"/>
      </w:pPr>
      <w:r>
        <w:t>[6] Y. Gao et al., "Retrieval-Augmented Generation for Large Language Models: A Survey," 2024, arXiv:2312.10997. [Online]. Available: https://arxiv.org/abs/2312.10997</w:t>
      </w:r>
    </w:p>
    <w:p>
      <w:pPr>
        <w:numPr>
          <w:ilvl w:val="0"/>
          <w:numId w:val="0"/>
        </w:numPr>
        <w:pStyle w:val="referenceitem"/>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referenceitem"/>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referenceitem"/>
      </w:pPr>
      <w:r>
        <w:t>[9] P. Islam, A. Kannappan, D. Kiela, R. Qian, N. Scherrer, and B. Vidgen, "FinanceBench: A New Benchmark for Financial Question Answering," 2023, arXiv:2311.11944. [En línea]. Disponible: https://arxiv.org/abs/2311.11944</w:t>
      </w:r>
    </w:p>
    <w:p>
      <w:pPr>
        <w:numPr>
          <w:ilvl w:val="0"/>
          <w:numId w:val="0"/>
        </w:numPr>
        <w:pStyle w:val="referenceitem"/>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referenceitem"/>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referenceitem"/>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referenceitem"/>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referenceitem"/>
      </w:pPr>
      <w:r>
        <w:t xml:space="preserve">[16] R. Schwartz et al., "Green AI," </w:t>
      </w:r>
      <w:r>
        <w:rPr>
          <w:i/>
        </w:rPr>
        <w:t>Communications of the ACM</w:t>
      </w:r>
      <w:r>
        <w:t>, vol. 63, no. 12, pp. 54-63, 2020. [En línea]. Disponible: https://doi.org/10.1145/3381831</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referenceitem"/>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referenceitem"/>
      </w:pPr>
      <w:r>
        <w:t xml:space="preserve">[19] OpenSanctions. (2024). </w:t>
      </w:r>
      <w:r>
        <w:rPr>
          <w:i/>
        </w:rPr>
        <w:t>OpenSanctions: Open Data on Sanctions Lists and Politically Exposed Persons</w:t>
      </w:r>
      <w:r>
        <w:t xml:space="preserve"> [Online]. Available: https://www.opensanctions.org (accedido: 8 sep. 2026).</w:t>
      </w:r>
    </w:p>
    <w:p>
      <w:pPr>
        <w:numPr>
          <w:ilvl w:val="0"/>
          <w:numId w:val="0"/>
        </w:numPr>
        <w:pStyle w:val="referenceitem"/>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referenceitem"/>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referenceitem"/>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referenceitem"/>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referenceitem"/>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referenceitem"/>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referenceitem"/>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referenceitem"/>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referenceitem"/>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referenceitem"/>
      </w:pPr>
      <w:r>
        <w:t xml:space="preserve">[29] Ollama. </w:t>
      </w:r>
      <w:r>
        <w:rPr>
          <w:i/>
        </w:rPr>
        <w:t>Ollama</w:t>
      </w:r>
      <w:r>
        <w:t xml:space="preserve"> [Online]. Available: https://github.com/ollama/ollama (accedido: 8 sep. 2026).</w:t>
      </w:r>
    </w:p>
    <w:p>
      <w:pPr>
        <w:numPr>
          <w:ilvl w:val="0"/>
          <w:numId w:val="0"/>
        </w:numPr>
        <w:pStyle w:val="referenceitem"/>
      </w:pPr>
      <w:r>
        <w:t xml:space="preserve">[30] llama.cpp contributors. </w:t>
      </w:r>
      <w:r>
        <w:rPr>
          <w:i/>
        </w:rPr>
        <w:t>llama.cpp: LLM inference in C/C++</w:t>
      </w:r>
      <w:r>
        <w:t xml:space="preserve"> [Online]. Available: https://github.com/ggml-org/llama.cpp (accedido: 8 sep. 2026).</w:t>
      </w:r>
    </w:p>
    <w:p>
      <w:pPr>
        <w:numPr>
          <w:ilvl w:val="0"/>
          <w:numId w:val="0"/>
        </w:numPr>
        <w:pStyle w:val="referenceitem"/>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referenceitem"/>
      </w:pPr>
      <w:r>
        <w:t xml:space="preserve">[32] Chroma. </w:t>
      </w:r>
      <w:r>
        <w:rPr>
          <w:i/>
        </w:rPr>
        <w:t>chroma: search infrastructure for AI</w:t>
      </w:r>
      <w:r>
        <w:t xml:space="preserve"> [Online]. Available: https://github.com/chroma-core/chroma (accedido: 8 sep. 2026).</w:t>
      </w:r>
    </w:p>
    <w:p>
      <w:pPr>
        <w:numPr>
          <w:ilvl w:val="0"/>
          <w:numId w:val="0"/>
        </w:numPr>
        <w:pStyle w:val="referenceitem"/>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referenceitem"/>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referenceitem"/>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referenceitem"/>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referenceitem"/>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heading1"/>
      </w:pPr>
      <w:r>
        <w:t>9 ANEXOS</w:t>
      </w:r>
    </w:p>
    <w:p>
      <w:pPr>
        <w:numPr>
          <w:ilvl w:val="0"/>
          <w:numId w:val="0"/>
        </w:numPr>
        <w:pStyle w:val="heading2"/>
      </w:pPr>
      <w:r>
        <w:t>Anexo A — Estructura del Repositorio de Código</w:t>
      </w:r>
    </w:p>
    <w:p>
      <w:pPr>
        <w:numPr>
          <w:ilvl w:val="0"/>
          <w:numId w:val="0"/>
        </w:numPr>
        <w:pStyle w:val="p1a"/>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w:t>
      </w:r>
    </w:p>
    <w:p>
      <w:pPr>
        <w:numPr>
          <w:ilvl w:val="0"/>
          <w:numId w:val="0"/>
        </w:numPr>
        <w:pStyle w:val="tablecaption"/>
      </w:pPr>
      <w:r>
        <w:t>Tabla 9. Estructura del repositorio de código.</w:t>
      </w:r>
    </w:p>
    <w:tbl>
      <w:tblPr>
        <w:tblStyle w:val="Table"/>
        <w:tblW w:type="dxa" w:w="8838"/>
        <w:tblLayout w:type="fixed"/>
        <w:tblLook w:firstRow="1" w:lastRow="0" w:firstColumn="0" w:lastColumn="0" w:noHBand="0" w:noVBand="0" w:val="0020"/>
      </w:tblPr>
      <w:tblGrid>
        <w:gridCol w:w="5461"/>
        <w:gridCol w:w="3377"/>
      </w:tblGrid>
      <w:tr>
        <w:trPr>
          <w:tblHeader w:val="on"/>
        </w:trPr>
        <w:tc>
          <w:tcPr>
            <w:tcW w:type="dxa" w:w="5461"/>
          </w:tcPr>
          <w:p>
            <w:pPr>
              <w:pStyle w:val="Compact"/>
              <w:jc w:val="left"/>
            </w:pPr>
            <w:r>
              <w:rPr>
                <w:b/>
              </w:rPr>
              <w:t>Ruta</w:t>
            </w:r>
          </w:p>
        </w:tc>
        <w:tc>
          <w:tcPr>
            <w:tcW w:type="dxa" w:w="3377"/>
          </w:tcPr>
          <w:p>
            <w:pPr>
              <w:pStyle w:val="Compact"/>
              <w:jc w:val="left"/>
            </w:pPr>
            <w:r>
              <w:rPr>
                <w:b/>
              </w:rPr>
              <w:t>Descripción</w:t>
            </w:r>
          </w:p>
        </w:tc>
      </w:tr>
      <w:tr>
        <w:tc>
          <w:tcPr>
            <w:tcW w:type="dxa" w:w="5461"/>
          </w:tcPr>
          <w:p>
            <w:pPr>
              <w:pStyle w:val="Compact"/>
              <w:jc w:val="left"/>
            </w:pPr>
            <w:r>
              <w:rPr>
                <w:b w:val="0"/>
              </w:rPr>
              <w:t>repos/ner-llm-entity-benchmark/</w:t>
            </w:r>
          </w:p>
        </w:tc>
        <w:tc>
          <w:tcPr>
            <w:tcW w:type="dxa" w:w="3377"/>
          </w:tcPr>
          <w:p>
            <w:pPr>
              <w:pStyle w:val="Compact"/>
              <w:jc w:val="left"/>
            </w:pPr>
          </w:p>
        </w:tc>
      </w:tr>
      <w:tr>
        <w:tc>
          <w:tcPr>
            <w:tcW w:type="dxa" w:w="5461"/>
          </w:tcPr>
          <w:p>
            <w:pPr>
              <w:pStyle w:val="Compact"/>
              <w:jc w:val="left"/>
            </w:pPr>
            <w:r>
              <w:rPr>
                <w:b w:val="0"/>
              </w:rPr>
              <w:t>src/</w:t>
            </w:r>
          </w:p>
        </w:tc>
        <w:tc>
          <w:tcPr>
            <w:tcW w:type="dxa" w:w="3377"/>
          </w:tcPr>
          <w:p>
            <w:pPr>
              <w:pStyle w:val="Compact"/>
              <w:jc w:val="left"/>
            </w:pPr>
          </w:p>
        </w:tc>
      </w:tr>
      <w:tr>
        <w:tc>
          <w:tcPr>
            <w:tcW w:type="dxa" w:w="5461"/>
          </w:tcPr>
          <w:p>
            <w:pPr>
              <w:pStyle w:val="Compact"/>
              <w:jc w:val="left"/>
            </w:pPr>
            <w:r>
              <w:rPr>
                <w:b w:val="0"/>
              </w:rPr>
              <w:t xml:space="preserve">    main.py</w:t>
            </w:r>
          </w:p>
        </w:tc>
        <w:tc>
          <w:tcPr>
            <w:tcW w:type="dxa" w:w="3377"/>
          </w:tcPr>
          <w:p>
            <w:pPr>
              <w:pStyle w:val="Compact"/>
              <w:jc w:val="left"/>
            </w:pPr>
            <w:r>
              <w:rPr>
                <w:b w:val="0"/>
              </w:rPr>
              <w:t>Orquestador principal (+--rag-mode CLI, v1.1)</w:t>
            </w:r>
          </w:p>
        </w:tc>
      </w:tr>
      <w:tr>
        <w:tc>
          <w:tcPr>
            <w:tcW w:type="dxa" w:w="5461"/>
          </w:tcPr>
          <w:p>
            <w:pPr>
              <w:pStyle w:val="Compact"/>
              <w:jc w:val="left"/>
            </w:pPr>
            <w:r>
              <w:rPr>
                <w:b w:val="0"/>
              </w:rPr>
              <w:t xml:space="preserve">    config.py</w:t>
            </w:r>
          </w:p>
        </w:tc>
        <w:tc>
          <w:tcPr>
            <w:tcW w:type="dxa" w:w="3377"/>
          </w:tcPr>
          <w:p>
            <w:pPr>
              <w:pStyle w:val="Compact"/>
              <w:jc w:val="left"/>
            </w:pPr>
            <w:r>
              <w:rPr>
                <w:b w:val="0"/>
              </w:rPr>
              <w:t>Configuración global (+rag_mode field, v1.1)</w:t>
            </w:r>
          </w:p>
        </w:tc>
      </w:tr>
      <w:tr>
        <w:tc>
          <w:tcPr>
            <w:tcW w:type="dxa" w:w="5461"/>
          </w:tcPr>
          <w:p>
            <w:pPr>
              <w:pStyle w:val="Compact"/>
              <w:jc w:val="left"/>
            </w:pPr>
            <w:r>
              <w:rPr>
                <w:b w:val="0"/>
              </w:rPr>
              <w:t xml:space="preserve">    data_loader.py</w:t>
            </w:r>
          </w:p>
        </w:tc>
        <w:tc>
          <w:tcPr>
            <w:tcW w:type="dxa" w:w="3377"/>
          </w:tcPr>
          <w:p>
            <w:pPr>
              <w:pStyle w:val="Compact"/>
              <w:jc w:val="left"/>
            </w:pPr>
            <w:r>
              <w:rPr>
                <w:b w:val="0"/>
              </w:rPr>
              <w:t>Carga y validación del corpus</w:t>
            </w:r>
          </w:p>
        </w:tc>
      </w:tr>
      <w:tr>
        <w:tc>
          <w:tcPr>
            <w:tcW w:type="dxa" w:w="5461"/>
          </w:tcPr>
          <w:p>
            <w:pPr>
              <w:pStyle w:val="Compact"/>
              <w:jc w:val="left"/>
            </w:pPr>
            <w:r>
              <w:rPr>
                <w:b w:val="0"/>
              </w:rPr>
              <w:t xml:space="preserve">    llm_runner.py</w:t>
            </w:r>
          </w:p>
        </w:tc>
        <w:tc>
          <w:tcPr>
            <w:tcW w:type="dxa" w:w="3377"/>
          </w:tcPr>
          <w:p>
            <w:pPr>
              <w:pStyle w:val="Compact"/>
              <w:jc w:val="left"/>
            </w:pPr>
            <w:r>
              <w:rPr>
                <w:b w:val="0"/>
              </w:rPr>
              <w:t>Runner LLM con parseo en cascada</w:t>
            </w:r>
          </w:p>
        </w:tc>
      </w:tr>
      <w:tr>
        <w:tc>
          <w:tcPr>
            <w:tcW w:type="dxa" w:w="5461"/>
          </w:tcPr>
          <w:p>
            <w:pPr>
              <w:pStyle w:val="Compact"/>
              <w:jc w:val="left"/>
            </w:pPr>
            <w:r>
              <w:rPr>
                <w:b w:val="0"/>
              </w:rPr>
              <w:t xml:space="preserve">    evaluator.py</w:t>
            </w:r>
          </w:p>
        </w:tc>
        <w:tc>
          <w:tcPr>
            <w:tcW w:type="dxa" w:w="3377"/>
          </w:tcPr>
          <w:p>
            <w:pPr>
              <w:pStyle w:val="Compact"/>
              <w:jc w:val="left"/>
            </w:pPr>
            <w:r>
              <w:rPr>
                <w:b w:val="0"/>
              </w:rPr>
              <w:t>Métricas F1 + taxonomía de errores</w:t>
            </w:r>
          </w:p>
        </w:tc>
      </w:tr>
      <w:tr>
        <w:tc>
          <w:tcPr>
            <w:tcW w:type="dxa" w:w="5461"/>
          </w:tcPr>
          <w:p>
            <w:pPr>
              <w:pStyle w:val="Compact"/>
              <w:jc w:val="left"/>
            </w:pPr>
            <w:r>
              <w:rPr>
                <w:b w:val="0"/>
              </w:rPr>
              <w:t xml:space="preserve">    pub_sub.py</w:t>
            </w:r>
          </w:p>
        </w:tc>
        <w:tc>
          <w:tcPr>
            <w:tcW w:type="dxa" w:w="3377"/>
          </w:tcPr>
          <w:p>
            <w:pPr>
              <w:pStyle w:val="Compact"/>
              <w:jc w:val="left"/>
            </w:pPr>
            <w:r>
              <w:rPr>
                <w:b w:val="0"/>
              </w:rPr>
              <w:t>Cola Pub/Sub multithreading</w:t>
            </w:r>
          </w:p>
        </w:tc>
      </w:tr>
      <w:tr>
        <w:tc>
          <w:tcPr>
            <w:tcW w:type="dxa" w:w="5461"/>
          </w:tcPr>
          <w:p>
            <w:pPr>
              <w:pStyle w:val="Compact"/>
              <w:jc w:val="left"/>
            </w:pPr>
            <w:r>
              <w:rPr>
                <w:b w:val="0"/>
              </w:rPr>
              <w:t xml:space="preserve">    adaptive_workers.py</w:t>
            </w:r>
          </w:p>
        </w:tc>
        <w:tc>
          <w:tcPr>
            <w:tcW w:type="dxa" w:w="3377"/>
          </w:tcPr>
          <w:p>
            <w:pPr>
              <w:pStyle w:val="Compact"/>
              <w:jc w:val="left"/>
            </w:pPr>
            <w:r>
              <w:rPr>
                <w:b w:val="0"/>
              </w:rPr>
              <w:t>Controlador AIMD</w:t>
            </w:r>
          </w:p>
        </w:tc>
      </w:tr>
      <w:tr>
        <w:tc>
          <w:tcPr>
            <w:tcW w:type="dxa" w:w="5461"/>
          </w:tcPr>
          <w:p>
            <w:pPr>
              <w:pStyle w:val="Compact"/>
              <w:jc w:val="left"/>
            </w:pPr>
            <w:r>
              <w:rPr>
                <w:b w:val="0"/>
              </w:rPr>
              <w:t xml:space="preserve">    checkpoint.py</w:t>
            </w:r>
          </w:p>
        </w:tc>
        <w:tc>
          <w:tcPr>
            <w:tcW w:type="dxa" w:w="3377"/>
          </w:tcPr>
          <w:p>
            <w:pPr>
              <w:pStyle w:val="Compact"/>
              <w:jc w:val="left"/>
            </w:pPr>
            <w:r>
              <w:rPr>
                <w:b w:val="0"/>
              </w:rPr>
              <w:t>Persistencia de estado</w:t>
            </w:r>
          </w:p>
        </w:tc>
      </w:tr>
      <w:tr>
        <w:tc>
          <w:tcPr>
            <w:tcW w:type="dxa" w:w="5461"/>
          </w:tcPr>
          <w:p>
            <w:pPr>
              <w:pStyle w:val="Compact"/>
              <w:jc w:val="left"/>
            </w:pPr>
            <w:r>
              <w:rPr>
                <w:b w:val="0"/>
              </w:rPr>
              <w:t xml:space="preserve">    rag_manager.py</w:t>
            </w:r>
          </w:p>
        </w:tc>
        <w:tc>
          <w:tcPr>
            <w:tcW w:type="dxa" w:w="3377"/>
          </w:tcPr>
          <w:p>
            <w:pPr>
              <w:pStyle w:val="Compact"/>
              <w:jc w:val="left"/>
            </w:pPr>
            <w:r>
              <w:rPr>
                <w:b w:val="0"/>
              </w:rPr>
              <w:t>RAGManager: Dict-RAG legacy (v1.0)</w:t>
            </w:r>
          </w:p>
        </w:tc>
      </w:tr>
      <w:tr>
        <w:tc>
          <w:tcPr>
            <w:tcW w:type="dxa" w:w="5461"/>
          </w:tcPr>
          <w:p>
            <w:pPr>
              <w:pStyle w:val="Compact"/>
              <w:jc w:val="left"/>
            </w:pPr>
            <w:r>
              <w:rPr>
                <w:b w:val="0"/>
              </w:rPr>
              <w:t xml:space="preserve">    kb_rag_manager.py</w:t>
            </w:r>
          </w:p>
        </w:tc>
        <w:tc>
          <w:tcPr>
            <w:tcW w:type="dxa" w:w="3377"/>
          </w:tcPr>
          <w:p>
            <w:pPr>
              <w:pStyle w:val="Compact"/>
              <w:jc w:val="left"/>
            </w:pPr>
            <w:r>
              <w:rPr>
                <w:b w:val="0"/>
              </w:rPr>
              <w:t>KBRAGManager: KB RAG contextual (v1.1, NUEVO)</w:t>
            </w:r>
          </w:p>
        </w:tc>
      </w:tr>
      <w:tr>
        <w:tc>
          <w:tcPr>
            <w:tcW w:type="dxa" w:w="5461"/>
          </w:tcPr>
          <w:p>
            <w:pPr>
              <w:pStyle w:val="Compact"/>
              <w:jc w:val="left"/>
            </w:pPr>
            <w:r>
              <w:rPr>
                <w:b w:val="0"/>
              </w:rPr>
              <w:t xml:space="preserve">    dashboard.py</w:t>
            </w:r>
          </w:p>
        </w:tc>
        <w:tc>
          <w:tcPr>
            <w:tcW w:type="dxa" w:w="3377"/>
          </w:tcPr>
          <w:p>
            <w:pPr>
              <w:pStyle w:val="Compact"/>
              <w:jc w:val="left"/>
            </w:pPr>
            <w:r>
              <w:rPr>
                <w:b w:val="0"/>
              </w:rPr>
              <w:t>Interfaz Streamlit (7 pestañas)</w:t>
            </w:r>
          </w:p>
        </w:tc>
      </w:tr>
      <w:tr>
        <w:tc>
          <w:tcPr>
            <w:tcW w:type="dxa" w:w="5461"/>
          </w:tcPr>
          <w:p>
            <w:pPr>
              <w:pStyle w:val="Compact"/>
              <w:jc w:val="left"/>
            </w:pPr>
            <w:r>
              <w:rPr>
                <w:b w:val="0"/>
              </w:rPr>
              <w:t xml:space="preserve">    statistics.py</w:t>
            </w:r>
          </w:p>
        </w:tc>
        <w:tc>
          <w:tcPr>
            <w:tcW w:type="dxa" w:w="3377"/>
          </w:tcPr>
          <w:p>
            <w:pPr>
              <w:pStyle w:val="Compact"/>
              <w:jc w:val="left"/>
            </w:pPr>
            <w:r>
              <w:rPr>
                <w:b w:val="0"/>
              </w:rPr>
              <w:t>ANOVA + Tukey HSD + IC95</w:t>
            </w:r>
          </w:p>
        </w:tc>
      </w:tr>
      <w:tr>
        <w:tc>
          <w:tcPr>
            <w:tcW w:type="dxa" w:w="5461"/>
          </w:tcPr>
          <w:p>
            <w:pPr>
              <w:pStyle w:val="Compact"/>
              <w:jc w:val="left"/>
            </w:pPr>
            <w:r>
              <w:rPr>
                <w:b w:val="0"/>
              </w:rPr>
              <w:t xml:space="preserve">    providers/</w:t>
            </w:r>
          </w:p>
        </w:tc>
        <w:tc>
          <w:tcPr>
            <w:tcW w:type="dxa" w:w="3377"/>
          </w:tcPr>
          <w:p>
            <w:pPr>
              <w:pStyle w:val="Compact"/>
              <w:jc w:val="left"/>
            </w:pPr>
          </w:p>
        </w:tc>
      </w:tr>
      <w:tr>
        <w:tc>
          <w:tcPr>
            <w:tcW w:type="dxa" w:w="5461"/>
          </w:tcPr>
          <w:p>
            <w:pPr>
              <w:pStyle w:val="Compact"/>
              <w:jc w:val="left"/>
            </w:pPr>
            <w:r>
              <w:rPr>
                <w:b w:val="0"/>
              </w:rPr>
              <w:t xml:space="preserve">        base.py</w:t>
            </w:r>
          </w:p>
        </w:tc>
        <w:tc>
          <w:tcPr>
            <w:tcW w:type="dxa" w:w="3377"/>
          </w:tcPr>
          <w:p>
            <w:pPr>
              <w:pStyle w:val="Compact"/>
              <w:jc w:val="left"/>
            </w:pPr>
            <w:r>
              <w:rPr>
                <w:b w:val="0"/>
              </w:rPr>
              <w:t>LLMProvider ABC</w:t>
            </w:r>
          </w:p>
        </w:tc>
      </w:tr>
      <w:tr>
        <w:tc>
          <w:tcPr>
            <w:tcW w:type="dxa" w:w="5461"/>
          </w:tcPr>
          <w:p>
            <w:pPr>
              <w:pStyle w:val="Compact"/>
              <w:jc w:val="left"/>
            </w:pPr>
            <w:r>
              <w:rPr>
                <w:b w:val="0"/>
              </w:rPr>
              <w:t xml:space="preserve">        factory.py</w:t>
            </w:r>
          </w:p>
        </w:tc>
        <w:tc>
          <w:tcPr>
            <w:tcW w:type="dxa" w:w="3377"/>
          </w:tcPr>
          <w:p>
            <w:pPr>
              <w:pStyle w:val="Compact"/>
              <w:jc w:val="left"/>
            </w:pPr>
            <w:r>
              <w:rPr>
                <w:b w:val="0"/>
              </w:rPr>
              <w:t>LLMProviderFactory</w:t>
            </w:r>
          </w:p>
        </w:tc>
      </w:tr>
      <w:tr>
        <w:tc>
          <w:tcPr>
            <w:tcW w:type="dxa" w:w="5461"/>
          </w:tcPr>
          <w:p>
            <w:pPr>
              <w:pStyle w:val="Compact"/>
              <w:jc w:val="left"/>
            </w:pPr>
            <w:r>
              <w:rPr>
                <w:b w:val="0"/>
              </w:rPr>
              <w:t xml:space="preserve">        ollama_provider.py</w:t>
            </w:r>
          </w:p>
        </w:tc>
        <w:tc>
          <w:tcPr>
            <w:tcW w:type="dxa" w:w="3377"/>
          </w:tcPr>
          <w:p>
            <w:pPr>
              <w:pStyle w:val="Compact"/>
              <w:jc w:val="left"/>
            </w:pPr>
            <w:r>
              <w:rPr>
                <w:b w:val="0"/>
              </w:rPr>
              <w:t>Proveedor Ollama (+template KB RAG, v1.1)</w:t>
            </w:r>
          </w:p>
        </w:tc>
      </w:tr>
      <w:tr>
        <w:tc>
          <w:tcPr>
            <w:tcW w:type="dxa" w:w="5461"/>
          </w:tcPr>
          <w:p>
            <w:pPr>
              <w:pStyle w:val="Compact"/>
              <w:jc w:val="left"/>
            </w:pPr>
            <w:r>
              <w:rPr>
                <w:b w:val="0"/>
              </w:rPr>
              <w:t xml:space="preserve">        openai_provider.py</w:t>
            </w:r>
          </w:p>
        </w:tc>
        <w:tc>
          <w:tcPr>
            <w:tcW w:type="dxa" w:w="3377"/>
          </w:tcPr>
          <w:p>
            <w:pPr>
              <w:pStyle w:val="Compact"/>
              <w:jc w:val="left"/>
            </w:pPr>
            <w:r>
              <w:rPr>
                <w:b w:val="0"/>
              </w:rPr>
              <w:t>Proveedor OpenAI (cloud)</w:t>
            </w:r>
          </w:p>
        </w:tc>
      </w:tr>
      <w:tr>
        <w:tc>
          <w:tcPr>
            <w:tcW w:type="dxa" w:w="5461"/>
          </w:tcPr>
          <w:p>
            <w:pPr>
              <w:pStyle w:val="Compact"/>
              <w:jc w:val="left"/>
            </w:pPr>
            <w:r>
              <w:rPr>
                <w:b w:val="0"/>
              </w:rPr>
              <w:t xml:space="preserve">        __init__.py</w:t>
            </w:r>
          </w:p>
        </w:tc>
        <w:tc>
          <w:tcPr>
            <w:tcW w:type="dxa" w:w="3377"/>
          </w:tcPr>
          <w:p>
            <w:pPr>
              <w:pStyle w:val="Compact"/>
              <w:jc w:val="left"/>
            </w:pPr>
            <w:r>
              <w:rPr>
                <w:b w:val="0"/>
              </w:rPr>
              <w:t>Facade get_provider()</w:t>
            </w:r>
          </w:p>
        </w:tc>
      </w:tr>
      <w:tr>
        <w:tc>
          <w:tcPr>
            <w:tcW w:type="dxa" w:w="5461"/>
          </w:tcPr>
          <w:p>
            <w:pPr>
              <w:pStyle w:val="Compact"/>
              <w:jc w:val="left"/>
            </w:pPr>
            <w:r>
              <w:rPr>
                <w:b w:val="0"/>
              </w:rPr>
              <w:t>data/</w:t>
            </w:r>
          </w:p>
        </w:tc>
        <w:tc>
          <w:tcPr>
            <w:tcW w:type="dxa" w:w="3377"/>
          </w:tcPr>
          <w:p>
            <w:pPr>
              <w:pStyle w:val="Compact"/>
              <w:jc w:val="left"/>
            </w:pPr>
          </w:p>
        </w:tc>
      </w:tr>
      <w:tr>
        <w:tc>
          <w:tcPr>
            <w:tcW w:type="dxa" w:w="5461"/>
          </w:tcPr>
          <w:p>
            <w:pPr>
              <w:pStyle w:val="Compact"/>
              <w:jc w:val="left"/>
            </w:pPr>
            <w:r>
              <w:rPr>
                <w:b w:val="0"/>
              </w:rPr>
              <w:t xml:space="preserve">    benchmark_balanced_120.json</w:t>
            </w:r>
          </w:p>
        </w:tc>
        <w:tc>
          <w:tcPr>
            <w:tcW w:type="dxa" w:w="3377"/>
          </w:tcPr>
          <w:p>
            <w:pPr>
              <w:pStyle w:val="Compact"/>
              <w:jc w:val="left"/>
            </w:pPr>
            <w:r>
              <w:rPr>
                <w:b w:val="0"/>
              </w:rPr>
              <w:t>Corpus N=120 (Gold Standard real)</w:t>
            </w:r>
          </w:p>
        </w:tc>
      </w:tr>
      <w:tr>
        <w:tc>
          <w:tcPr>
            <w:tcW w:type="dxa" w:w="5461"/>
          </w:tcPr>
          <w:p>
            <w:pPr>
              <w:pStyle w:val="Compact"/>
              <w:jc w:val="left"/>
            </w:pPr>
            <w:r>
              <w:rPr>
                <w:b w:val="0"/>
              </w:rPr>
              <w:t xml:space="preserve">    dictionaries/</w:t>
            </w:r>
          </w:p>
        </w:tc>
        <w:tc>
          <w:tcPr>
            <w:tcW w:type="dxa" w:w="3377"/>
          </w:tcPr>
          <w:p>
            <w:pPr>
              <w:pStyle w:val="Compact"/>
              <w:jc w:val="left"/>
            </w:pPr>
          </w:p>
        </w:tc>
      </w:tr>
      <w:tr>
        <w:tc>
          <w:tcPr>
            <w:tcW w:type="dxa" w:w="5461"/>
          </w:tcPr>
          <w:p>
            <w:pPr>
              <w:pStyle w:val="Compact"/>
              <w:jc w:val="left"/>
            </w:pPr>
            <w:r>
              <w:rPr>
                <w:b w:val="0"/>
              </w:rPr>
              <w:t xml:space="preserve">        persons.json</w:t>
            </w:r>
          </w:p>
        </w:tc>
        <w:tc>
          <w:tcPr>
            <w:tcW w:type="dxa" w:w="3377"/>
          </w:tcPr>
          <w:p>
            <w:pPr>
              <w:pStyle w:val="Compact"/>
              <w:jc w:val="left"/>
            </w:pPr>
            <w:r>
              <w:rPr>
                <w:b w:val="0"/>
              </w:rPr>
              <w:t>Diccionario de personas (v1.0)</w:t>
            </w:r>
          </w:p>
        </w:tc>
      </w:tr>
      <w:tr>
        <w:tc>
          <w:tcPr>
            <w:tcW w:type="dxa" w:w="5461"/>
          </w:tcPr>
          <w:p>
            <w:pPr>
              <w:pStyle w:val="Compact"/>
              <w:jc w:val="left"/>
            </w:pPr>
            <w:r>
              <w:rPr>
                <w:b w:val="0"/>
              </w:rPr>
              <w:t xml:space="preserve">        organizations.json</w:t>
            </w:r>
          </w:p>
        </w:tc>
        <w:tc>
          <w:tcPr>
            <w:tcW w:type="dxa" w:w="3377"/>
          </w:tcPr>
          <w:p>
            <w:pPr>
              <w:pStyle w:val="Compact"/>
              <w:jc w:val="left"/>
            </w:pPr>
            <w:r>
              <w:rPr>
                <w:b w:val="0"/>
              </w:rPr>
              <w:t>Diccionario de organizaciones (v1.0)</w:t>
            </w:r>
          </w:p>
        </w:tc>
      </w:tr>
      <w:tr>
        <w:tc>
          <w:tcPr>
            <w:tcW w:type="dxa" w:w="5461"/>
          </w:tcPr>
          <w:p>
            <w:pPr>
              <w:pStyle w:val="Compact"/>
              <w:jc w:val="left"/>
            </w:pPr>
            <w:r>
              <w:rPr>
                <w:b w:val="0"/>
              </w:rPr>
              <w:t xml:space="preserve">        augmented_persons.json</w:t>
            </w:r>
          </w:p>
        </w:tc>
        <w:tc>
          <w:tcPr>
            <w:tcW w:type="dxa" w:w="3377"/>
          </w:tcPr>
          <w:p>
            <w:pPr>
              <w:pStyle w:val="Compact"/>
              <w:jc w:val="left"/>
            </w:pPr>
            <w:r>
              <w:rPr>
                <w:b w:val="0"/>
              </w:rPr>
              <w:t>Personas aumentadas (v1.0)</w:t>
            </w:r>
          </w:p>
        </w:tc>
      </w:tr>
      <w:tr>
        <w:tc>
          <w:tcPr>
            <w:tcW w:type="dxa" w:w="5461"/>
          </w:tcPr>
          <w:p>
            <w:pPr>
              <w:pStyle w:val="Compact"/>
              <w:jc w:val="left"/>
            </w:pPr>
            <w:r>
              <w:rPr>
                <w:b w:val="0"/>
              </w:rPr>
              <w:t xml:space="preserve">    knowledge_base/</w:t>
            </w:r>
          </w:p>
        </w:tc>
        <w:tc>
          <w:tcPr>
            <w:tcW w:type="dxa" w:w="3377"/>
          </w:tcPr>
          <w:p>
            <w:pPr>
              <w:pStyle w:val="Compact"/>
              <w:jc w:val="left"/>
            </w:pPr>
            <w:r>
              <w:rPr>
                <w:b w:val="0"/>
              </w:rPr>
              <w:t>Base de Conocimientos KB RAG (v1.1, NUEVO)</w:t>
            </w:r>
          </w:p>
        </w:tc>
      </w:tr>
      <w:tr>
        <w:tc>
          <w:tcPr>
            <w:tcW w:type="dxa" w:w="5461"/>
          </w:tcPr>
          <w:p>
            <w:pPr>
              <w:pStyle w:val="Compact"/>
              <w:jc w:val="left"/>
            </w:pPr>
            <w:r>
              <w:rPr>
                <w:b w:val="0"/>
              </w:rPr>
              <w:t xml:space="preserve">        domain_guidelines.json</w:t>
            </w:r>
          </w:p>
        </w:tc>
        <w:tc>
          <w:tcPr>
            <w:tcW w:type="dxa" w:w="3377"/>
          </w:tcPr>
          <w:p>
            <w:pPr>
              <w:pStyle w:val="Compact"/>
              <w:jc w:val="left"/>
            </w:pPr>
            <w:r>
              <w:rPr>
                <w:b w:val="0"/>
              </w:rPr>
              <w:t>5 dominios con reglas NER tipológicas</w:t>
            </w:r>
          </w:p>
        </w:tc>
      </w:tr>
      <w:tr>
        <w:tc>
          <w:tcPr>
            <w:tcW w:type="dxa" w:w="5461"/>
          </w:tcPr>
          <w:p>
            <w:pPr>
              <w:pStyle w:val="Compact"/>
              <w:jc w:val="left"/>
            </w:pPr>
            <w:r>
              <w:rPr>
                <w:b w:val="0"/>
              </w:rPr>
              <w:t xml:space="preserve">        few_shot_exemplars.json</w:t>
            </w:r>
          </w:p>
        </w:tc>
        <w:tc>
          <w:tcPr>
            <w:tcW w:type="dxa" w:w="3377"/>
          </w:tcPr>
          <w:p>
            <w:pPr>
              <w:pStyle w:val="Compact"/>
              <w:jc w:val="left"/>
            </w:pPr>
            <w:r>
              <w:rPr>
                <w:b w:val="0"/>
              </w:rPr>
              <w:t>7 ejemplares anotados (artículos reales)</w:t>
            </w:r>
          </w:p>
        </w:tc>
      </w:tr>
      <w:tr>
        <w:tc>
          <w:tcPr>
            <w:tcW w:type="dxa" w:w="5461"/>
          </w:tcPr>
          <w:p>
            <w:pPr>
              <w:pStyle w:val="Compact"/>
              <w:jc w:val="left"/>
            </w:pPr>
            <w:r>
              <w:rPr>
                <w:b w:val="0"/>
              </w:rPr>
              <w:t>results/</w:t>
            </w:r>
          </w:p>
        </w:tc>
        <w:tc>
          <w:tcPr>
            <w:tcW w:type="dxa" w:w="3377"/>
          </w:tcPr>
          <w:p>
            <w:pPr>
              <w:pStyle w:val="Compact"/>
              <w:jc w:val="left"/>
            </w:pPr>
            <w:r>
              <w:rPr>
                <w:b w:val="0"/>
              </w:rPr>
              <w:t>Salidas del benchmark</w:t>
            </w:r>
          </w:p>
        </w:tc>
      </w:tr>
      <w:tr>
        <w:tc>
          <w:tcPr>
            <w:tcW w:type="dxa" w:w="5461"/>
          </w:tcPr>
          <w:p>
            <w:pPr>
              <w:pStyle w:val="Compact"/>
              <w:jc w:val="left"/>
            </w:pPr>
            <w:r>
              <w:rPr>
                <w:b w:val="0"/>
              </w:rPr>
              <w:t xml:space="preserve">    benchmark_results.csv</w:t>
            </w:r>
          </w:p>
        </w:tc>
        <w:tc>
          <w:tcPr>
            <w:tcW w:type="dxa" w:w="3377"/>
          </w:tcPr>
          <w:p>
            <w:pPr>
              <w:pStyle w:val="Compact"/>
              <w:jc w:val="left"/>
            </w:pPr>
          </w:p>
        </w:tc>
      </w:tr>
      <w:tr>
        <w:tc>
          <w:tcPr>
            <w:tcW w:type="dxa" w:w="5461"/>
          </w:tcPr>
          <w:p>
            <w:pPr>
              <w:pStyle w:val="Compact"/>
              <w:jc w:val="left"/>
            </w:pPr>
            <w:r>
              <w:rPr>
                <w:b w:val="0"/>
              </w:rPr>
              <w:t xml:space="preserve">    statistical_report.md</w:t>
            </w:r>
          </w:p>
        </w:tc>
        <w:tc>
          <w:tcPr>
            <w:tcW w:type="dxa" w:w="3377"/>
          </w:tcPr>
          <w:p>
            <w:pPr>
              <w:pStyle w:val="Compact"/>
              <w:jc w:val="left"/>
            </w:pPr>
          </w:p>
        </w:tc>
      </w:tr>
      <w:tr>
        <w:tc>
          <w:tcPr>
            <w:tcW w:type="dxa" w:w="5461"/>
          </w:tcPr>
          <w:p>
            <w:pPr>
              <w:pStyle w:val="Compact"/>
              <w:jc w:val="left"/>
            </w:pPr>
            <w:r>
              <w:rPr>
                <w:b w:val="0"/>
              </w:rPr>
              <w:t xml:space="preserve">    benchmark_balanced_120_&lt;timestamp&gt;/</w:t>
            </w:r>
          </w:p>
        </w:tc>
        <w:tc>
          <w:tcPr>
            <w:tcW w:type="dxa" w:w="3377"/>
          </w:tcPr>
          <w:p>
            <w:pPr>
              <w:pStyle w:val="Compact"/>
              <w:jc w:val="left"/>
            </w:pPr>
            <w:r>
              <w:rPr>
                <w:b w:val="0"/>
              </w:rPr>
              <w:t>Resultados por ejecución</w:t>
            </w:r>
          </w:p>
        </w:tc>
      </w:tr>
      <w:tr>
        <w:tc>
          <w:tcPr>
            <w:tcW w:type="dxa" w:w="5461"/>
          </w:tcPr>
          <w:p>
            <w:pPr>
              <w:pStyle w:val="Compact"/>
              <w:jc w:val="left"/>
            </w:pPr>
            <w:r>
              <w:rPr>
                <w:b w:val="0"/>
              </w:rPr>
              <w:t>research/</w:t>
            </w:r>
          </w:p>
        </w:tc>
        <w:tc>
          <w:tcPr>
            <w:tcW w:type="dxa" w:w="3377"/>
          </w:tcPr>
          <w:p>
            <w:pPr>
              <w:pStyle w:val="Compact"/>
              <w:jc w:val="left"/>
            </w:pPr>
          </w:p>
        </w:tc>
      </w:tr>
      <w:tr>
        <w:tc>
          <w:tcPr>
            <w:tcW w:type="dxa" w:w="5461"/>
          </w:tcPr>
          <w:p>
            <w:pPr>
              <w:pStyle w:val="Compact"/>
              <w:jc w:val="left"/>
            </w:pPr>
            <w:r>
              <w:rPr>
                <w:b w:val="0"/>
              </w:rPr>
              <w:t xml:space="preserve">    rag/</w:t>
            </w:r>
          </w:p>
        </w:tc>
        <w:tc>
          <w:tcPr>
            <w:tcW w:type="dxa" w:w="3377"/>
          </w:tcPr>
          <w:p>
            <w:pPr>
              <w:pStyle w:val="Compact"/>
              <w:jc w:val="left"/>
            </w:pPr>
          </w:p>
        </w:tc>
      </w:tr>
      <w:tr>
        <w:tc>
          <w:tcPr>
            <w:tcW w:type="dxa" w:w="5461"/>
          </w:tcPr>
          <w:p>
            <w:pPr>
              <w:pStyle w:val="Compact"/>
              <w:jc w:val="left"/>
            </w:pPr>
            <w:r>
              <w:rPr>
                <w:b w:val="0"/>
              </w:rPr>
              <w:t xml:space="preserve">        2026-08-31_analisis_contenido_rag_base_conocimientos.md</w:t>
            </w:r>
          </w:p>
        </w:tc>
        <w:tc>
          <w:tcPr>
            <w:tcW w:type="dxa" w:w="3377"/>
          </w:tcPr>
          <w:p>
            <w:pPr>
              <w:pStyle w:val="Compact"/>
              <w:jc w:val="left"/>
            </w:pPr>
            <w:r>
              <w:rPr>
                <w:b w:val="0"/>
              </w:rPr>
              <w:t>Investigación RAG</w:t>
            </w:r>
          </w:p>
        </w:tc>
      </w:tr>
      <w:tr>
        <w:tc>
          <w:tcPr>
            <w:tcW w:type="dxa" w:w="5461"/>
          </w:tcPr>
          <w:p>
            <w:pPr>
              <w:pStyle w:val="Compact"/>
              <w:jc w:val="left"/>
            </w:pPr>
            <w:r>
              <w:rPr>
                <w:b w:val="0"/>
              </w:rPr>
              <w:t xml:space="preserve">        TODO-RAG-20260901.md</w:t>
            </w:r>
          </w:p>
        </w:tc>
        <w:tc>
          <w:tcPr>
            <w:tcW w:type="dxa" w:w="3377"/>
          </w:tcPr>
          <w:p>
            <w:pPr>
              <w:pStyle w:val="Compact"/>
              <w:jc w:val="left"/>
            </w:pPr>
            <w:r>
              <w:rPr>
                <w:b w:val="0"/>
              </w:rPr>
              <w:t>Tracking implementación</w:t>
            </w:r>
          </w:p>
        </w:tc>
      </w:tr>
      <w:tr>
        <w:tc>
          <w:tcPr>
            <w:tcW w:type="dxa" w:w="5461"/>
          </w:tcPr>
          <w:p>
            <w:pPr>
              <w:pStyle w:val="Compact"/>
              <w:jc w:val="left"/>
            </w:pPr>
            <w:r>
              <w:rPr>
                <w:b w:val="0"/>
              </w:rPr>
              <w:t xml:space="preserve">        WORKLOG.md</w:t>
            </w:r>
          </w:p>
        </w:tc>
        <w:tc>
          <w:tcPr>
            <w:tcW w:type="dxa" w:w="3377"/>
          </w:tcPr>
          <w:p>
            <w:pPr>
              <w:pStyle w:val="Compact"/>
              <w:jc w:val="left"/>
            </w:pPr>
            <w:r>
              <w:rPr>
                <w:b w:val="0"/>
              </w:rPr>
              <w:t>Bitácora de trabajo</w:t>
            </w:r>
          </w:p>
        </w:tc>
      </w:tr>
      <w:tr>
        <w:tc>
          <w:tcPr>
            <w:tcW w:type="dxa" w:w="5461"/>
          </w:tcPr>
          <w:p>
            <w:pPr>
              <w:pStyle w:val="Compact"/>
              <w:jc w:val="left"/>
            </w:pPr>
            <w:r>
              <w:rPr>
                <w:b w:val="0"/>
              </w:rPr>
              <w:t>SYSTEM_PROMPT.md</w:t>
            </w:r>
          </w:p>
        </w:tc>
        <w:tc>
          <w:tcPr>
            <w:tcW w:type="dxa" w:w="3377"/>
          </w:tcPr>
          <w:p>
            <w:pPr>
              <w:pStyle w:val="Compact"/>
              <w:jc w:val="left"/>
            </w:pPr>
            <w:r>
              <w:rPr>
                <w:b w:val="0"/>
              </w:rPr>
              <w:t>Prompt del sistema (few-shot español)</w:t>
            </w:r>
          </w:p>
        </w:tc>
      </w:tr>
      <w:tr>
        <w:tc>
          <w:tcPr>
            <w:tcW w:type="dxa" w:w="5461"/>
          </w:tcPr>
          <w:p>
            <w:pPr>
              <w:pStyle w:val="Compact"/>
              <w:jc w:val="left"/>
            </w:pPr>
            <w:r>
              <w:rPr>
                <w:b w:val="0"/>
              </w:rPr>
              <w:t>SYSTEM_PROMPT_EN.md</w:t>
            </w:r>
          </w:p>
        </w:tc>
        <w:tc>
          <w:tcPr>
            <w:tcW w:type="dxa" w:w="3377"/>
          </w:tcPr>
          <w:p>
            <w:pPr>
              <w:pStyle w:val="Compact"/>
              <w:jc w:val="left"/>
            </w:pPr>
            <w:r>
              <w:rPr>
                <w:b w:val="0"/>
              </w:rPr>
              <w:t>Prompt del sistema (inglés)</w:t>
            </w:r>
          </w:p>
        </w:tc>
      </w:tr>
      <w:tr>
        <w:tc>
          <w:tcPr>
            <w:tcW w:type="dxa" w:w="5461"/>
          </w:tcPr>
          <w:p>
            <w:pPr>
              <w:pStyle w:val="Compact"/>
              <w:jc w:val="left"/>
            </w:pPr>
            <w:r>
              <w:rPr>
                <w:b w:val="0"/>
              </w:rPr>
              <w:t>SYSTEM_PROMPT_ES.md</w:t>
            </w:r>
          </w:p>
        </w:tc>
        <w:tc>
          <w:tcPr>
            <w:tcW w:type="dxa" w:w="3377"/>
          </w:tcPr>
          <w:p>
            <w:pPr>
              <w:pStyle w:val="Compact"/>
              <w:jc w:val="left"/>
            </w:pPr>
            <w:r>
              <w:rPr>
                <w:b w:val="0"/>
              </w:rPr>
              <w:t>Prompt del sistema (español)</w:t>
            </w:r>
          </w:p>
        </w:tc>
      </w:tr>
    </w:tbl>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3 ejemplos completos de artículo → extracción correcta, y (4) reglas de comportamiento ante ambigüedad (no alucinar, preferir omisión a invención).</w:t>
      </w:r>
    </w:p>
    <w:p>
      <w:pPr>
        <w:numPr>
          <w:ilvl w:val="0"/>
          <w:numId w:val="0"/>
        </w:numPr>
        <w:pStyle w:val="Normal"/>
      </w:pPr>
      <w:r>
        <w:rPr>
          <w:b/>
        </w:rPr>
        <w:t>Ejemplos few-shot de la configuración FS-ES</w:t>
      </w:r>
      <w:r>
        <w:t xml:space="preserve"> (§4.3):</w:t>
      </w:r>
    </w:p>
    <w:p>
      <w:pPr>
        <w:numPr>
          <w:ilvl w:val="0"/>
          <w:numId w:val="0"/>
        </w:numPr>
        <w:pStyle w:val="Normal"/>
      </w:pPr>
      <w:r>
        <w:rPr>
          <w:b/>
        </w:rPr>
        <w:t>Ejemplo few-shot 1 (caso persona sancionada):</w:t>
      </w:r>
    </w:p>
    <w:p>
      <w:pPr>
        <w:numPr>
          <w:ilvl w:val="0"/>
          <w:numId w:val="0"/>
        </w:numPr>
        <w:pStyle w:val="programcode"/>
      </w:pPr>
      <w:r>
        <w:t>Texto: "El empresario ruso Roman Abramovich fue incluido en las listas de sanciones de la Unión Europea por sus vínculos con el régimen del Kremlin a través de su empresa Evraz PLC."</w:t>
      </w:r>
      <w:r>
        <w:br/>
      </w:r>
      <w:r>
        <w:t>Respuesta: {"Persons": ["Roman Abramovich"], "Organizations": ["Evraz PLC"]}</w:t>
      </w:r>
    </w:p>
    <w:p>
      <w:pPr>
        <w:numPr>
          <w:ilvl w:val="0"/>
          <w:numId w:val="0"/>
        </w:numPr>
        <w:pStyle w:val="Normal"/>
      </w:pPr>
      <w:r>
        <w:rPr>
          <w:b/>
        </w:rPr>
        <w:t>Ejemplo few-shot 2 (caso organización sancionada):</w:t>
      </w:r>
    </w:p>
    <w:p>
      <w:pPr>
        <w:numPr>
          <w:ilvl w:val="0"/>
          <w:numId w:val="0"/>
        </w:numPr>
        <w:pStyle w:val="programcode"/>
      </w:pPr>
      <w:r>
        <w:t>Texto: "El Departamento del Tesoro de los Estados Unidos sancionó al banco Rossiya, señalándolo como banco personal de altos funcionarios del gobierno ruso."</w:t>
      </w:r>
      <w:r>
        <w:br/>
      </w:r>
      <w:r>
        <w:t>Respuesta: {"Persons": [], "Organizations": ["Banco Rossiya", "Departamento del Tesoro"]}</w:t>
      </w:r>
    </w:p>
    <w:p>
      <w:pPr>
        <w:numPr>
          <w:ilvl w:val="0"/>
          <w:numId w:val="0"/>
        </w:numPr>
        <w:pStyle w:val="Normal"/>
      </w:pPr>
      <w:r>
        <w:rPr>
          <w:b/>
        </w:rPr>
        <w:t>Ejemplo few-shot 3 (caso PEP complejo):</w:t>
      </w:r>
    </w:p>
    <w:p>
      <w:pPr>
        <w:numPr>
          <w:ilvl w:val="0"/>
          <w:numId w:val="0"/>
        </w:numPr>
        <w:pStyle w:val="programcode"/>
      </w:pPr>
      <w:r>
        <w:t>Texto: "Isabel dos Santos, hija del expresidente angoleño José Eduardo dos Santos, figura en investigaciones de la empresa estatal Sonangol por presunto desvío de fondos."</w:t>
      </w:r>
      <w:r>
        <w:br/>
      </w:r>
      <w:r>
        <w:t>Respuesta: {"Persons": ["Isabel dos Santos", "José Eduardo dos Santos"], "Organizations": ["Sonangol"]}</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program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tablecaption"/>
      </w:pPr>
      <w:r>
        <w:t>Tabla 10.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p1a"/>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w:t>
      </w:r>
    </w:p>
    <w:p>
      <w:pPr>
        <w:numPr>
          <w:ilvl w:val="0"/>
          <w:numId w:val="0"/>
        </w:numPr>
        <w:pStyle w:val="tablecaption"/>
      </w:pPr>
      <w:r>
        <w:t>Tabla 11. Configuración CLI del Módulo KB RAG.</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tablecaption"/>
      </w:pPr>
      <w:r>
        <w:t>Tabla 12. Guías Tipológicas de Dominio de la Base de Conocimientos.</w:t>
      </w:r>
    </w:p>
    <w:tbl>
      <w:tblPr>
        <w:tblStyle w:val="Table"/>
        <w:tblW w:type="dxa" w:w="8838"/>
        <w:tblLayout w:type="fixed"/>
        <w:tblLook w:firstRow="1" w:lastRow="0" w:firstColumn="0" w:lastColumn="0" w:noHBand="0" w:noVBand="0" w:val="0020"/>
      </w:tblPr>
      <w:tblGrid>
        <w:gridCol w:w="2513"/>
        <w:gridCol w:w="2211"/>
        <w:gridCol w:w="900"/>
        <w:gridCol w:w="3214"/>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900"/>
          </w:tcPr>
          <w:p>
            <w:pPr>
              <w:pStyle w:val="Compact"/>
              <w:jc w:val="left"/>
            </w:pPr>
            <w:r>
              <w:rPr>
                <w:b/>
              </w:rPr>
              <w:t>Idioma</w:t>
            </w:r>
          </w:p>
        </w:tc>
        <w:tc>
          <w:tcPr>
            <w:tcW w:type="dxa" w:w="3214"/>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tablecaption"/>
      </w:pPr>
      <w:r>
        <w:t>Tabla 13. Ejemplares Few-Shot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tablecaption"/>
      </w:pPr>
      <w:r>
        <w:t>Tabla 14. Reglas de la guía tipológica del dominio político-administrativo (politics_es), a modo de ejemplo.</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tablecaption"/>
      </w:pPr>
      <w:r>
        <w:t>Tabla 15. Procedencia de cada fila del benchmark exploratorio: correspondencia con su corrida de origen.</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4</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Las entidades fueron seleccionadas de la base de datos OpenSanctions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p1a"/>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p1a"/>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OpenSanctions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p1a"/>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p1a"/>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p1a"/>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w:t>
      </w:r>
    </w:p>
    <w:p>
      <w:pPr>
        <w:numPr>
          <w:ilvl w:val="0"/>
          <w:numId w:val="0"/>
        </w:numPr>
        <w:pStyle w:val="tablecaption"/>
      </w:pPr>
      <w:r>
        <w:t>Tabla 16. Formas corruptas de los nombres almacenados y su representación real.</w:t>
      </w:r>
    </w:p>
    <w:tbl>
      <w:tblPr>
        <w:tblStyle w:val="Table"/>
        <w:tblW w:type="dxa" w:w="8838"/>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tablecaption"/>
      </w:pPr>
      <w:r>
        <w:t>Tabla 17. Alcance medido del defecto de codificación sobre el corpus N=120.</w:t>
      </w:r>
    </w:p>
    <w:tbl>
      <w:tblPr>
        <w:tblStyle w:val="Table"/>
        <w:tblW w:type="dxa" w:w="8838"/>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p1a"/>
      </w:pPr>
      <w:r>
        <w:t xml:space="preserve">El efecto se midió sobre las 24 configuraciones del corpus N=120 que aportan los ciento veinte registros completos, con el script </w:t>
      </w:r>
      <w:r>
        <w:t>tools/analisis_mojibake.py</w:t>
      </w:r>
      <w:r>
        <w:t xml:space="preserve">, que se publica para que la tabla sea reproducible. La medición obliga a declarar el criterio de «artículo afectado», porque </w:t>
      </w:r>
      <w:r>
        <w:rPr>
          <w:b/>
        </w:rPr>
        <w:t>el signo del efecto depende de cuál se elija</w:t>
      </w:r>
      <w:r>
        <w:t>, y esa dependencia es en sí misma el resultado:</w:t>
      </w:r>
    </w:p>
    <w:p>
      <w:pPr>
        <w:numPr>
          <w:ilvl w:val="0"/>
          <w:numId w:val="0"/>
        </w:numPr>
        <w:pStyle w:val="bulletitem"/>
      </w:pPr>
      <w:r>
        <w:rPr>
          <w:b/>
        </w:rPr>
        <w:t>Por entidad de referencia corrupta</w:t>
      </w:r>
      <w:r>
        <w:t>: 89 artículos afectados y 31 no.</w:t>
      </w:r>
    </w:p>
    <w:p>
      <w:pPr>
        <w:numPr>
          <w:ilvl w:val="0"/>
          <w:numId w:val="0"/>
        </w:numPr>
        <w:pStyle w:val="bulletitem"/>
      </w:pPr>
      <w:r>
        <w:rPr>
          <w:b/>
        </w:rPr>
        <w:t>Por texto de entrada corrupto</w:t>
      </w:r>
      <w:r>
        <w:t>: 104 artículos afectados y 16 no.</w:t>
      </w:r>
    </w:p>
    <w:p>
      <w:pPr>
        <w:numPr>
          <w:ilvl w:val="0"/>
          <w:numId w:val="0"/>
        </w:numPr>
        <w:pStyle w:val="tablecaption"/>
      </w:pPr>
      <w:r>
        <w:t xml:space="preserve">Tabla 18. Efecto diferencial del </w:t>
      </w:r>
      <w:r>
        <w:rPr>
          <w:i/>
        </w:rPr>
        <w:t>mojibake</w:t>
      </w:r>
      <w:r>
        <w:t xml:space="preserve"> sobre el F1 según el criterio de artículo afectado.</w:t>
      </w:r>
    </w:p>
    <w:tbl>
      <w:tblPr>
        <w:tblStyle w:val="Table"/>
        <w:tblW w:type="dxa" w:w="8838"/>
        <w:tblLayout w:type="fixed"/>
        <w:tblLook w:firstRow="1" w:lastRow="0" w:firstColumn="0" w:lastColumn="0" w:noHBand="0" w:noVBand="0" w:val="0020"/>
      </w:tblPr>
      <w:tblGrid>
        <w:gridCol w:w="2981"/>
        <w:gridCol w:w="3194"/>
        <w:gridCol w:w="2663"/>
      </w:tblGrid>
      <w:tr>
        <w:trPr>
          <w:tblHeader w:val="on"/>
        </w:trPr>
        <w:tc>
          <w:tcPr>
            <w:tcW w:type="dxa" w:w="2981"/>
          </w:tcPr>
          <w:p>
            <w:pPr>
              <w:pStyle w:val="Compact"/>
              <w:jc w:val="left"/>
            </w:pPr>
            <w:r>
              <w:rPr>
                <w:b/>
              </w:rPr>
              <w:t>Configuración</w:t>
            </w:r>
          </w:p>
        </w:tc>
        <w:tc>
          <w:tcPr>
            <w:tcW w:type="dxa" w:w="3194"/>
          </w:tcPr>
          <w:p>
            <w:pPr>
              <w:pStyle w:val="Compact"/>
              <w:jc w:val="left"/>
            </w:pPr>
            <w:r>
              <w:rPr>
                <w:b/>
              </w:rPr>
              <w:t>Δ F1 por entidad de referencia</w:t>
            </w:r>
          </w:p>
        </w:tc>
        <w:tc>
          <w:tcPr>
            <w:tcW w:type="dxa" w:w="2663"/>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19 de las 24 configuraciones puntúan mejor</w:t>
      </w:r>
      <w:r>
        <w:t xml:space="preserve"> en los artículos cuya anotación de referencia está corrompida, y </w:t>
      </w:r>
      <w:r>
        <w:rPr>
          <w:b/>
        </w:rPr>
        <w:t>5 de las 24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 y ahí el efecto es de signo negativo.</w:t>
      </w:r>
    </w:p>
    <w:p>
      <w:pPr>
        <w:numPr>
          <w:ilvl w:val="0"/>
          <w:numId w:val="0"/>
        </w:numPr>
        <w:pStyle w:val="p1a"/>
      </w:pPr>
      <w:r>
        <w:rPr>
          <w:b/>
        </w:rPr>
        <w:t>Cautela metodológica, y una advertencia sobre la versión anterior de esta tabla.</w:t>
      </w:r>
      <w:r>
        <w:t xml:space="preserve"> Los artículos afectados podrían ser además más largos o intrínsecamente más difíciles, lo que confundiría la magnitud absoluta de cada diferencia; el sentido del efecto, sin embargo, es consistente dentro de cada criterio. Una versión anterior de este anexo declaraba una partición de 88 artículos afectados y 31 no —cuya suma es 119 y no 120— y unas diferencias que no se reproducen con ninguno de los dos criterios: para </w:t>
      </w:r>
      <w:r>
        <w:t>gemma4:latest</w:t>
      </w:r>
      <w:r>
        <w:t xml:space="preserve"> reportaba −0,0695 donde la medición da +0,0620 por entidad y −0,0958 por texto. Se sustituye por la tabla presente, obtenida con el script publicado, y se conserva esta nota para que la corrección quede trazable.</w:t>
      </w:r>
    </w:p>
    <w:p>
      <w:pPr>
        <w:numPr>
          <w:ilvl w:val="0"/>
          <w:numId w:val="0"/>
        </w:numPr>
        <w:pStyle w:val="heading3"/>
      </w:pPr>
      <w:r>
        <w:t>H.4 Cómo debe repararse</w:t>
      </w:r>
    </w:p>
    <w:p>
      <w:pPr>
        <w:numPr>
          <w:ilvl w:val="0"/>
          <w:numId w:val="0"/>
        </w:numPr>
        <w:pStyle w:val="p1a"/>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(§5.3.5) y como línea de trabajo futuro (§7.2, punto 7).</w:t>
      </w:r>
    </w:p>
    <w:p>
      <w:pPr>
        <w:numPr>
          <w:ilvl w:val="0"/>
          <w:numId w:val="0"/>
        </w:numPr>
        <w:pStyle w:val="heading3"/>
      </w:pPr>
      <w:r>
        <w:t>H.5 Implicaciones para la evaluación de sistemas NER</w:t>
      </w:r>
    </w:p>
    <w:p>
      <w:pPr>
        <w:numPr>
          <w:ilvl w:val="0"/>
          <w:numId w:val="0"/>
        </w:numPr>
        <w:pStyle w:val="numbereditem"/>
      </w:pPr>
      <w:r>
        <w:rPr>
          <w:b/>
        </w:rPr>
        <w:t>Verificar la codificación de la entrada, no solo la de la referencia.</w:t>
      </w:r>
      <w:r>
        <w:t xml:space="preserve"> Un defecto presente en ambas no se comporta como el mismo defecto presente en una sola.</w:t>
      </w:r>
    </w:p>
    <w:p>
      <w:pPr>
        <w:numPr>
          <w:ilvl w:val="0"/>
          <w:numId w:val="0"/>
        </w:numPr>
        <w:pStyle w:val="numbereditem"/>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numbereditem"/>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numbereditem"/>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p1a"/>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w:t>
      </w:r>
    </w:p>
    <w:p>
      <w:pPr>
        <w:numPr>
          <w:ilvl w:val="0"/>
          <w:numId w:val="0"/>
        </w:numPr>
        <w:pStyle w:val="tablecaption"/>
      </w:pPr>
      <w:r>
        <w:t xml:space="preserve">Tabla 19. Desempeño publicado y desempeño restringido a personas y organizaciones (N=120, 42 configuraciones).</w:t>
      </w:r>
    </w:p>
    <w:tbl>
      <w:tblPr>
        <w:tblStyle w:val="Table"/>
        <w:tblW w:type="dxa" w:w="8838"/>
        <w:tblLayout w:type="fixed"/>
        <w:tblLook w:firstRow="1" w:lastRow="0" w:firstColumn="0" w:lastColumn="0" w:noHBand="0" w:noVBand="0" w:val="0020"/>
      </w:tblPr>
      <w:tblGrid>
        <w:gridCol w:w="944"/>
        <w:gridCol w:w="2494"/>
        <w:gridCol w:w="900"/>
        <w:gridCol w:w="900"/>
        <w:gridCol w:w="900"/>
        <w:gridCol w:w="900"/>
        <w:gridCol w:w="900"/>
        <w:gridCol w:w="900"/>
      </w:tblGrid>
      <w:tr>
        <w:trPr>
          <w:tblHeader w:val="on"/>
        </w:trPr>
        <w:tc>
          <w:tcPr>
            <w:tcW w:type="dxa" w:w="944"/>
          </w:tcPr>
          <w:p>
            <w:pPr>
              <w:pStyle w:val="Compact"/>
              <w:jc w:val="left"/>
            </w:pPr>
            <w:r>
              <w:rPr>
                <w:b/>
              </w:rPr>
              <w:t>Configuración</w:t>
            </w:r>
          </w:p>
        </w:tc>
        <w:tc>
          <w:tcPr>
            <w:tcW w:type="dxa" w:w="2494"/>
          </w:tcPr>
          <w:p>
            <w:pPr>
              <w:pStyle w:val="Compact"/>
              <w:jc w:val="left"/>
            </w:pPr>
            <w:r>
              <w:rPr>
                <w:b/>
              </w:rPr>
              <w:t>Corrida</w:t>
            </w:r>
          </w:p>
        </w:tc>
        <w:tc>
          <w:tcPr>
            <w:tcW w:type="dxa" w:w="900"/>
          </w:tcPr>
          <w:p>
            <w:pPr>
              <w:pStyle w:val="Compact"/>
              <w:jc w:val="left"/>
            </w:pPr>
            <w:r>
              <w:rPr>
                <w:b/>
              </w:rPr>
              <w:t>P</w:t>
            </w:r>
          </w:p>
        </w:tc>
        <w:tc>
          <w:tcPr>
            <w:tcW w:type="dxa" w:w="900"/>
          </w:tcPr>
          <w:p>
            <w:pPr>
              <w:pStyle w:val="Compact"/>
              <w:jc w:val="center"/>
            </w:pPr>
            <w:r>
              <w:rPr>
                <w:b/>
              </w:rPr>
              <w:t>R</w:t>
            </w:r>
          </w:p>
        </w:tc>
        <w:tc>
          <w:tcPr>
            <w:tcW w:type="dxa" w:w="900"/>
          </w:tcPr>
          <w:p>
            <w:pPr>
              <w:pStyle w:val="Compact"/>
              <w:jc w:val="center"/>
            </w:pPr>
            <w:r>
              <w:rPr>
                <w:b/>
              </w:rPr>
              <w:t>F1</w:t>
            </w:r>
          </w:p>
        </w:tc>
        <w:tc>
          <w:tcPr>
            <w:tcW w:type="dxa" w:w="900"/>
          </w:tcPr>
          <w:p>
            <w:pPr>
              <w:pStyle w:val="Compact"/>
              <w:jc w:val="left"/>
            </w:pPr>
            <w:r>
              <w:rPr>
                <w:b/>
              </w:rPr>
              <w:t>P restr.</w:t>
            </w:r>
          </w:p>
        </w:tc>
        <w:tc>
          <w:tcPr>
            <w:tcW w:type="dxa" w:w="900"/>
          </w:tcPr>
          <w:p>
            <w:pPr>
              <w:pStyle w:val="Compact"/>
              <w:jc w:val="left"/>
            </w:pPr>
            <w:r>
              <w:rPr>
                <w:b/>
              </w:rPr>
              <w:t>F1 restr.</w:t>
            </w:r>
          </w:p>
        </w:tc>
        <w:tc>
          <w:tcPr>
            <w:tcW w:type="dxa" w:w="900"/>
          </w:tcPr>
          <w:p>
            <w:pPr>
              <w:pStyle w:val="Compact"/>
              <w:jc w:val="left"/>
            </w:pPr>
            <w:r>
              <w:rPr>
                <w:b/>
              </w:rPr>
              <w:t>Δ F1</w:t>
            </w:r>
          </w:p>
        </w:tc>
      </w:tr>
      <w:tr>
        <w:tc>
          <w:tcPr>
            <w:tcW w:type="dxa" w:w="944"/>
          </w:tcPr>
          <w:p>
            <w:pPr>
              <w:pStyle w:val="Compact"/>
              <w:jc w:val="left"/>
            </w:pPr>
            <w:r>
              <w:rPr>
                <w:b w:val="0"/>
              </w:rPr>
              <w:t>gemma4:31b-cloud_baseline</w:t>
            </w:r>
          </w:p>
        </w:tc>
        <w:tc>
          <w:tcPr>
            <w:tcW w:type="dxa" w:w="2494"/>
          </w:tcPr>
          <w:p>
            <w:pPr>
              <w:pStyle w:val="Compact"/>
              <w:jc w:val="left"/>
            </w:pPr>
            <w:r>
              <w:rPr>
                <w:b w:val="0"/>
              </w:rPr>
              <w:t>gemma4_31b_cloud_n120_REMOTO</w:t>
            </w:r>
          </w:p>
        </w:tc>
        <w:tc>
          <w:tcPr>
            <w:tcW w:type="dxa" w:w="900"/>
          </w:tcPr>
          <w:p>
            <w:pPr>
              <w:pStyle w:val="Compact"/>
              <w:jc w:val="left"/>
            </w:pPr>
            <w:r>
              <w:rPr>
                <w:b w:val="0"/>
              </w:rPr>
              <w:t xml:space="preserve">55.80</w:t>
            </w:r>
          </w:p>
        </w:tc>
        <w:tc>
          <w:tcPr>
            <w:tcW w:type="dxa" w:w="900"/>
          </w:tcPr>
          <w:p>
            <w:pPr>
              <w:pStyle w:val="Compact"/>
              <w:jc w:val="center"/>
            </w:pPr>
            <w:r>
              <w:rPr>
                <w:b w:val="0"/>
              </w:rPr>
              <w:t xml:space="preserve">75.30</w:t>
            </w:r>
          </w:p>
        </w:tc>
        <w:tc>
          <w:tcPr>
            <w:tcW w:type="dxa" w:w="900"/>
          </w:tcPr>
          <w:p>
            <w:pPr>
              <w:pStyle w:val="Compact"/>
              <w:jc w:val="center"/>
            </w:pPr>
            <w:r>
              <w:rPr>
                <w:b w:val="0"/>
              </w:rPr>
              <w:t xml:space="preserve">62.38</w:t>
            </w:r>
          </w:p>
        </w:tc>
        <w:tc>
          <w:tcPr>
            <w:tcW w:type="dxa" w:w="900"/>
          </w:tcPr>
          <w:p>
            <w:pPr>
              <w:pStyle w:val="Compact"/>
              <w:jc w:val="left"/>
            </w:pPr>
            <w:r>
              <w:rPr>
                <w:b w:val="0"/>
              </w:rPr>
              <w:t xml:space="preserve">85.51</w:t>
            </w:r>
          </w:p>
        </w:tc>
        <w:tc>
          <w:tcPr>
            <w:tcW w:type="dxa" w:w="900"/>
          </w:tcPr>
          <w:p>
            <w:pPr>
              <w:pStyle w:val="Compact"/>
              <w:jc w:val="left"/>
            </w:pPr>
            <w:r>
              <w:rPr>
                <w:b w:val="0"/>
              </w:rPr>
              <w:t xml:space="preserve">80.42</w:t>
            </w:r>
          </w:p>
        </w:tc>
        <w:tc>
          <w:tcPr>
            <w:tcW w:type="dxa" w:w="900"/>
          </w:tcPr>
          <w:p>
            <w:pPr>
              <w:pStyle w:val="Compact"/>
              <w:jc w:val="left"/>
            </w:pPr>
            <w:r>
              <w:rPr>
                <w:b w:val="0"/>
              </w:rPr>
              <w:t xml:space="preserve">+18.03</w:t>
            </w:r>
          </w:p>
        </w:tc>
      </w:tr>
      <w:tr>
        <w:tc>
          <w:tcPr>
            <w:tcW w:type="dxa" w:w="944"/>
          </w:tcPr>
          <w:p>
            <w:pPr>
              <w:pStyle w:val="Compact"/>
              <w:jc w:val="left"/>
            </w:pPr>
            <w:r>
              <w:rPr>
                <w:b w:val="0"/>
              </w:rPr>
              <w:t>gemma4:31b-cloud_kb_rag</w:t>
            </w:r>
          </w:p>
        </w:tc>
        <w:tc>
          <w:tcPr>
            <w:tcW w:type="dxa" w:w="2494"/>
          </w:tcPr>
          <w:p>
            <w:pPr>
              <w:pStyle w:val="Compact"/>
              <w:jc w:val="left"/>
            </w:pPr>
            <w:r>
              <w:rPr>
                <w:b w:val="0"/>
              </w:rPr>
              <w:t>gemma4_31b_cloud_n120_REMOTO</w:t>
            </w:r>
          </w:p>
        </w:tc>
        <w:tc>
          <w:tcPr>
            <w:tcW w:type="dxa" w:w="900"/>
          </w:tcPr>
          <w:p>
            <w:pPr>
              <w:pStyle w:val="Compact"/>
              <w:jc w:val="left"/>
            </w:pPr>
            <w:r>
              <w:rPr>
                <w:b w:val="0"/>
              </w:rPr>
              <w:t xml:space="preserve">54.92</w:t>
            </w:r>
          </w:p>
        </w:tc>
        <w:tc>
          <w:tcPr>
            <w:tcW w:type="dxa" w:w="900"/>
          </w:tcPr>
          <w:p>
            <w:pPr>
              <w:pStyle w:val="Compact"/>
              <w:jc w:val="center"/>
            </w:pPr>
            <w:r>
              <w:rPr>
                <w:b w:val="0"/>
              </w:rPr>
              <w:t xml:space="preserve">75.11</w:t>
            </w:r>
          </w:p>
        </w:tc>
        <w:tc>
          <w:tcPr>
            <w:tcW w:type="dxa" w:w="900"/>
          </w:tcPr>
          <w:p>
            <w:pPr>
              <w:pStyle w:val="Compact"/>
              <w:jc w:val="center"/>
            </w:pPr>
            <w:r>
              <w:rPr>
                <w:b w:val="0"/>
              </w:rPr>
              <w:t xml:space="preserve">61.85</w:t>
            </w:r>
          </w:p>
        </w:tc>
        <w:tc>
          <w:tcPr>
            <w:tcW w:type="dxa" w:w="900"/>
          </w:tcPr>
          <w:p>
            <w:pPr>
              <w:pStyle w:val="Compact"/>
              <w:jc w:val="left"/>
            </w:pPr>
            <w:r>
              <w:rPr>
                <w:b w:val="0"/>
              </w:rPr>
              <w:t xml:space="preserve">82.40</w:t>
            </w:r>
          </w:p>
        </w:tc>
        <w:tc>
          <w:tcPr>
            <w:tcW w:type="dxa" w:w="900"/>
          </w:tcPr>
          <w:p>
            <w:pPr>
              <w:pStyle w:val="Compact"/>
              <w:jc w:val="left"/>
            </w:pPr>
            <w:r>
              <w:rPr>
                <w:b w:val="0"/>
              </w:rPr>
              <w:t xml:space="preserve">78.89</w:t>
            </w:r>
          </w:p>
        </w:tc>
        <w:tc>
          <w:tcPr>
            <w:tcW w:type="dxa" w:w="900"/>
          </w:tcPr>
          <w:p>
            <w:pPr>
              <w:pStyle w:val="Compact"/>
              <w:jc w:val="left"/>
            </w:pPr>
            <w:r>
              <w:rPr>
                <w:b w:val="0"/>
              </w:rPr>
              <w:t xml:space="preserve">+17.05</w:t>
            </w:r>
          </w:p>
        </w:tc>
      </w:tr>
      <w:tr>
        <w:tc>
          <w:tcPr>
            <w:tcW w:type="dxa" w:w="944"/>
          </w:tcPr>
          <w:p>
            <w:pPr>
              <w:pStyle w:val="Compact"/>
              <w:jc w:val="left"/>
            </w:pPr>
            <w:r>
              <w:rPr>
                <w:b w:val="0"/>
              </w:rPr>
              <w:t>gemma4:31b-mlx_baseline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52.89</w:t>
            </w:r>
          </w:p>
        </w:tc>
        <w:tc>
          <w:tcPr>
            <w:tcW w:type="dxa" w:w="900"/>
          </w:tcPr>
          <w:p>
            <w:pPr>
              <w:pStyle w:val="Compact"/>
              <w:jc w:val="center"/>
            </w:pPr>
            <w:r>
              <w:rPr>
                <w:b w:val="0"/>
              </w:rPr>
              <w:t xml:space="preserve">72.35</w:t>
            </w:r>
          </w:p>
        </w:tc>
        <w:tc>
          <w:tcPr>
            <w:tcW w:type="dxa" w:w="900"/>
          </w:tcPr>
          <w:p>
            <w:pPr>
              <w:pStyle w:val="Compact"/>
              <w:jc w:val="center"/>
            </w:pPr>
            <w:r>
              <w:rPr>
                <w:b w:val="0"/>
              </w:rPr>
              <w:t xml:space="preserve">59.25</w:t>
            </w:r>
          </w:p>
        </w:tc>
        <w:tc>
          <w:tcPr>
            <w:tcW w:type="dxa" w:w="900"/>
          </w:tcPr>
          <w:p>
            <w:pPr>
              <w:pStyle w:val="Compact"/>
              <w:jc w:val="left"/>
            </w:pPr>
            <w:r>
              <w:rPr>
                <w:b w:val="0"/>
              </w:rPr>
              <w:t xml:space="preserve">80.85</w:t>
            </w:r>
          </w:p>
        </w:tc>
        <w:tc>
          <w:tcPr>
            <w:tcW w:type="dxa" w:w="900"/>
          </w:tcPr>
          <w:p>
            <w:pPr>
              <w:pStyle w:val="Compact"/>
              <w:jc w:val="left"/>
            </w:pPr>
            <w:r>
              <w:rPr>
                <w:b w:val="0"/>
              </w:rPr>
              <w:t xml:space="preserve">76.55</w:t>
            </w:r>
          </w:p>
        </w:tc>
        <w:tc>
          <w:tcPr>
            <w:tcW w:type="dxa" w:w="900"/>
          </w:tcPr>
          <w:p>
            <w:pPr>
              <w:pStyle w:val="Compact"/>
              <w:jc w:val="left"/>
            </w:pPr>
            <w:r>
              <w:rPr>
                <w:b w:val="0"/>
              </w:rPr>
              <w:t xml:space="preserve">+17.30</w:t>
            </w:r>
          </w:p>
        </w:tc>
      </w:tr>
      <w:tr>
        <w:tc>
          <w:tcPr>
            <w:tcW w:type="dxa" w:w="944"/>
          </w:tcPr>
          <w:p>
            <w:pPr>
              <w:pStyle w:val="Compact"/>
              <w:jc w:val="left"/>
            </w:pPr>
            <w:r>
              <w:rPr>
                <w:b w:val="0"/>
              </w:rPr>
              <w:t>gemma4:31b-mlx_kb_rag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51.67</w:t>
            </w:r>
          </w:p>
        </w:tc>
        <w:tc>
          <w:tcPr>
            <w:tcW w:type="dxa" w:w="900"/>
          </w:tcPr>
          <w:p>
            <w:pPr>
              <w:pStyle w:val="Compact"/>
              <w:jc w:val="center"/>
            </w:pPr>
            <w:r>
              <w:rPr>
                <w:b w:val="0"/>
              </w:rPr>
              <w:t xml:space="preserve">73.59</w:t>
            </w:r>
          </w:p>
        </w:tc>
        <w:tc>
          <w:tcPr>
            <w:tcW w:type="dxa" w:w="900"/>
          </w:tcPr>
          <w:p>
            <w:pPr>
              <w:pStyle w:val="Compact"/>
              <w:jc w:val="center"/>
            </w:pPr>
            <w:r>
              <w:rPr>
                <w:b w:val="0"/>
              </w:rPr>
              <w:t xml:space="preserve">59.07</w:t>
            </w:r>
          </w:p>
        </w:tc>
        <w:tc>
          <w:tcPr>
            <w:tcW w:type="dxa" w:w="900"/>
          </w:tcPr>
          <w:p>
            <w:pPr>
              <w:pStyle w:val="Compact"/>
              <w:jc w:val="left"/>
            </w:pPr>
            <w:r>
              <w:rPr>
                <w:b w:val="0"/>
              </w:rPr>
              <w:t xml:space="preserve">77.11</w:t>
            </w:r>
          </w:p>
        </w:tc>
        <w:tc>
          <w:tcPr>
            <w:tcW w:type="dxa" w:w="900"/>
          </w:tcPr>
          <w:p>
            <w:pPr>
              <w:pStyle w:val="Compact"/>
              <w:jc w:val="left"/>
            </w:pPr>
            <w:r>
              <w:rPr>
                <w:b w:val="0"/>
              </w:rPr>
              <w:t xml:space="preserve">75.63</w:t>
            </w:r>
          </w:p>
        </w:tc>
        <w:tc>
          <w:tcPr>
            <w:tcW w:type="dxa" w:w="900"/>
          </w:tcPr>
          <w:p>
            <w:pPr>
              <w:pStyle w:val="Compact"/>
              <w:jc w:val="left"/>
            </w:pPr>
            <w:r>
              <w:rPr>
                <w:b w:val="0"/>
              </w:rPr>
              <w:t xml:space="preserve">+16.55</w:t>
            </w:r>
          </w:p>
        </w:tc>
      </w:tr>
      <w:tr>
        <w:tc>
          <w:tcPr>
            <w:tcW w:type="dxa" w:w="944"/>
          </w:tcPr>
          <w:p>
            <w:pPr>
              <w:pStyle w:val="Compact"/>
              <w:jc w:val="left"/>
            </w:pPr>
            <w:r>
              <w:rPr>
                <w:b w:val="0"/>
              </w:rPr>
              <w:t>gemma4:31b-mlx_rag_enhanced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52.09</w:t>
            </w:r>
          </w:p>
        </w:tc>
        <w:tc>
          <w:tcPr>
            <w:tcW w:type="dxa" w:w="900"/>
          </w:tcPr>
          <w:p>
            <w:pPr>
              <w:pStyle w:val="Compact"/>
              <w:jc w:val="center"/>
            </w:pPr>
            <w:r>
              <w:rPr>
                <w:b w:val="0"/>
              </w:rPr>
              <w:t xml:space="preserve">69.18</w:t>
            </w:r>
          </w:p>
        </w:tc>
        <w:tc>
          <w:tcPr>
            <w:tcW w:type="dxa" w:w="900"/>
          </w:tcPr>
          <w:p>
            <w:pPr>
              <w:pStyle w:val="Compact"/>
              <w:jc w:val="center"/>
            </w:pPr>
            <w:r>
              <w:rPr>
                <w:b w:val="0"/>
              </w:rPr>
              <w:t xml:space="preserve">57.85</w:t>
            </w:r>
          </w:p>
        </w:tc>
        <w:tc>
          <w:tcPr>
            <w:tcW w:type="dxa" w:w="900"/>
          </w:tcPr>
          <w:p>
            <w:pPr>
              <w:pStyle w:val="Compact"/>
              <w:jc w:val="left"/>
            </w:pPr>
            <w:r>
              <w:rPr>
                <w:b w:val="0"/>
              </w:rPr>
              <w:t xml:space="preserve">80.34</w:t>
            </w:r>
          </w:p>
        </w:tc>
        <w:tc>
          <w:tcPr>
            <w:tcW w:type="dxa" w:w="900"/>
          </w:tcPr>
          <w:p>
            <w:pPr>
              <w:pStyle w:val="Compact"/>
              <w:jc w:val="left"/>
            </w:pPr>
            <w:r>
              <w:rPr>
                <w:b w:val="0"/>
              </w:rPr>
              <w:t xml:space="preserve">74.66</w:t>
            </w:r>
          </w:p>
        </w:tc>
        <w:tc>
          <w:tcPr>
            <w:tcW w:type="dxa" w:w="900"/>
          </w:tcPr>
          <w:p>
            <w:pPr>
              <w:pStyle w:val="Compact"/>
              <w:jc w:val="left"/>
            </w:pPr>
            <w:r>
              <w:rPr>
                <w:b w:val="0"/>
              </w:rPr>
              <w:t xml:space="preserve">+16.81</w:t>
            </w:r>
          </w:p>
        </w:tc>
      </w:tr>
      <w:tr>
        <w:tc>
          <w:tcPr>
            <w:tcW w:type="dxa" w:w="944"/>
          </w:tcPr>
          <w:p>
            <w:pPr>
              <w:pStyle w:val="Compact"/>
              <w:jc w:val="left"/>
            </w:pPr>
            <w:r>
              <w:rPr>
                <w:b w:val="0"/>
              </w:rPr>
              <w:t>zs-es</w:t>
            </w:r>
          </w:p>
        </w:tc>
        <w:tc>
          <w:tcPr>
            <w:tcW w:type="dxa" w:w="2494"/>
          </w:tcPr>
          <w:p>
            <w:pPr>
              <w:pStyle w:val="Compact"/>
              <w:jc w:val="left"/>
            </w:pPr>
            <w:r>
              <w:rPr>
                <w:b w:val="0"/>
              </w:rPr>
              <w:t>benchmark_balanced_120_20260825_071207</w:t>
            </w:r>
          </w:p>
        </w:tc>
        <w:tc>
          <w:tcPr>
            <w:tcW w:type="dxa" w:w="900"/>
          </w:tcPr>
          <w:p>
            <w:pPr>
              <w:pStyle w:val="Compact"/>
              <w:jc w:val="left"/>
            </w:pPr>
            <w:r>
              <w:rPr>
                <w:b w:val="0"/>
              </w:rPr>
              <w:t xml:space="preserve">51.90</w:t>
            </w:r>
          </w:p>
        </w:tc>
        <w:tc>
          <w:tcPr>
            <w:tcW w:type="dxa" w:w="900"/>
          </w:tcPr>
          <w:p>
            <w:pPr>
              <w:pStyle w:val="Compact"/>
              <w:jc w:val="center"/>
            </w:pPr>
            <w:r>
              <w:rPr>
                <w:b w:val="0"/>
              </w:rPr>
              <w:t xml:space="preserve">67.86</w:t>
            </w:r>
          </w:p>
        </w:tc>
        <w:tc>
          <w:tcPr>
            <w:tcW w:type="dxa" w:w="900"/>
          </w:tcPr>
          <w:p>
            <w:pPr>
              <w:pStyle w:val="Compact"/>
              <w:jc w:val="center"/>
            </w:pPr>
            <w:r>
              <w:rPr>
                <w:b w:val="0"/>
              </w:rPr>
              <w:t xml:space="preserve">55.62</w:t>
            </w:r>
          </w:p>
        </w:tc>
        <w:tc>
          <w:tcPr>
            <w:tcW w:type="dxa" w:w="900"/>
          </w:tcPr>
          <w:p>
            <w:pPr>
              <w:pStyle w:val="Compact"/>
              <w:jc w:val="left"/>
            </w:pPr>
            <w:r>
              <w:rPr>
                <w:b w:val="0"/>
              </w:rPr>
              <w:t xml:space="preserve">79.49</w:t>
            </w:r>
          </w:p>
        </w:tc>
        <w:tc>
          <w:tcPr>
            <w:tcW w:type="dxa" w:w="900"/>
          </w:tcPr>
          <w:p>
            <w:pPr>
              <w:pStyle w:val="Compact"/>
              <w:jc w:val="left"/>
            </w:pPr>
            <w:r>
              <w:rPr>
                <w:b w:val="0"/>
              </w:rPr>
              <w:t xml:space="preserve">71.07</w:t>
            </w:r>
          </w:p>
        </w:tc>
        <w:tc>
          <w:tcPr>
            <w:tcW w:type="dxa" w:w="900"/>
          </w:tcPr>
          <w:p>
            <w:pPr>
              <w:pStyle w:val="Compact"/>
              <w:jc w:val="left"/>
            </w:pPr>
            <w:r>
              <w:rPr>
                <w:b w:val="0"/>
              </w:rPr>
              <w:t xml:space="preserve">+15.45</w:t>
            </w:r>
          </w:p>
        </w:tc>
      </w:tr>
      <w:tr>
        <w:tc>
          <w:tcPr>
            <w:tcW w:type="dxa" w:w="944"/>
          </w:tcPr>
          <w:p>
            <w:pPr>
              <w:pStyle w:val="Compact"/>
              <w:jc w:val="left"/>
            </w:pPr>
            <w:r>
              <w:rPr>
                <w:b w:val="0"/>
              </w:rPr>
              <w:t>gpt-oss:20b_kb_rag</w:t>
            </w:r>
          </w:p>
        </w:tc>
        <w:tc>
          <w:tcPr>
            <w:tcW w:type="dxa" w:w="2494"/>
          </w:tcPr>
          <w:p>
            <w:pPr>
              <w:pStyle w:val="Compact"/>
              <w:jc w:val="left"/>
            </w:pPr>
            <w:r>
              <w:rPr>
                <w:b w:val="0"/>
              </w:rPr>
              <w:t>gptoss_rerun_REMOTO</w:t>
            </w:r>
          </w:p>
        </w:tc>
        <w:tc>
          <w:tcPr>
            <w:tcW w:type="dxa" w:w="900"/>
          </w:tcPr>
          <w:p>
            <w:pPr>
              <w:pStyle w:val="Compact"/>
              <w:jc w:val="left"/>
            </w:pPr>
            <w:r>
              <w:rPr>
                <w:b w:val="0"/>
              </w:rPr>
              <w:t xml:space="preserve">49.18</w:t>
            </w:r>
          </w:p>
        </w:tc>
        <w:tc>
          <w:tcPr>
            <w:tcW w:type="dxa" w:w="900"/>
          </w:tcPr>
          <w:p>
            <w:pPr>
              <w:pStyle w:val="Compact"/>
              <w:jc w:val="center"/>
            </w:pPr>
            <w:r>
              <w:rPr>
                <w:b w:val="0"/>
              </w:rPr>
              <w:t xml:space="preserve">69.09</w:t>
            </w:r>
          </w:p>
        </w:tc>
        <w:tc>
          <w:tcPr>
            <w:tcW w:type="dxa" w:w="900"/>
          </w:tcPr>
          <w:p>
            <w:pPr>
              <w:pStyle w:val="Compact"/>
              <w:jc w:val="center"/>
            </w:pPr>
            <w:r>
              <w:rPr>
                <w:b w:val="0"/>
              </w:rPr>
              <w:t xml:space="preserve">55.67</w:t>
            </w:r>
          </w:p>
        </w:tc>
        <w:tc>
          <w:tcPr>
            <w:tcW w:type="dxa" w:w="900"/>
          </w:tcPr>
          <w:p>
            <w:pPr>
              <w:pStyle w:val="Compact"/>
              <w:jc w:val="left"/>
            </w:pPr>
            <w:r>
              <w:rPr>
                <w:b w:val="0"/>
              </w:rPr>
              <w:t xml:space="preserve">75.40</w:t>
            </w:r>
          </w:p>
        </w:tc>
        <w:tc>
          <w:tcPr>
            <w:tcW w:type="dxa" w:w="900"/>
          </w:tcPr>
          <w:p>
            <w:pPr>
              <w:pStyle w:val="Compact"/>
              <w:jc w:val="left"/>
            </w:pPr>
            <w:r>
              <w:rPr>
                <w:b w:val="0"/>
              </w:rPr>
              <w:t xml:space="preserve">71.99</w:t>
            </w:r>
          </w:p>
        </w:tc>
        <w:tc>
          <w:tcPr>
            <w:tcW w:type="dxa" w:w="900"/>
          </w:tcPr>
          <w:p>
            <w:pPr>
              <w:pStyle w:val="Compact"/>
              <w:jc w:val="left"/>
            </w:pPr>
            <w:r>
              <w:rPr>
                <w:b w:val="0"/>
              </w:rPr>
              <w:t xml:space="preserve">+16.32</w:t>
            </w:r>
          </w:p>
        </w:tc>
      </w:tr>
      <w:tr>
        <w:tc>
          <w:tcPr>
            <w:tcW w:type="dxa" w:w="944"/>
          </w:tcPr>
          <w:p>
            <w:pPr>
              <w:pStyle w:val="Compact"/>
              <w:jc w:val="left"/>
            </w:pPr>
            <w:r>
              <w:rPr>
                <w:b w:val="0"/>
              </w:rPr>
              <w:t>gemma4:latest_baseline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52.91</w:t>
            </w:r>
          </w:p>
        </w:tc>
        <w:tc>
          <w:tcPr>
            <w:tcW w:type="dxa" w:w="900"/>
          </w:tcPr>
          <w:p>
            <w:pPr>
              <w:pStyle w:val="Compact"/>
              <w:jc w:val="center"/>
            </w:pPr>
            <w:r>
              <w:rPr>
                <w:b w:val="0"/>
              </w:rPr>
              <w:t xml:space="preserve">63.87</w:t>
            </w:r>
          </w:p>
        </w:tc>
        <w:tc>
          <w:tcPr>
            <w:tcW w:type="dxa" w:w="900"/>
          </w:tcPr>
          <w:p>
            <w:pPr>
              <w:pStyle w:val="Compact"/>
              <w:jc w:val="center"/>
            </w:pPr>
            <w:r>
              <w:rPr>
                <w:b w:val="0"/>
              </w:rPr>
              <w:t xml:space="preserve">55.91</w:t>
            </w:r>
          </w:p>
        </w:tc>
        <w:tc>
          <w:tcPr>
            <w:tcW w:type="dxa" w:w="900"/>
          </w:tcPr>
          <w:p>
            <w:pPr>
              <w:pStyle w:val="Compact"/>
              <w:jc w:val="left"/>
            </w:pPr>
            <w:r>
              <w:rPr>
                <w:b w:val="0"/>
              </w:rPr>
              <w:t xml:space="preserve">78.81</w:t>
            </w:r>
          </w:p>
        </w:tc>
        <w:tc>
          <w:tcPr>
            <w:tcW w:type="dxa" w:w="900"/>
          </w:tcPr>
          <w:p>
            <w:pPr>
              <w:pStyle w:val="Compact"/>
              <w:jc w:val="left"/>
            </w:pPr>
            <w:r>
              <w:rPr>
                <w:b w:val="0"/>
              </w:rPr>
              <w:t xml:space="preserve">70.52</w:t>
            </w:r>
          </w:p>
        </w:tc>
        <w:tc>
          <w:tcPr>
            <w:tcW w:type="dxa" w:w="900"/>
          </w:tcPr>
          <w:p>
            <w:pPr>
              <w:pStyle w:val="Compact"/>
              <w:jc w:val="left"/>
            </w:pPr>
            <w:r>
              <w:rPr>
                <w:b w:val="0"/>
              </w:rPr>
              <w:t xml:space="preserve">+14.61</w:t>
            </w:r>
          </w:p>
        </w:tc>
      </w:tr>
      <w:tr>
        <w:tc>
          <w:tcPr>
            <w:tcW w:type="dxa" w:w="944"/>
          </w:tcPr>
          <w:p>
            <w:pPr>
              <w:pStyle w:val="Compact"/>
              <w:jc w:val="left"/>
            </w:pPr>
            <w:r>
              <w:rPr>
                <w:b w:val="0"/>
              </w:rPr>
              <w:t>gemma4:latest_kb_rag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51.29</w:t>
            </w:r>
          </w:p>
        </w:tc>
        <w:tc>
          <w:tcPr>
            <w:tcW w:type="dxa" w:w="900"/>
          </w:tcPr>
          <w:p>
            <w:pPr>
              <w:pStyle w:val="Compact"/>
              <w:jc w:val="center"/>
            </w:pPr>
            <w:r>
              <w:rPr>
                <w:b w:val="0"/>
              </w:rPr>
              <w:t xml:space="preserve">62.76</w:t>
            </w:r>
          </w:p>
        </w:tc>
        <w:tc>
          <w:tcPr>
            <w:tcW w:type="dxa" w:w="900"/>
          </w:tcPr>
          <w:p>
            <w:pPr>
              <w:pStyle w:val="Compact"/>
              <w:jc w:val="center"/>
            </w:pPr>
            <w:r>
              <w:rPr>
                <w:b w:val="0"/>
              </w:rPr>
              <w:t xml:space="preserve">54.74</w:t>
            </w:r>
          </w:p>
        </w:tc>
        <w:tc>
          <w:tcPr>
            <w:tcW w:type="dxa" w:w="900"/>
          </w:tcPr>
          <w:p>
            <w:pPr>
              <w:pStyle w:val="Compact"/>
              <w:jc w:val="left"/>
            </w:pPr>
            <w:r>
              <w:rPr>
                <w:b w:val="0"/>
              </w:rPr>
              <w:t xml:space="preserve">79.72</w:t>
            </w:r>
          </w:p>
        </w:tc>
        <w:tc>
          <w:tcPr>
            <w:tcW w:type="dxa" w:w="900"/>
          </w:tcPr>
          <w:p>
            <w:pPr>
              <w:pStyle w:val="Compact"/>
              <w:jc w:val="left"/>
            </w:pPr>
            <w:r>
              <w:rPr>
                <w:b w:val="0"/>
              </w:rPr>
              <w:t xml:space="preserve">70.34</w:t>
            </w:r>
          </w:p>
        </w:tc>
        <w:tc>
          <w:tcPr>
            <w:tcW w:type="dxa" w:w="900"/>
          </w:tcPr>
          <w:p>
            <w:pPr>
              <w:pStyle w:val="Compact"/>
              <w:jc w:val="left"/>
            </w:pPr>
            <w:r>
              <w:rPr>
                <w:b w:val="0"/>
              </w:rPr>
              <w:t xml:space="preserve">+15.59</w:t>
            </w:r>
          </w:p>
        </w:tc>
      </w:tr>
      <w:tr>
        <w:tc>
          <w:tcPr>
            <w:tcW w:type="dxa" w:w="944"/>
          </w:tcPr>
          <w:p>
            <w:pPr>
              <w:pStyle w:val="Compact"/>
              <w:jc w:val="left"/>
            </w:pPr>
            <w:r>
              <w:rPr>
                <w:b w:val="0"/>
              </w:rPr>
              <w:t>zs-en</w:t>
            </w:r>
          </w:p>
        </w:tc>
        <w:tc>
          <w:tcPr>
            <w:tcW w:type="dxa" w:w="2494"/>
          </w:tcPr>
          <w:p>
            <w:pPr>
              <w:pStyle w:val="Compact"/>
              <w:jc w:val="left"/>
            </w:pPr>
            <w:r>
              <w:rPr>
                <w:b w:val="0"/>
              </w:rPr>
              <w:t>benchmark_balanced_120_20260825_071207</w:t>
            </w:r>
          </w:p>
        </w:tc>
        <w:tc>
          <w:tcPr>
            <w:tcW w:type="dxa" w:w="900"/>
          </w:tcPr>
          <w:p>
            <w:pPr>
              <w:pStyle w:val="Compact"/>
              <w:jc w:val="left"/>
            </w:pPr>
            <w:r>
              <w:rPr>
                <w:b w:val="0"/>
              </w:rPr>
              <w:t xml:space="preserve">52.47</w:t>
            </w:r>
          </w:p>
        </w:tc>
        <w:tc>
          <w:tcPr>
            <w:tcW w:type="dxa" w:w="900"/>
          </w:tcPr>
          <w:p>
            <w:pPr>
              <w:pStyle w:val="Compact"/>
              <w:jc w:val="center"/>
            </w:pPr>
            <w:r>
              <w:rPr>
                <w:b w:val="0"/>
              </w:rPr>
              <w:t xml:space="preserve">65.39</w:t>
            </w:r>
          </w:p>
        </w:tc>
        <w:tc>
          <w:tcPr>
            <w:tcW w:type="dxa" w:w="900"/>
          </w:tcPr>
          <w:p>
            <w:pPr>
              <w:pStyle w:val="Compact"/>
              <w:jc w:val="center"/>
            </w:pPr>
            <w:r>
              <w:rPr>
                <w:b w:val="0"/>
              </w:rPr>
              <w:t xml:space="preserve">54.46</w:t>
            </w:r>
          </w:p>
        </w:tc>
        <w:tc>
          <w:tcPr>
            <w:tcW w:type="dxa" w:w="900"/>
          </w:tcPr>
          <w:p>
            <w:pPr>
              <w:pStyle w:val="Compact"/>
              <w:jc w:val="left"/>
            </w:pPr>
            <w:r>
              <w:rPr>
                <w:b w:val="0"/>
              </w:rPr>
              <w:t xml:space="preserve">77.93</w:t>
            </w:r>
          </w:p>
        </w:tc>
        <w:tc>
          <w:tcPr>
            <w:tcW w:type="dxa" w:w="900"/>
          </w:tcPr>
          <w:p>
            <w:pPr>
              <w:pStyle w:val="Compact"/>
              <w:jc w:val="left"/>
            </w:pPr>
            <w:r>
              <w:rPr>
                <w:b w:val="0"/>
              </w:rPr>
              <w:t xml:space="preserve">69.06</w:t>
            </w:r>
          </w:p>
        </w:tc>
        <w:tc>
          <w:tcPr>
            <w:tcW w:type="dxa" w:w="900"/>
          </w:tcPr>
          <w:p>
            <w:pPr>
              <w:pStyle w:val="Compact"/>
              <w:jc w:val="left"/>
            </w:pPr>
            <w:r>
              <w:rPr>
                <w:b w:val="0"/>
              </w:rPr>
              <w:t xml:space="preserve">+14.60</w:t>
            </w:r>
          </w:p>
        </w:tc>
      </w:tr>
      <w:tr>
        <w:tc>
          <w:tcPr>
            <w:tcW w:type="dxa" w:w="944"/>
          </w:tcPr>
          <w:p>
            <w:pPr>
              <w:pStyle w:val="Compact"/>
              <w:jc w:val="left"/>
            </w:pPr>
            <w:r>
              <w:rPr>
                <w:b w:val="0"/>
              </w:rPr>
              <w:t>fs-es</w:t>
            </w:r>
          </w:p>
        </w:tc>
        <w:tc>
          <w:tcPr>
            <w:tcW w:type="dxa" w:w="2494"/>
          </w:tcPr>
          <w:p>
            <w:pPr>
              <w:pStyle w:val="Compact"/>
              <w:jc w:val="left"/>
            </w:pPr>
            <w:r>
              <w:rPr>
                <w:b w:val="0"/>
              </w:rPr>
              <w:t>benchmark_balanced_120_20260825_071207</w:t>
            </w:r>
          </w:p>
        </w:tc>
        <w:tc>
          <w:tcPr>
            <w:tcW w:type="dxa" w:w="900"/>
          </w:tcPr>
          <w:p>
            <w:pPr>
              <w:pStyle w:val="Compact"/>
              <w:jc w:val="left"/>
            </w:pPr>
            <w:r>
              <w:rPr>
                <w:b w:val="0"/>
              </w:rPr>
              <w:t xml:space="preserve">51.35</w:t>
            </w:r>
          </w:p>
        </w:tc>
        <w:tc>
          <w:tcPr>
            <w:tcW w:type="dxa" w:w="900"/>
          </w:tcPr>
          <w:p>
            <w:pPr>
              <w:pStyle w:val="Compact"/>
              <w:jc w:val="center"/>
            </w:pPr>
            <w:r>
              <w:rPr>
                <w:b w:val="0"/>
              </w:rPr>
              <w:t xml:space="preserve">64.59</w:t>
            </w:r>
          </w:p>
        </w:tc>
        <w:tc>
          <w:tcPr>
            <w:tcW w:type="dxa" w:w="900"/>
          </w:tcPr>
          <w:p>
            <w:pPr>
              <w:pStyle w:val="Compact"/>
              <w:jc w:val="center"/>
            </w:pPr>
            <w:r>
              <w:rPr>
                <w:b w:val="0"/>
              </w:rPr>
              <w:t xml:space="preserve">54.02</w:t>
            </w:r>
          </w:p>
        </w:tc>
        <w:tc>
          <w:tcPr>
            <w:tcW w:type="dxa" w:w="900"/>
          </w:tcPr>
          <w:p>
            <w:pPr>
              <w:pStyle w:val="Compact"/>
              <w:jc w:val="left"/>
            </w:pPr>
            <w:r>
              <w:rPr>
                <w:b w:val="0"/>
              </w:rPr>
              <w:t xml:space="preserve">80.76</w:t>
            </w:r>
          </w:p>
        </w:tc>
        <w:tc>
          <w:tcPr>
            <w:tcW w:type="dxa" w:w="900"/>
          </w:tcPr>
          <w:p>
            <w:pPr>
              <w:pStyle w:val="Compact"/>
              <w:jc w:val="left"/>
            </w:pPr>
            <w:r>
              <w:rPr>
                <w:b w:val="0"/>
              </w:rPr>
              <w:t xml:space="preserve">69.89</w:t>
            </w:r>
          </w:p>
        </w:tc>
        <w:tc>
          <w:tcPr>
            <w:tcW w:type="dxa" w:w="900"/>
          </w:tcPr>
          <w:p>
            <w:pPr>
              <w:pStyle w:val="Compact"/>
              <w:jc w:val="left"/>
            </w:pPr>
            <w:r>
              <w:rPr>
                <w:b w:val="0"/>
              </w:rPr>
              <w:t xml:space="preserve">+15.86</w:t>
            </w:r>
          </w:p>
        </w:tc>
      </w:tr>
      <w:tr>
        <w:tc>
          <w:tcPr>
            <w:tcW w:type="dxa" w:w="944"/>
          </w:tcPr>
          <w:p>
            <w:pPr>
              <w:pStyle w:val="Compact"/>
              <w:jc w:val="left"/>
            </w:pPr>
            <w:r>
              <w:rPr>
                <w:b w:val="0"/>
              </w:rPr>
              <w:t>fs-en</w:t>
            </w:r>
          </w:p>
        </w:tc>
        <w:tc>
          <w:tcPr>
            <w:tcW w:type="dxa" w:w="2494"/>
          </w:tcPr>
          <w:p>
            <w:pPr>
              <w:pStyle w:val="Compact"/>
              <w:jc w:val="left"/>
            </w:pPr>
            <w:r>
              <w:rPr>
                <w:b w:val="0"/>
              </w:rPr>
              <w:t>benchmark_balanced_120_20260825_071207</w:t>
            </w:r>
          </w:p>
        </w:tc>
        <w:tc>
          <w:tcPr>
            <w:tcW w:type="dxa" w:w="900"/>
          </w:tcPr>
          <w:p>
            <w:pPr>
              <w:pStyle w:val="Compact"/>
              <w:jc w:val="left"/>
            </w:pPr>
            <w:r>
              <w:rPr>
                <w:b w:val="0"/>
              </w:rPr>
              <w:t xml:space="preserve">51.61</w:t>
            </w:r>
          </w:p>
        </w:tc>
        <w:tc>
          <w:tcPr>
            <w:tcW w:type="dxa" w:w="900"/>
          </w:tcPr>
          <w:p>
            <w:pPr>
              <w:pStyle w:val="Compact"/>
              <w:jc w:val="center"/>
            </w:pPr>
            <w:r>
              <w:rPr>
                <w:b w:val="0"/>
              </w:rPr>
              <w:t xml:space="preserve">65.28</w:t>
            </w:r>
          </w:p>
        </w:tc>
        <w:tc>
          <w:tcPr>
            <w:tcW w:type="dxa" w:w="900"/>
          </w:tcPr>
          <w:p>
            <w:pPr>
              <w:pStyle w:val="Compact"/>
              <w:jc w:val="center"/>
            </w:pPr>
            <w:r>
              <w:rPr>
                <w:b w:val="0"/>
              </w:rPr>
              <w:t xml:space="preserve">54.50</w:t>
            </w:r>
          </w:p>
        </w:tc>
        <w:tc>
          <w:tcPr>
            <w:tcW w:type="dxa" w:w="900"/>
          </w:tcPr>
          <w:p>
            <w:pPr>
              <w:pStyle w:val="Compact"/>
              <w:jc w:val="left"/>
            </w:pPr>
            <w:r>
              <w:rPr>
                <w:b w:val="0"/>
              </w:rPr>
              <w:t xml:space="preserve">80.26</w:t>
            </w:r>
          </w:p>
        </w:tc>
        <w:tc>
          <w:tcPr>
            <w:tcW w:type="dxa" w:w="900"/>
          </w:tcPr>
          <w:p>
            <w:pPr>
              <w:pStyle w:val="Compact"/>
              <w:jc w:val="left"/>
            </w:pPr>
            <w:r>
              <w:rPr>
                <w:b w:val="0"/>
              </w:rPr>
              <w:t xml:space="preserve">70.23</w:t>
            </w:r>
          </w:p>
        </w:tc>
        <w:tc>
          <w:tcPr>
            <w:tcW w:type="dxa" w:w="900"/>
          </w:tcPr>
          <w:p>
            <w:pPr>
              <w:pStyle w:val="Compact"/>
              <w:jc w:val="left"/>
            </w:pPr>
            <w:r>
              <w:rPr>
                <w:b w:val="0"/>
              </w:rPr>
              <w:t xml:space="preserve">+15.72</w:t>
            </w:r>
          </w:p>
        </w:tc>
      </w:tr>
      <w:tr>
        <w:tc>
          <w:tcPr>
            <w:tcW w:type="dxa" w:w="944"/>
          </w:tcPr>
          <w:p>
            <w:pPr>
              <w:pStyle w:val="Compact"/>
              <w:jc w:val="left"/>
            </w:pPr>
            <w:r>
              <w:rPr>
                <w:b w:val="0"/>
              </w:rPr>
              <w:t>gemma4:latest_rag_enhanced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50.61</w:t>
            </w:r>
          </w:p>
        </w:tc>
        <w:tc>
          <w:tcPr>
            <w:tcW w:type="dxa" w:w="900"/>
          </w:tcPr>
          <w:p>
            <w:pPr>
              <w:pStyle w:val="Compact"/>
              <w:jc w:val="center"/>
            </w:pPr>
            <w:r>
              <w:rPr>
                <w:b w:val="0"/>
              </w:rPr>
              <w:t xml:space="preserve">58.82</w:t>
            </w:r>
          </w:p>
        </w:tc>
        <w:tc>
          <w:tcPr>
            <w:tcW w:type="dxa" w:w="900"/>
          </w:tcPr>
          <w:p>
            <w:pPr>
              <w:pStyle w:val="Compact"/>
              <w:jc w:val="center"/>
            </w:pPr>
            <w:r>
              <w:rPr>
                <w:b w:val="0"/>
              </w:rPr>
              <w:t xml:space="preserve">52.57</w:t>
            </w:r>
          </w:p>
        </w:tc>
        <w:tc>
          <w:tcPr>
            <w:tcW w:type="dxa" w:w="900"/>
          </w:tcPr>
          <w:p>
            <w:pPr>
              <w:pStyle w:val="Compact"/>
              <w:jc w:val="left"/>
            </w:pPr>
            <w:r>
              <w:rPr>
                <w:b w:val="0"/>
              </w:rPr>
              <w:t xml:space="preserve">78.80</w:t>
            </w:r>
          </w:p>
        </w:tc>
        <w:tc>
          <w:tcPr>
            <w:tcW w:type="dxa" w:w="900"/>
          </w:tcPr>
          <w:p>
            <w:pPr>
              <w:pStyle w:val="Compact"/>
              <w:jc w:val="left"/>
            </w:pPr>
            <w:r>
              <w:rPr>
                <w:b w:val="0"/>
              </w:rPr>
              <w:t xml:space="preserve">67.22</w:t>
            </w:r>
          </w:p>
        </w:tc>
        <w:tc>
          <w:tcPr>
            <w:tcW w:type="dxa" w:w="900"/>
          </w:tcPr>
          <w:p>
            <w:pPr>
              <w:pStyle w:val="Compact"/>
              <w:jc w:val="left"/>
            </w:pPr>
            <w:r>
              <w:rPr>
                <w:b w:val="0"/>
              </w:rPr>
              <w:t xml:space="preserve">+14.65</w:t>
            </w:r>
          </w:p>
        </w:tc>
      </w:tr>
      <w:tr>
        <w:tc>
          <w:tcPr>
            <w:tcW w:type="dxa" w:w="944"/>
          </w:tcPr>
          <w:p>
            <w:pPr>
              <w:pStyle w:val="Compact"/>
              <w:jc w:val="left"/>
            </w:pPr>
            <w:r>
              <w:rPr>
                <w:b w:val="0"/>
              </w:rPr>
              <w:t>gpt-oss:20b_baseline</w:t>
            </w:r>
          </w:p>
        </w:tc>
        <w:tc>
          <w:tcPr>
            <w:tcW w:type="dxa" w:w="2494"/>
          </w:tcPr>
          <w:p>
            <w:pPr>
              <w:pStyle w:val="Compact"/>
              <w:jc w:val="left"/>
            </w:pPr>
            <w:r>
              <w:rPr>
                <w:b w:val="0"/>
              </w:rPr>
              <w:t>gptoss_rerun_REMOTO</w:t>
            </w:r>
          </w:p>
        </w:tc>
        <w:tc>
          <w:tcPr>
            <w:tcW w:type="dxa" w:w="900"/>
          </w:tcPr>
          <w:p>
            <w:pPr>
              <w:pStyle w:val="Compact"/>
              <w:jc w:val="left"/>
            </w:pPr>
            <w:r>
              <w:rPr>
                <w:b w:val="0"/>
              </w:rPr>
              <w:t xml:space="preserve">46.49</w:t>
            </w:r>
          </w:p>
        </w:tc>
        <w:tc>
          <w:tcPr>
            <w:tcW w:type="dxa" w:w="900"/>
          </w:tcPr>
          <w:p>
            <w:pPr>
              <w:pStyle w:val="Compact"/>
              <w:jc w:val="center"/>
            </w:pPr>
            <w:r>
              <w:rPr>
                <w:b w:val="0"/>
              </w:rPr>
              <w:t xml:space="preserve">64.40</w:t>
            </w:r>
          </w:p>
        </w:tc>
        <w:tc>
          <w:tcPr>
            <w:tcW w:type="dxa" w:w="900"/>
          </w:tcPr>
          <w:p>
            <w:pPr>
              <w:pStyle w:val="Compact"/>
              <w:jc w:val="center"/>
            </w:pPr>
            <w:r>
              <w:rPr>
                <w:b w:val="0"/>
              </w:rPr>
              <w:t xml:space="preserve">52.39</w:t>
            </w:r>
          </w:p>
        </w:tc>
        <w:tc>
          <w:tcPr>
            <w:tcW w:type="dxa" w:w="900"/>
          </w:tcPr>
          <w:p>
            <w:pPr>
              <w:pStyle w:val="Compact"/>
              <w:jc w:val="left"/>
            </w:pPr>
            <w:r>
              <w:rPr>
                <w:b w:val="0"/>
              </w:rPr>
              <w:t xml:space="preserve">73.69</w:t>
            </w:r>
          </w:p>
        </w:tc>
        <w:tc>
          <w:tcPr>
            <w:tcW w:type="dxa" w:w="900"/>
          </w:tcPr>
          <w:p>
            <w:pPr>
              <w:pStyle w:val="Compact"/>
              <w:jc w:val="left"/>
            </w:pPr>
            <w:r>
              <w:rPr>
                <w:b w:val="0"/>
              </w:rPr>
              <w:t xml:space="preserve">68.89</w:t>
            </w:r>
          </w:p>
        </w:tc>
        <w:tc>
          <w:tcPr>
            <w:tcW w:type="dxa" w:w="900"/>
          </w:tcPr>
          <w:p>
            <w:pPr>
              <w:pStyle w:val="Compact"/>
              <w:jc w:val="left"/>
            </w:pPr>
            <w:r>
              <w:rPr>
                <w:b w:val="0"/>
              </w:rPr>
              <w:t xml:space="preserve">+16.50</w:t>
            </w:r>
          </w:p>
        </w:tc>
      </w:tr>
      <w:tr>
        <w:tc>
          <w:tcPr>
            <w:tcW w:type="dxa" w:w="944"/>
          </w:tcPr>
          <w:p>
            <w:pPr>
              <w:pStyle w:val="Compact"/>
              <w:jc w:val="left"/>
            </w:pPr>
            <w:r>
              <w:rPr>
                <w:b w:val="0"/>
              </w:rPr>
              <w:t>qwen2.5:14b_kb_rag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55.48</w:t>
            </w:r>
          </w:p>
        </w:tc>
        <w:tc>
          <w:tcPr>
            <w:tcW w:type="dxa" w:w="900"/>
          </w:tcPr>
          <w:p>
            <w:pPr>
              <w:pStyle w:val="Compact"/>
              <w:jc w:val="center"/>
            </w:pPr>
            <w:r>
              <w:rPr>
                <w:b w:val="0"/>
              </w:rPr>
              <w:t xml:space="preserve">58.74</w:t>
            </w:r>
          </w:p>
        </w:tc>
        <w:tc>
          <w:tcPr>
            <w:tcW w:type="dxa" w:w="900"/>
          </w:tcPr>
          <w:p>
            <w:pPr>
              <w:pStyle w:val="Compact"/>
              <w:jc w:val="center"/>
            </w:pPr>
            <w:r>
              <w:rPr>
                <w:b w:val="0"/>
              </w:rPr>
              <w:t xml:space="preserve">54.84</w:t>
            </w:r>
          </w:p>
        </w:tc>
        <w:tc>
          <w:tcPr>
            <w:tcW w:type="dxa" w:w="900"/>
          </w:tcPr>
          <w:p>
            <w:pPr>
              <w:pStyle w:val="Compact"/>
              <w:jc w:val="left"/>
            </w:pPr>
            <w:r>
              <w:rPr>
                <w:b w:val="0"/>
              </w:rPr>
              <w:t xml:space="preserve">82.69</w:t>
            </w:r>
          </w:p>
        </w:tc>
        <w:tc>
          <w:tcPr>
            <w:tcW w:type="dxa" w:w="900"/>
          </w:tcPr>
          <w:p>
            <w:pPr>
              <w:pStyle w:val="Compact"/>
              <w:jc w:val="left"/>
            </w:pPr>
            <w:r>
              <w:rPr>
                <w:b w:val="0"/>
              </w:rPr>
              <w:t xml:space="preserve">68.11</w:t>
            </w:r>
          </w:p>
        </w:tc>
        <w:tc>
          <w:tcPr>
            <w:tcW w:type="dxa" w:w="900"/>
          </w:tcPr>
          <w:p>
            <w:pPr>
              <w:pStyle w:val="Compact"/>
              <w:jc w:val="left"/>
            </w:pPr>
            <w:r>
              <w:rPr>
                <w:b w:val="0"/>
              </w:rPr>
              <w:t xml:space="preserve">+13.27</w:t>
            </w:r>
          </w:p>
        </w:tc>
      </w:tr>
      <w:tr>
        <w:tc>
          <w:tcPr>
            <w:tcW w:type="dxa" w:w="944"/>
          </w:tcPr>
          <w:p>
            <w:pPr>
              <w:pStyle w:val="Compact"/>
              <w:jc w:val="left"/>
            </w:pPr>
            <w:r>
              <w:rPr>
                <w:b w:val="0"/>
              </w:rPr>
              <w:t>qwen2.5:14b_baseline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50.29</w:t>
            </w:r>
          </w:p>
        </w:tc>
        <w:tc>
          <w:tcPr>
            <w:tcW w:type="dxa" w:w="900"/>
          </w:tcPr>
          <w:p>
            <w:pPr>
              <w:pStyle w:val="Compact"/>
              <w:jc w:val="center"/>
            </w:pPr>
            <w:r>
              <w:rPr>
                <w:b w:val="0"/>
              </w:rPr>
              <w:t xml:space="preserve">54.02</w:t>
            </w:r>
          </w:p>
        </w:tc>
        <w:tc>
          <w:tcPr>
            <w:tcW w:type="dxa" w:w="900"/>
          </w:tcPr>
          <w:p>
            <w:pPr>
              <w:pStyle w:val="Compact"/>
              <w:jc w:val="center"/>
            </w:pPr>
            <w:r>
              <w:rPr>
                <w:b w:val="0"/>
              </w:rPr>
              <w:t xml:space="preserve">50.22</w:t>
            </w:r>
          </w:p>
        </w:tc>
        <w:tc>
          <w:tcPr>
            <w:tcW w:type="dxa" w:w="900"/>
          </w:tcPr>
          <w:p>
            <w:pPr>
              <w:pStyle w:val="Compact"/>
              <w:jc w:val="left"/>
            </w:pPr>
            <w:r>
              <w:rPr>
                <w:b w:val="0"/>
              </w:rPr>
              <w:t xml:space="preserve">83.40</w:t>
            </w:r>
          </w:p>
        </w:tc>
        <w:tc>
          <w:tcPr>
            <w:tcW w:type="dxa" w:w="900"/>
          </w:tcPr>
          <w:p>
            <w:pPr>
              <w:pStyle w:val="Compact"/>
              <w:jc w:val="left"/>
            </w:pPr>
            <w:r>
              <w:rPr>
                <w:b w:val="0"/>
              </w:rPr>
              <w:t xml:space="preserve">66.11</w:t>
            </w:r>
          </w:p>
        </w:tc>
        <w:tc>
          <w:tcPr>
            <w:tcW w:type="dxa" w:w="900"/>
          </w:tcPr>
          <w:p>
            <w:pPr>
              <w:pStyle w:val="Compact"/>
              <w:jc w:val="left"/>
            </w:pPr>
            <w:r>
              <w:rPr>
                <w:b w:val="0"/>
              </w:rPr>
              <w:t xml:space="preserve">+15.89</w:t>
            </w:r>
          </w:p>
        </w:tc>
      </w:tr>
      <w:tr>
        <w:tc>
          <w:tcPr>
            <w:tcW w:type="dxa" w:w="944"/>
          </w:tcPr>
          <w:p>
            <w:pPr>
              <w:pStyle w:val="Compact"/>
              <w:jc w:val="left"/>
            </w:pPr>
            <w:r>
              <w:rPr>
                <w:b w:val="0"/>
              </w:rPr>
              <w:t>llama3.1:8b_baseline</w:t>
            </w:r>
          </w:p>
        </w:tc>
        <w:tc>
          <w:tcPr>
            <w:tcW w:type="dxa" w:w="2494"/>
          </w:tcPr>
          <w:p>
            <w:pPr>
              <w:pStyle w:val="Compact"/>
              <w:jc w:val="left"/>
            </w:pPr>
            <w:r>
              <w:rPr>
                <w:b w:val="0"/>
              </w:rPr>
              <w:t>benchmark_n120_REMOTO</w:t>
            </w:r>
          </w:p>
        </w:tc>
        <w:tc>
          <w:tcPr>
            <w:tcW w:type="dxa" w:w="900"/>
          </w:tcPr>
          <w:p>
            <w:pPr>
              <w:pStyle w:val="Compact"/>
              <w:jc w:val="left"/>
            </w:pPr>
            <w:r>
              <w:rPr>
                <w:b w:val="0"/>
              </w:rPr>
              <w:t xml:space="preserve">47.37</w:t>
            </w:r>
          </w:p>
        </w:tc>
        <w:tc>
          <w:tcPr>
            <w:tcW w:type="dxa" w:w="900"/>
          </w:tcPr>
          <w:p>
            <w:pPr>
              <w:pStyle w:val="Compact"/>
              <w:jc w:val="center"/>
            </w:pPr>
            <w:r>
              <w:rPr>
                <w:b w:val="0"/>
              </w:rPr>
              <w:t xml:space="preserve">54.91</w:t>
            </w:r>
          </w:p>
        </w:tc>
        <w:tc>
          <w:tcPr>
            <w:tcW w:type="dxa" w:w="900"/>
          </w:tcPr>
          <w:p>
            <w:pPr>
              <w:pStyle w:val="Compact"/>
              <w:jc w:val="center"/>
            </w:pPr>
            <w:r>
              <w:rPr>
                <w:b w:val="0"/>
              </w:rPr>
              <w:t xml:space="preserve">48.76</w:t>
            </w:r>
          </w:p>
        </w:tc>
        <w:tc>
          <w:tcPr>
            <w:tcW w:type="dxa" w:w="900"/>
          </w:tcPr>
          <w:p>
            <w:pPr>
              <w:pStyle w:val="Compact"/>
              <w:jc w:val="left"/>
            </w:pPr>
            <w:r>
              <w:rPr>
                <w:b w:val="0"/>
              </w:rPr>
              <w:t xml:space="preserve">80.52</w:t>
            </w:r>
          </w:p>
        </w:tc>
        <w:tc>
          <w:tcPr>
            <w:tcW w:type="dxa" w:w="900"/>
          </w:tcPr>
          <w:p>
            <w:pPr>
              <w:pStyle w:val="Compact"/>
              <w:jc w:val="left"/>
            </w:pPr>
            <w:r>
              <w:rPr>
                <w:b w:val="0"/>
              </w:rPr>
              <w:t xml:space="preserve">64.53</w:t>
            </w:r>
          </w:p>
        </w:tc>
        <w:tc>
          <w:tcPr>
            <w:tcW w:type="dxa" w:w="900"/>
          </w:tcPr>
          <w:p>
            <w:pPr>
              <w:pStyle w:val="Compact"/>
              <w:jc w:val="left"/>
            </w:pPr>
            <w:r>
              <w:rPr>
                <w:b w:val="0"/>
              </w:rPr>
              <w:t xml:space="preserve">+15.77</w:t>
            </w:r>
          </w:p>
        </w:tc>
      </w:tr>
      <w:tr>
        <w:tc>
          <w:tcPr>
            <w:tcW w:type="dxa" w:w="944"/>
          </w:tcPr>
          <w:p>
            <w:pPr>
              <w:pStyle w:val="Compact"/>
              <w:jc w:val="left"/>
            </w:pPr>
            <w:r>
              <w:rPr>
                <w:b w:val="0"/>
              </w:rPr>
              <w:t>llama3.1:8b_kb_rag</w:t>
            </w:r>
          </w:p>
        </w:tc>
        <w:tc>
          <w:tcPr>
            <w:tcW w:type="dxa" w:w="2494"/>
          </w:tcPr>
          <w:p>
            <w:pPr>
              <w:pStyle w:val="Compact"/>
              <w:jc w:val="left"/>
            </w:pPr>
            <w:r>
              <w:rPr>
                <w:b w:val="0"/>
              </w:rPr>
              <w:t>benchmark_n120_REMOTO</w:t>
            </w:r>
          </w:p>
        </w:tc>
        <w:tc>
          <w:tcPr>
            <w:tcW w:type="dxa" w:w="900"/>
          </w:tcPr>
          <w:p>
            <w:pPr>
              <w:pStyle w:val="Compact"/>
              <w:jc w:val="left"/>
            </w:pPr>
            <w:r>
              <w:rPr>
                <w:b w:val="0"/>
              </w:rPr>
              <w:t xml:space="preserve">50.85</w:t>
            </w:r>
          </w:p>
        </w:tc>
        <w:tc>
          <w:tcPr>
            <w:tcW w:type="dxa" w:w="900"/>
          </w:tcPr>
          <w:p>
            <w:pPr>
              <w:pStyle w:val="Compact"/>
              <w:jc w:val="center"/>
            </w:pPr>
            <w:r>
              <w:rPr>
                <w:b w:val="0"/>
              </w:rPr>
              <w:t xml:space="preserve">55.23</w:t>
            </w:r>
          </w:p>
        </w:tc>
        <w:tc>
          <w:tcPr>
            <w:tcW w:type="dxa" w:w="900"/>
          </w:tcPr>
          <w:p>
            <w:pPr>
              <w:pStyle w:val="Compact"/>
              <w:jc w:val="center"/>
            </w:pPr>
            <w:r>
              <w:rPr>
                <w:b w:val="0"/>
              </w:rPr>
              <w:t xml:space="preserve">50.75</w:t>
            </w:r>
          </w:p>
        </w:tc>
        <w:tc>
          <w:tcPr>
            <w:tcW w:type="dxa" w:w="900"/>
          </w:tcPr>
          <w:p>
            <w:pPr>
              <w:pStyle w:val="Compact"/>
              <w:jc w:val="left"/>
            </w:pPr>
            <w:r>
              <w:rPr>
                <w:b w:val="0"/>
              </w:rPr>
              <w:t xml:space="preserve">76.28</w:t>
            </w:r>
          </w:p>
        </w:tc>
        <w:tc>
          <w:tcPr>
            <w:tcW w:type="dxa" w:w="900"/>
          </w:tcPr>
          <w:p>
            <w:pPr>
              <w:pStyle w:val="Compact"/>
              <w:jc w:val="left"/>
            </w:pPr>
            <w:r>
              <w:rPr>
                <w:b w:val="0"/>
              </w:rPr>
              <w:t xml:space="preserve">63.62</w:t>
            </w:r>
          </w:p>
        </w:tc>
        <w:tc>
          <w:tcPr>
            <w:tcW w:type="dxa" w:w="900"/>
          </w:tcPr>
          <w:p>
            <w:pPr>
              <w:pStyle w:val="Compact"/>
              <w:jc w:val="left"/>
            </w:pPr>
            <w:r>
              <w:rPr>
                <w:b w:val="0"/>
              </w:rPr>
              <w:t xml:space="preserve">+12.87</w:t>
            </w:r>
          </w:p>
        </w:tc>
      </w:tr>
      <w:tr>
        <w:tc>
          <w:tcPr>
            <w:tcW w:type="dxa" w:w="944"/>
          </w:tcPr>
          <w:p>
            <w:pPr>
              <w:pStyle w:val="Compact"/>
              <w:jc w:val="left"/>
            </w:pPr>
            <w:r>
              <w:rPr>
                <w:b w:val="0"/>
              </w:rPr>
              <w:t>qwen3:8b_kb_rag</w:t>
            </w:r>
          </w:p>
        </w:tc>
        <w:tc>
          <w:tcPr>
            <w:tcW w:type="dxa" w:w="2494"/>
          </w:tcPr>
          <w:p>
            <w:pPr>
              <w:pStyle w:val="Compact"/>
              <w:jc w:val="left"/>
            </w:pPr>
            <w:r>
              <w:rPr>
                <w:b w:val="0"/>
              </w:rPr>
              <w:t>qwen3_nothink_n120_REMOTO</w:t>
            </w:r>
          </w:p>
        </w:tc>
        <w:tc>
          <w:tcPr>
            <w:tcW w:type="dxa" w:w="900"/>
          </w:tcPr>
          <w:p>
            <w:pPr>
              <w:pStyle w:val="Compact"/>
              <w:jc w:val="left"/>
            </w:pPr>
            <w:r>
              <w:rPr>
                <w:b w:val="0"/>
              </w:rPr>
              <w:t xml:space="preserve">48.51</w:t>
            </w:r>
          </w:p>
        </w:tc>
        <w:tc>
          <w:tcPr>
            <w:tcW w:type="dxa" w:w="900"/>
          </w:tcPr>
          <w:p>
            <w:pPr>
              <w:pStyle w:val="Compact"/>
              <w:jc w:val="center"/>
            </w:pPr>
            <w:r>
              <w:rPr>
                <w:b w:val="0"/>
              </w:rPr>
              <w:t xml:space="preserve">59.68</w:t>
            </w:r>
          </w:p>
        </w:tc>
        <w:tc>
          <w:tcPr>
            <w:tcW w:type="dxa" w:w="900"/>
          </w:tcPr>
          <w:p>
            <w:pPr>
              <w:pStyle w:val="Compact"/>
              <w:jc w:val="center"/>
            </w:pPr>
            <w:r>
              <w:rPr>
                <w:b w:val="0"/>
              </w:rPr>
              <w:t xml:space="preserve">51.46</w:t>
            </w:r>
          </w:p>
        </w:tc>
        <w:tc>
          <w:tcPr>
            <w:tcW w:type="dxa" w:w="900"/>
          </w:tcPr>
          <w:p>
            <w:pPr>
              <w:pStyle w:val="Compact"/>
              <w:jc w:val="left"/>
            </w:pPr>
            <w:r>
              <w:rPr>
                <w:b w:val="0"/>
              </w:rPr>
              <w:t xml:space="preserve">72.59</w:t>
            </w:r>
          </w:p>
        </w:tc>
        <w:tc>
          <w:tcPr>
            <w:tcW w:type="dxa" w:w="900"/>
          </w:tcPr>
          <w:p>
            <w:pPr>
              <w:pStyle w:val="Compact"/>
              <w:jc w:val="left"/>
            </w:pPr>
            <w:r>
              <w:rPr>
                <w:b w:val="0"/>
              </w:rPr>
              <w:t xml:space="preserve">64.87</w:t>
            </w:r>
          </w:p>
        </w:tc>
        <w:tc>
          <w:tcPr>
            <w:tcW w:type="dxa" w:w="900"/>
          </w:tcPr>
          <w:p>
            <w:pPr>
              <w:pStyle w:val="Compact"/>
              <w:jc w:val="left"/>
            </w:pPr>
            <w:r>
              <w:rPr>
                <w:b w:val="0"/>
              </w:rPr>
              <w:t xml:space="preserve">+13.41</w:t>
            </w:r>
          </w:p>
        </w:tc>
      </w:tr>
      <w:tr>
        <w:tc>
          <w:tcPr>
            <w:tcW w:type="dxa" w:w="944"/>
          </w:tcPr>
          <w:p>
            <w:pPr>
              <w:pStyle w:val="Compact"/>
              <w:jc w:val="left"/>
            </w:pPr>
            <w:r>
              <w:rPr>
                <w:b w:val="0"/>
              </w:rPr>
              <w:t>qwen3:8b_baseline</w:t>
            </w:r>
          </w:p>
        </w:tc>
        <w:tc>
          <w:tcPr>
            <w:tcW w:type="dxa" w:w="2494"/>
          </w:tcPr>
          <w:p>
            <w:pPr>
              <w:pStyle w:val="Compact"/>
              <w:jc w:val="left"/>
            </w:pPr>
            <w:r>
              <w:rPr>
                <w:b w:val="0"/>
              </w:rPr>
              <w:t>qwen3_nothink_n120_REMOTO</w:t>
            </w:r>
          </w:p>
        </w:tc>
        <w:tc>
          <w:tcPr>
            <w:tcW w:type="dxa" w:w="900"/>
          </w:tcPr>
          <w:p>
            <w:pPr>
              <w:pStyle w:val="Compact"/>
              <w:jc w:val="left"/>
            </w:pPr>
            <w:r>
              <w:rPr>
                <w:b w:val="0"/>
              </w:rPr>
              <w:t xml:space="preserve">46.25</w:t>
            </w:r>
          </w:p>
        </w:tc>
        <w:tc>
          <w:tcPr>
            <w:tcW w:type="dxa" w:w="900"/>
          </w:tcPr>
          <w:p>
            <w:pPr>
              <w:pStyle w:val="Compact"/>
              <w:jc w:val="center"/>
            </w:pPr>
            <w:r>
              <w:rPr>
                <w:b w:val="0"/>
              </w:rPr>
              <w:t xml:space="preserve">55.02</w:t>
            </w:r>
          </w:p>
        </w:tc>
        <w:tc>
          <w:tcPr>
            <w:tcW w:type="dxa" w:w="900"/>
          </w:tcPr>
          <w:p>
            <w:pPr>
              <w:pStyle w:val="Compact"/>
              <w:jc w:val="center"/>
            </w:pPr>
            <w:r>
              <w:rPr>
                <w:b w:val="0"/>
              </w:rPr>
              <w:t xml:space="preserve">48.21</w:t>
            </w:r>
          </w:p>
        </w:tc>
        <w:tc>
          <w:tcPr>
            <w:tcW w:type="dxa" w:w="900"/>
          </w:tcPr>
          <w:p>
            <w:pPr>
              <w:pStyle w:val="Compact"/>
              <w:jc w:val="left"/>
            </w:pPr>
            <w:r>
              <w:rPr>
                <w:b w:val="0"/>
              </w:rPr>
              <w:t xml:space="preserve">75.27</w:t>
            </w:r>
          </w:p>
        </w:tc>
        <w:tc>
          <w:tcPr>
            <w:tcW w:type="dxa" w:w="900"/>
          </w:tcPr>
          <w:p>
            <w:pPr>
              <w:pStyle w:val="Compact"/>
              <w:jc w:val="left"/>
            </w:pPr>
            <w:r>
              <w:rPr>
                <w:b w:val="0"/>
              </w:rPr>
              <w:t xml:space="preserve">63.05</w:t>
            </w:r>
          </w:p>
        </w:tc>
        <w:tc>
          <w:tcPr>
            <w:tcW w:type="dxa" w:w="900"/>
          </w:tcPr>
          <w:p>
            <w:pPr>
              <w:pStyle w:val="Compact"/>
              <w:jc w:val="left"/>
            </w:pPr>
            <w:r>
              <w:rPr>
                <w:b w:val="0"/>
              </w:rPr>
              <w:t xml:space="preserve">+14.84</w:t>
            </w:r>
          </w:p>
        </w:tc>
      </w:tr>
      <w:tr>
        <w:tc>
          <w:tcPr>
            <w:tcW w:type="dxa" w:w="944"/>
          </w:tcPr>
          <w:p>
            <w:pPr>
              <w:pStyle w:val="Compact"/>
              <w:jc w:val="left"/>
            </w:pPr>
            <w:r>
              <w:rPr>
                <w:b w:val="0"/>
              </w:rPr>
              <w:t>qwen2.5:14b_rag_enhanced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50.99</w:t>
            </w:r>
          </w:p>
        </w:tc>
        <w:tc>
          <w:tcPr>
            <w:tcW w:type="dxa" w:w="900"/>
          </w:tcPr>
          <w:p>
            <w:pPr>
              <w:pStyle w:val="Compact"/>
              <w:jc w:val="center"/>
            </w:pPr>
            <w:r>
              <w:rPr>
                <w:b w:val="0"/>
              </w:rPr>
              <w:t xml:space="preserve">51.31</w:t>
            </w:r>
          </w:p>
        </w:tc>
        <w:tc>
          <w:tcPr>
            <w:tcW w:type="dxa" w:w="900"/>
          </w:tcPr>
          <w:p>
            <w:pPr>
              <w:pStyle w:val="Compact"/>
              <w:jc w:val="center"/>
            </w:pPr>
            <w:r>
              <w:rPr>
                <w:b w:val="0"/>
              </w:rPr>
              <w:t xml:space="preserve">49.05</w:t>
            </w:r>
          </w:p>
        </w:tc>
        <w:tc>
          <w:tcPr>
            <w:tcW w:type="dxa" w:w="900"/>
          </w:tcPr>
          <w:p>
            <w:pPr>
              <w:pStyle w:val="Compact"/>
              <w:jc w:val="left"/>
            </w:pPr>
            <w:r>
              <w:rPr>
                <w:b w:val="0"/>
              </w:rPr>
              <w:t xml:space="preserve">85.30</w:t>
            </w:r>
          </w:p>
        </w:tc>
        <w:tc>
          <w:tcPr>
            <w:tcW w:type="dxa" w:w="900"/>
          </w:tcPr>
          <w:p>
            <w:pPr>
              <w:pStyle w:val="Compact"/>
              <w:jc w:val="left"/>
            </w:pPr>
            <w:r>
              <w:rPr>
                <w:b w:val="0"/>
              </w:rPr>
              <w:t xml:space="preserve">63.64</w:t>
            </w:r>
          </w:p>
        </w:tc>
        <w:tc>
          <w:tcPr>
            <w:tcW w:type="dxa" w:w="900"/>
          </w:tcPr>
          <w:p>
            <w:pPr>
              <w:pStyle w:val="Compact"/>
              <w:jc w:val="left"/>
            </w:pPr>
            <w:r>
              <w:rPr>
                <w:b w:val="0"/>
              </w:rPr>
              <w:t xml:space="preserve">+14.59</w:t>
            </w:r>
          </w:p>
        </w:tc>
      </w:tr>
      <w:tr>
        <w:tc>
          <w:tcPr>
            <w:tcW w:type="dxa" w:w="944"/>
          </w:tcPr>
          <w:p>
            <w:pPr>
              <w:pStyle w:val="Compact"/>
              <w:jc w:val="left"/>
            </w:pPr>
            <w:r>
              <w:rPr>
                <w:b w:val="0"/>
              </w:rPr>
              <w:t>llama3.2:latest_kb_rag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48.92</w:t>
            </w:r>
          </w:p>
        </w:tc>
        <w:tc>
          <w:tcPr>
            <w:tcW w:type="dxa" w:w="900"/>
          </w:tcPr>
          <w:p>
            <w:pPr>
              <w:pStyle w:val="Compact"/>
              <w:jc w:val="center"/>
            </w:pPr>
            <w:r>
              <w:rPr>
                <w:b w:val="0"/>
              </w:rPr>
              <w:t xml:space="preserve">51.81</w:t>
            </w:r>
          </w:p>
        </w:tc>
        <w:tc>
          <w:tcPr>
            <w:tcW w:type="dxa" w:w="900"/>
          </w:tcPr>
          <w:p>
            <w:pPr>
              <w:pStyle w:val="Compact"/>
              <w:jc w:val="center"/>
            </w:pPr>
            <w:r>
              <w:rPr>
                <w:b w:val="0"/>
              </w:rPr>
              <w:t xml:space="preserve">46.93</w:t>
            </w:r>
          </w:p>
        </w:tc>
        <w:tc>
          <w:tcPr>
            <w:tcW w:type="dxa" w:w="900"/>
          </w:tcPr>
          <w:p>
            <w:pPr>
              <w:pStyle w:val="Compact"/>
              <w:jc w:val="left"/>
            </w:pPr>
            <w:r>
              <w:rPr>
                <w:b w:val="0"/>
              </w:rPr>
              <w:t xml:space="preserve">75.45</w:t>
            </w:r>
          </w:p>
        </w:tc>
        <w:tc>
          <w:tcPr>
            <w:tcW w:type="dxa" w:w="900"/>
          </w:tcPr>
          <w:p>
            <w:pPr>
              <w:pStyle w:val="Compact"/>
              <w:jc w:val="left"/>
            </w:pPr>
            <w:r>
              <w:rPr>
                <w:b w:val="0"/>
              </w:rPr>
              <w:t xml:space="preserve">59.86</w:t>
            </w:r>
          </w:p>
        </w:tc>
        <w:tc>
          <w:tcPr>
            <w:tcW w:type="dxa" w:w="900"/>
          </w:tcPr>
          <w:p>
            <w:pPr>
              <w:pStyle w:val="Compact"/>
              <w:jc w:val="left"/>
            </w:pPr>
            <w:r>
              <w:rPr>
                <w:b w:val="0"/>
              </w:rPr>
              <w:t xml:space="preserve">+12.92</w:t>
            </w:r>
          </w:p>
        </w:tc>
      </w:tr>
      <w:tr>
        <w:tc>
          <w:tcPr>
            <w:tcW w:type="dxa" w:w="944"/>
          </w:tcPr>
          <w:p>
            <w:pPr>
              <w:pStyle w:val="Compact"/>
              <w:jc w:val="left"/>
            </w:pPr>
            <w:r>
              <w:rPr>
                <w:b w:val="0"/>
              </w:rPr>
              <w:t>llama3.1:8b_rag_enhanced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47.02</w:t>
            </w:r>
          </w:p>
        </w:tc>
        <w:tc>
          <w:tcPr>
            <w:tcW w:type="dxa" w:w="900"/>
          </w:tcPr>
          <w:p>
            <w:pPr>
              <w:pStyle w:val="Compact"/>
              <w:jc w:val="center"/>
            </w:pPr>
            <w:r>
              <w:rPr>
                <w:b w:val="0"/>
              </w:rPr>
              <w:t xml:space="preserve">46.98</w:t>
            </w:r>
          </w:p>
        </w:tc>
        <w:tc>
          <w:tcPr>
            <w:tcW w:type="dxa" w:w="900"/>
          </w:tcPr>
          <w:p>
            <w:pPr>
              <w:pStyle w:val="Compact"/>
              <w:jc w:val="center"/>
            </w:pPr>
            <w:r>
              <w:rPr>
                <w:b w:val="0"/>
              </w:rPr>
              <w:t xml:space="preserve">44.56</w:t>
            </w:r>
          </w:p>
        </w:tc>
        <w:tc>
          <w:tcPr>
            <w:tcW w:type="dxa" w:w="900"/>
          </w:tcPr>
          <w:p>
            <w:pPr>
              <w:pStyle w:val="Compact"/>
              <w:jc w:val="left"/>
            </w:pPr>
            <w:r>
              <w:rPr>
                <w:b w:val="0"/>
              </w:rPr>
              <w:t xml:space="preserve">87.02</w:t>
            </w:r>
          </w:p>
        </w:tc>
        <w:tc>
          <w:tcPr>
            <w:tcW w:type="dxa" w:w="900"/>
          </w:tcPr>
          <w:p>
            <w:pPr>
              <w:pStyle w:val="Compact"/>
              <w:jc w:val="left"/>
            </w:pPr>
            <w:r>
              <w:rPr>
                <w:b w:val="0"/>
              </w:rPr>
              <w:t xml:space="preserve">59.25</w:t>
            </w:r>
          </w:p>
        </w:tc>
        <w:tc>
          <w:tcPr>
            <w:tcW w:type="dxa" w:w="900"/>
          </w:tcPr>
          <w:p>
            <w:pPr>
              <w:pStyle w:val="Compact"/>
              <w:jc w:val="left"/>
            </w:pPr>
            <w:r>
              <w:rPr>
                <w:b w:val="0"/>
              </w:rPr>
              <w:t xml:space="preserve">+14.69</w:t>
            </w:r>
          </w:p>
        </w:tc>
      </w:tr>
      <w:tr>
        <w:tc>
          <w:tcPr>
            <w:tcW w:type="dxa" w:w="944"/>
          </w:tcPr>
          <w:p>
            <w:pPr>
              <w:pStyle w:val="Compact"/>
              <w:jc w:val="left"/>
            </w:pPr>
            <w:r>
              <w:rPr>
                <w:b w:val="0"/>
              </w:rPr>
              <w:t>gemma:latest_kb_rag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52.31</w:t>
            </w:r>
          </w:p>
        </w:tc>
        <w:tc>
          <w:tcPr>
            <w:tcW w:type="dxa" w:w="900"/>
          </w:tcPr>
          <w:p>
            <w:pPr>
              <w:pStyle w:val="Compact"/>
              <w:jc w:val="center"/>
            </w:pPr>
            <w:r>
              <w:rPr>
                <w:b w:val="0"/>
              </w:rPr>
              <w:t xml:space="preserve">56.62</w:t>
            </w:r>
          </w:p>
        </w:tc>
        <w:tc>
          <w:tcPr>
            <w:tcW w:type="dxa" w:w="900"/>
          </w:tcPr>
          <w:p>
            <w:pPr>
              <w:pStyle w:val="Compact"/>
              <w:jc w:val="center"/>
            </w:pPr>
            <w:r>
              <w:rPr>
                <w:b w:val="0"/>
              </w:rPr>
              <w:t xml:space="preserve">51.36</w:t>
            </w:r>
          </w:p>
        </w:tc>
        <w:tc>
          <w:tcPr>
            <w:tcW w:type="dxa" w:w="900"/>
          </w:tcPr>
          <w:p>
            <w:pPr>
              <w:pStyle w:val="Compact"/>
              <w:jc w:val="left"/>
            </w:pPr>
            <w:r>
              <w:rPr>
                <w:b w:val="0"/>
              </w:rPr>
              <w:t xml:space="preserve">61.48</w:t>
            </w:r>
          </w:p>
        </w:tc>
        <w:tc>
          <w:tcPr>
            <w:tcW w:type="dxa" w:w="900"/>
          </w:tcPr>
          <w:p>
            <w:pPr>
              <w:pStyle w:val="Compact"/>
              <w:jc w:val="left"/>
            </w:pPr>
            <w:r>
              <w:rPr>
                <w:b w:val="0"/>
              </w:rPr>
              <w:t xml:space="preserve">56.37</w:t>
            </w:r>
          </w:p>
        </w:tc>
        <w:tc>
          <w:tcPr>
            <w:tcW w:type="dxa" w:w="900"/>
          </w:tcPr>
          <w:p>
            <w:pPr>
              <w:pStyle w:val="Compact"/>
              <w:jc w:val="left"/>
            </w:pPr>
            <w:r>
              <w:rPr>
                <w:b w:val="0"/>
              </w:rPr>
              <w:t xml:space="preserve">+5.01</w:t>
            </w:r>
          </w:p>
        </w:tc>
      </w:tr>
      <w:tr>
        <w:tc>
          <w:tcPr>
            <w:tcW w:type="dxa" w:w="944"/>
          </w:tcPr>
          <w:p>
            <w:pPr>
              <w:pStyle w:val="Compact"/>
              <w:jc w:val="left"/>
            </w:pPr>
            <w:r>
              <w:rPr>
                <w:b w:val="0"/>
              </w:rPr>
              <w:t>mistral-nemo:latest_baseline</w:t>
            </w:r>
          </w:p>
        </w:tc>
        <w:tc>
          <w:tcPr>
            <w:tcW w:type="dxa" w:w="2494"/>
          </w:tcPr>
          <w:p>
            <w:pPr>
              <w:pStyle w:val="Compact"/>
              <w:jc w:val="left"/>
            </w:pPr>
            <w:r>
              <w:rPr>
                <w:b w:val="0"/>
              </w:rPr>
              <w:t>benchmark_n120_REMOTO</w:t>
            </w:r>
          </w:p>
        </w:tc>
        <w:tc>
          <w:tcPr>
            <w:tcW w:type="dxa" w:w="900"/>
          </w:tcPr>
          <w:p>
            <w:pPr>
              <w:pStyle w:val="Compact"/>
              <w:jc w:val="left"/>
            </w:pPr>
            <w:r>
              <w:rPr>
                <w:b w:val="0"/>
              </w:rPr>
              <w:t xml:space="preserve">52.39</w:t>
            </w:r>
          </w:p>
        </w:tc>
        <w:tc>
          <w:tcPr>
            <w:tcW w:type="dxa" w:w="900"/>
          </w:tcPr>
          <w:p>
            <w:pPr>
              <w:pStyle w:val="Compact"/>
              <w:jc w:val="center"/>
            </w:pPr>
            <w:r>
              <w:rPr>
                <w:b w:val="0"/>
              </w:rPr>
              <w:t xml:space="preserve">41.09</w:t>
            </w:r>
          </w:p>
        </w:tc>
        <w:tc>
          <w:tcPr>
            <w:tcW w:type="dxa" w:w="900"/>
          </w:tcPr>
          <w:p>
            <w:pPr>
              <w:pStyle w:val="Compact"/>
              <w:jc w:val="center"/>
            </w:pPr>
            <w:r>
              <w:rPr>
                <w:b w:val="0"/>
              </w:rPr>
              <w:t xml:space="preserve">43.38</w:t>
            </w:r>
          </w:p>
        </w:tc>
        <w:tc>
          <w:tcPr>
            <w:tcW w:type="dxa" w:w="900"/>
          </w:tcPr>
          <w:p>
            <w:pPr>
              <w:pStyle w:val="Compact"/>
              <w:jc w:val="left"/>
            </w:pPr>
            <w:r>
              <w:rPr>
                <w:b w:val="0"/>
              </w:rPr>
              <w:t xml:space="preserve">82.24</w:t>
            </w:r>
          </w:p>
        </w:tc>
        <w:tc>
          <w:tcPr>
            <w:tcW w:type="dxa" w:w="900"/>
          </w:tcPr>
          <w:p>
            <w:pPr>
              <w:pStyle w:val="Compact"/>
              <w:jc w:val="left"/>
            </w:pPr>
            <w:r>
              <w:rPr>
                <w:b w:val="0"/>
              </w:rPr>
              <w:t xml:space="preserve">54.09</w:t>
            </w:r>
          </w:p>
        </w:tc>
        <w:tc>
          <w:tcPr>
            <w:tcW w:type="dxa" w:w="900"/>
          </w:tcPr>
          <w:p>
            <w:pPr>
              <w:pStyle w:val="Compact"/>
              <w:jc w:val="left"/>
            </w:pPr>
            <w:r>
              <w:rPr>
                <w:b w:val="0"/>
              </w:rPr>
              <w:t xml:space="preserve">+10.70</w:t>
            </w:r>
          </w:p>
        </w:tc>
      </w:tr>
      <w:tr>
        <w:tc>
          <w:tcPr>
            <w:tcW w:type="dxa" w:w="944"/>
          </w:tcPr>
          <w:p>
            <w:pPr>
              <w:pStyle w:val="Compact"/>
              <w:jc w:val="left"/>
            </w:pPr>
            <w:r>
              <w:rPr>
                <w:b w:val="0"/>
              </w:rPr>
              <w:t>qwen3:8b_rag_enhanced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43.47</w:t>
            </w:r>
          </w:p>
        </w:tc>
        <w:tc>
          <w:tcPr>
            <w:tcW w:type="dxa" w:w="900"/>
          </w:tcPr>
          <w:p>
            <w:pPr>
              <w:pStyle w:val="Compact"/>
              <w:jc w:val="center"/>
            </w:pPr>
            <w:r>
              <w:rPr>
                <w:b w:val="0"/>
              </w:rPr>
              <w:t xml:space="preserve">45.28</w:t>
            </w:r>
          </w:p>
        </w:tc>
        <w:tc>
          <w:tcPr>
            <w:tcW w:type="dxa" w:w="900"/>
          </w:tcPr>
          <w:p>
            <w:pPr>
              <w:pStyle w:val="Compact"/>
              <w:jc w:val="center"/>
            </w:pPr>
            <w:r>
              <w:rPr>
                <w:b w:val="0"/>
              </w:rPr>
              <w:t xml:space="preserve">43.17</w:t>
            </w:r>
          </w:p>
        </w:tc>
        <w:tc>
          <w:tcPr>
            <w:tcW w:type="dxa" w:w="900"/>
          </w:tcPr>
          <w:p>
            <w:pPr>
              <w:pStyle w:val="Compact"/>
              <w:jc w:val="left"/>
            </w:pPr>
            <w:r>
              <w:rPr>
                <w:b w:val="0"/>
              </w:rPr>
              <w:t xml:space="preserve">71.66</w:t>
            </w:r>
          </w:p>
        </w:tc>
        <w:tc>
          <w:tcPr>
            <w:tcW w:type="dxa" w:w="900"/>
          </w:tcPr>
          <w:p>
            <w:pPr>
              <w:pStyle w:val="Compact"/>
              <w:jc w:val="left"/>
            </w:pPr>
            <w:r>
              <w:rPr>
                <w:b w:val="0"/>
              </w:rPr>
              <w:t xml:space="preserve">56.00</w:t>
            </w:r>
          </w:p>
        </w:tc>
        <w:tc>
          <w:tcPr>
            <w:tcW w:type="dxa" w:w="900"/>
          </w:tcPr>
          <w:p>
            <w:pPr>
              <w:pStyle w:val="Compact"/>
              <w:jc w:val="left"/>
            </w:pPr>
            <w:r>
              <w:rPr>
                <w:b w:val="0"/>
              </w:rPr>
              <w:t xml:space="preserve">+12.83</w:t>
            </w:r>
          </w:p>
        </w:tc>
      </w:tr>
      <w:tr>
        <w:tc>
          <w:tcPr>
            <w:tcW w:type="dxa" w:w="944"/>
          </w:tcPr>
          <w:p>
            <w:pPr>
              <w:pStyle w:val="Compact"/>
              <w:jc w:val="left"/>
            </w:pPr>
            <w:r>
              <w:rPr>
                <w:b w:val="0"/>
              </w:rPr>
              <w:t>mistral-nemo:latest_kb_rag</w:t>
            </w:r>
          </w:p>
        </w:tc>
        <w:tc>
          <w:tcPr>
            <w:tcW w:type="dxa" w:w="2494"/>
          </w:tcPr>
          <w:p>
            <w:pPr>
              <w:pStyle w:val="Compact"/>
              <w:jc w:val="left"/>
            </w:pPr>
            <w:r>
              <w:rPr>
                <w:b w:val="0"/>
              </w:rPr>
              <w:t>benchmark_n120_REMOTO</w:t>
            </w:r>
          </w:p>
        </w:tc>
        <w:tc>
          <w:tcPr>
            <w:tcW w:type="dxa" w:w="900"/>
          </w:tcPr>
          <w:p>
            <w:pPr>
              <w:pStyle w:val="Compact"/>
              <w:jc w:val="left"/>
            </w:pPr>
            <w:r>
              <w:rPr>
                <w:b w:val="0"/>
              </w:rPr>
              <w:t xml:space="preserve">57.59</w:t>
            </w:r>
          </w:p>
        </w:tc>
        <w:tc>
          <w:tcPr>
            <w:tcW w:type="dxa" w:w="900"/>
          </w:tcPr>
          <w:p>
            <w:pPr>
              <w:pStyle w:val="Compact"/>
              <w:jc w:val="center"/>
            </w:pPr>
            <w:r>
              <w:rPr>
                <w:b w:val="0"/>
              </w:rPr>
              <w:t xml:space="preserve">41.91</w:t>
            </w:r>
          </w:p>
        </w:tc>
        <w:tc>
          <w:tcPr>
            <w:tcW w:type="dxa" w:w="900"/>
          </w:tcPr>
          <w:p>
            <w:pPr>
              <w:pStyle w:val="Compact"/>
              <w:jc w:val="center"/>
            </w:pPr>
            <w:r>
              <w:rPr>
                <w:b w:val="0"/>
              </w:rPr>
              <w:t xml:space="preserve">45.76</w:t>
            </w:r>
          </w:p>
        </w:tc>
        <w:tc>
          <w:tcPr>
            <w:tcW w:type="dxa" w:w="900"/>
          </w:tcPr>
          <w:p>
            <w:pPr>
              <w:pStyle w:val="Compact"/>
              <w:jc w:val="left"/>
            </w:pPr>
            <w:r>
              <w:rPr>
                <w:b w:val="0"/>
              </w:rPr>
              <w:t xml:space="preserve">80.15</w:t>
            </w:r>
          </w:p>
        </w:tc>
        <w:tc>
          <w:tcPr>
            <w:tcW w:type="dxa" w:w="900"/>
          </w:tcPr>
          <w:p>
            <w:pPr>
              <w:pStyle w:val="Compact"/>
              <w:jc w:val="left"/>
            </w:pPr>
            <w:r>
              <w:rPr>
                <w:b w:val="0"/>
              </w:rPr>
              <w:t xml:space="preserve">53.07</w:t>
            </w:r>
          </w:p>
        </w:tc>
        <w:tc>
          <w:tcPr>
            <w:tcW w:type="dxa" w:w="900"/>
          </w:tcPr>
          <w:p>
            <w:pPr>
              <w:pStyle w:val="Compact"/>
              <w:jc w:val="left"/>
            </w:pPr>
            <w:r>
              <w:rPr>
                <w:b w:val="0"/>
              </w:rPr>
              <w:t xml:space="preserve">+7.31</w:t>
            </w:r>
          </w:p>
        </w:tc>
      </w:tr>
      <w:tr>
        <w:tc>
          <w:tcPr>
            <w:tcW w:type="dxa" w:w="944"/>
          </w:tcPr>
          <w:p>
            <w:pPr>
              <w:pStyle w:val="Compact"/>
              <w:jc w:val="left"/>
            </w:pPr>
            <w:r>
              <w:rPr>
                <w:b w:val="0"/>
              </w:rPr>
              <w:t>gemma:latest_baseline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49.00</w:t>
            </w:r>
          </w:p>
        </w:tc>
        <w:tc>
          <w:tcPr>
            <w:tcW w:type="dxa" w:w="900"/>
          </w:tcPr>
          <w:p>
            <w:pPr>
              <w:pStyle w:val="Compact"/>
              <w:jc w:val="center"/>
            </w:pPr>
            <w:r>
              <w:rPr>
                <w:b w:val="0"/>
              </w:rPr>
              <w:t xml:space="preserve">44.97</w:t>
            </w:r>
          </w:p>
        </w:tc>
        <w:tc>
          <w:tcPr>
            <w:tcW w:type="dxa" w:w="900"/>
          </w:tcPr>
          <w:p>
            <w:pPr>
              <w:pStyle w:val="Compact"/>
              <w:jc w:val="center"/>
            </w:pPr>
            <w:r>
              <w:rPr>
                <w:b w:val="0"/>
              </w:rPr>
              <w:t xml:space="preserve">44.00</w:t>
            </w:r>
          </w:p>
        </w:tc>
        <w:tc>
          <w:tcPr>
            <w:tcW w:type="dxa" w:w="900"/>
          </w:tcPr>
          <w:p>
            <w:pPr>
              <w:pStyle w:val="Compact"/>
              <w:jc w:val="left"/>
            </w:pPr>
            <w:r>
              <w:rPr>
                <w:b w:val="0"/>
              </w:rPr>
              <w:t xml:space="preserve">65.23</w:t>
            </w:r>
          </w:p>
        </w:tc>
        <w:tc>
          <w:tcPr>
            <w:tcW w:type="dxa" w:w="900"/>
          </w:tcPr>
          <w:p>
            <w:pPr>
              <w:pStyle w:val="Compact"/>
              <w:jc w:val="left"/>
            </w:pPr>
            <w:r>
              <w:rPr>
                <w:b w:val="0"/>
              </w:rPr>
              <w:t xml:space="preserve">51.85</w:t>
            </w:r>
          </w:p>
        </w:tc>
        <w:tc>
          <w:tcPr>
            <w:tcW w:type="dxa" w:w="900"/>
          </w:tcPr>
          <w:p>
            <w:pPr>
              <w:pStyle w:val="Compact"/>
              <w:jc w:val="left"/>
            </w:pPr>
            <w:r>
              <w:rPr>
                <w:b w:val="0"/>
              </w:rPr>
              <w:t xml:space="preserve">+7.85</w:t>
            </w:r>
          </w:p>
        </w:tc>
      </w:tr>
      <w:tr>
        <w:tc>
          <w:tcPr>
            <w:tcW w:type="dxa" w:w="944"/>
          </w:tcPr>
          <w:p>
            <w:pPr>
              <w:pStyle w:val="Compact"/>
              <w:jc w:val="left"/>
            </w:pPr>
            <w:r>
              <w:rPr>
                <w:b w:val="0"/>
              </w:rPr>
              <w:t>llama3.2:latest_baseline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 xml:space="preserve">40.18</w:t>
            </w:r>
          </w:p>
        </w:tc>
        <w:tc>
          <w:tcPr>
            <w:tcW w:type="dxa" w:w="900"/>
          </w:tcPr>
          <w:p>
            <w:pPr>
              <w:pStyle w:val="Compact"/>
              <w:jc w:val="center"/>
            </w:pPr>
            <w:r>
              <w:rPr>
                <w:b w:val="0"/>
              </w:rPr>
              <w:t xml:space="preserve">37.48</w:t>
            </w:r>
          </w:p>
        </w:tc>
        <w:tc>
          <w:tcPr>
            <w:tcW w:type="dxa" w:w="900"/>
          </w:tcPr>
          <w:p>
            <w:pPr>
              <w:pStyle w:val="Compact"/>
              <w:jc w:val="center"/>
            </w:pPr>
            <w:r>
              <w:rPr>
                <w:b w:val="0"/>
              </w:rPr>
              <w:t xml:space="preserve">36.11</w:t>
            </w:r>
          </w:p>
        </w:tc>
        <w:tc>
          <w:tcPr>
            <w:tcW w:type="dxa" w:w="900"/>
          </w:tcPr>
          <w:p>
            <w:pPr>
              <w:pStyle w:val="Compact"/>
              <w:jc w:val="left"/>
            </w:pPr>
            <w:r>
              <w:rPr>
                <w:b w:val="0"/>
              </w:rPr>
              <w:t xml:space="preserve">79.63</w:t>
            </w:r>
          </w:p>
        </w:tc>
        <w:tc>
          <w:tcPr>
            <w:tcW w:type="dxa" w:w="900"/>
          </w:tcPr>
          <w:p>
            <w:pPr>
              <w:pStyle w:val="Compact"/>
              <w:jc w:val="left"/>
            </w:pPr>
            <w:r>
              <w:rPr>
                <w:b w:val="0"/>
              </w:rPr>
              <w:t xml:space="preserve">49.65</w:t>
            </w:r>
          </w:p>
        </w:tc>
        <w:tc>
          <w:tcPr>
            <w:tcW w:type="dxa" w:w="900"/>
          </w:tcPr>
          <w:p>
            <w:pPr>
              <w:pStyle w:val="Compact"/>
              <w:jc w:val="left"/>
            </w:pPr>
            <w:r>
              <w:rPr>
                <w:b w:val="0"/>
              </w:rPr>
              <w:t xml:space="preserve">+13.54</w:t>
            </w:r>
          </w:p>
        </w:tc>
      </w:tr>
      <w:tr>
        <w:tc>
          <w:tcPr>
            <w:tcW w:type="dxa" w:w="944"/>
          </w:tcPr>
          <w:p>
            <w:pPr>
              <w:pStyle w:val="Compact"/>
              <w:jc w:val="left"/>
            </w:pPr>
            <w:r>
              <w:rPr>
                <w:b w:val="0"/>
              </w:rPr>
              <w:t>llama3.2:latest</w:t>
            </w:r>
          </w:p>
        </w:tc>
        <w:tc>
          <w:tcPr>
            <w:tcW w:type="dxa" w:w="2494"/>
          </w:tcPr>
          <w:p>
            <w:pPr>
              <w:pStyle w:val="Compact"/>
              <w:jc w:val="left"/>
            </w:pPr>
            <w:r>
              <w:rPr>
                <w:b w:val="0"/>
              </w:rPr>
              <w:t>benchmark_balanced_120_20260824_173017</w:t>
            </w:r>
          </w:p>
        </w:tc>
        <w:tc>
          <w:tcPr>
            <w:tcW w:type="dxa" w:w="900"/>
          </w:tcPr>
          <w:p>
            <w:pPr>
              <w:pStyle w:val="Compact"/>
              <w:jc w:val="left"/>
            </w:pPr>
            <w:r>
              <w:rPr>
                <w:b w:val="0"/>
              </w:rPr>
              <w:t xml:space="preserve">40.18</w:t>
            </w:r>
          </w:p>
        </w:tc>
        <w:tc>
          <w:tcPr>
            <w:tcW w:type="dxa" w:w="900"/>
          </w:tcPr>
          <w:p>
            <w:pPr>
              <w:pStyle w:val="Compact"/>
              <w:jc w:val="center"/>
            </w:pPr>
            <w:r>
              <w:rPr>
                <w:b w:val="0"/>
              </w:rPr>
              <w:t xml:space="preserve">37.48</w:t>
            </w:r>
          </w:p>
        </w:tc>
        <w:tc>
          <w:tcPr>
            <w:tcW w:type="dxa" w:w="900"/>
          </w:tcPr>
          <w:p>
            <w:pPr>
              <w:pStyle w:val="Compact"/>
              <w:jc w:val="center"/>
            </w:pPr>
            <w:r>
              <w:rPr>
                <w:b w:val="0"/>
              </w:rPr>
              <w:t xml:space="preserve">36.11</w:t>
            </w:r>
          </w:p>
        </w:tc>
        <w:tc>
          <w:tcPr>
            <w:tcW w:type="dxa" w:w="900"/>
          </w:tcPr>
          <w:p>
            <w:pPr>
              <w:pStyle w:val="Compact"/>
              <w:jc w:val="left"/>
            </w:pPr>
            <w:r>
              <w:rPr>
                <w:b w:val="0"/>
              </w:rPr>
              <w:t xml:space="preserve">79.63</w:t>
            </w:r>
          </w:p>
        </w:tc>
        <w:tc>
          <w:tcPr>
            <w:tcW w:type="dxa" w:w="900"/>
          </w:tcPr>
          <w:p>
            <w:pPr>
              <w:pStyle w:val="Compact"/>
              <w:jc w:val="left"/>
            </w:pPr>
            <w:r>
              <w:rPr>
                <w:b w:val="0"/>
              </w:rPr>
              <w:t xml:space="preserve">49.65</w:t>
            </w:r>
          </w:p>
        </w:tc>
        <w:tc>
          <w:tcPr>
            <w:tcW w:type="dxa" w:w="900"/>
          </w:tcPr>
          <w:p>
            <w:pPr>
              <w:pStyle w:val="Compact"/>
              <w:jc w:val="left"/>
            </w:pPr>
            <w:r>
              <w:rPr>
                <w:b w:val="0"/>
              </w:rPr>
              <w:t xml:space="preserve">+13.54</w:t>
            </w:r>
          </w:p>
        </w:tc>
      </w:tr>
      <w:tr>
        <w:tc>
          <w:tcPr>
            <w:tcW w:type="dxa" w:w="944"/>
          </w:tcPr>
          <w:p>
            <w:pPr>
              <w:pStyle w:val="Compact"/>
              <w:jc w:val="left"/>
            </w:pPr>
            <w:r>
              <w:rPr>
                <w:b w:val="0"/>
              </w:rPr>
              <w:t>gemma:latest_rag_enhanced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46.09</w:t>
            </w:r>
          </w:p>
        </w:tc>
        <w:tc>
          <w:tcPr>
            <w:tcW w:type="dxa" w:w="900"/>
          </w:tcPr>
          <w:p>
            <w:pPr>
              <w:pStyle w:val="Compact"/>
              <w:jc w:val="center"/>
            </w:pPr>
            <w:r>
              <w:rPr>
                <w:b w:val="0"/>
              </w:rPr>
              <w:t xml:space="preserve">39.74</w:t>
            </w:r>
          </w:p>
        </w:tc>
        <w:tc>
          <w:tcPr>
            <w:tcW w:type="dxa" w:w="900"/>
          </w:tcPr>
          <w:p>
            <w:pPr>
              <w:pStyle w:val="Compact"/>
              <w:jc w:val="center"/>
            </w:pPr>
            <w:r>
              <w:rPr>
                <w:b w:val="0"/>
              </w:rPr>
              <w:t xml:space="preserve">40.09</w:t>
            </w:r>
          </w:p>
        </w:tc>
        <w:tc>
          <w:tcPr>
            <w:tcW w:type="dxa" w:w="900"/>
          </w:tcPr>
          <w:p>
            <w:pPr>
              <w:pStyle w:val="Compact"/>
              <w:jc w:val="left"/>
            </w:pPr>
            <w:r>
              <w:rPr>
                <w:b w:val="0"/>
              </w:rPr>
              <w:t xml:space="preserve">63.27</w:t>
            </w:r>
          </w:p>
        </w:tc>
        <w:tc>
          <w:tcPr>
            <w:tcW w:type="dxa" w:w="900"/>
          </w:tcPr>
          <w:p>
            <w:pPr>
              <w:pStyle w:val="Compact"/>
              <w:jc w:val="left"/>
            </w:pPr>
            <w:r>
              <w:rPr>
                <w:b w:val="0"/>
              </w:rPr>
              <w:t xml:space="preserve">47.57</w:t>
            </w:r>
          </w:p>
        </w:tc>
        <w:tc>
          <w:tcPr>
            <w:tcW w:type="dxa" w:w="900"/>
          </w:tcPr>
          <w:p>
            <w:pPr>
              <w:pStyle w:val="Compact"/>
              <w:jc w:val="left"/>
            </w:pPr>
            <w:r>
              <w:rPr>
                <w:b w:val="0"/>
              </w:rPr>
              <w:t xml:space="preserve">+7.48</w:t>
            </w:r>
          </w:p>
        </w:tc>
      </w:tr>
      <w:tr>
        <w:tc>
          <w:tcPr>
            <w:tcW w:type="dxa" w:w="944"/>
          </w:tcPr>
          <w:p>
            <w:pPr>
              <w:pStyle w:val="Compact"/>
              <w:jc w:val="left"/>
            </w:pPr>
            <w:r>
              <w:rPr>
                <w:b w:val="0"/>
              </w:rPr>
              <w:t>nemotron-mini:4b_kb_rag</w:t>
            </w:r>
          </w:p>
        </w:tc>
        <w:tc>
          <w:tcPr>
            <w:tcW w:type="dxa" w:w="2494"/>
          </w:tcPr>
          <w:p>
            <w:pPr>
              <w:pStyle w:val="Compact"/>
              <w:jc w:val="left"/>
            </w:pPr>
            <w:r>
              <w:rPr>
                <w:b w:val="0"/>
              </w:rPr>
              <w:t>nemotron_rerun_n120_REMOTO</w:t>
            </w:r>
          </w:p>
        </w:tc>
        <w:tc>
          <w:tcPr>
            <w:tcW w:type="dxa" w:w="900"/>
          </w:tcPr>
          <w:p>
            <w:pPr>
              <w:pStyle w:val="Compact"/>
              <w:jc w:val="left"/>
            </w:pPr>
            <w:r>
              <w:rPr>
                <w:b w:val="0"/>
              </w:rPr>
              <w:t xml:space="preserve">44.80</w:t>
            </w:r>
          </w:p>
        </w:tc>
        <w:tc>
          <w:tcPr>
            <w:tcW w:type="dxa" w:w="900"/>
          </w:tcPr>
          <w:p>
            <w:pPr>
              <w:pStyle w:val="Compact"/>
              <w:jc w:val="center"/>
            </w:pPr>
            <w:r>
              <w:rPr>
                <w:b w:val="0"/>
              </w:rPr>
              <w:t xml:space="preserve">36.62</w:t>
            </w:r>
          </w:p>
        </w:tc>
        <w:tc>
          <w:tcPr>
            <w:tcW w:type="dxa" w:w="900"/>
          </w:tcPr>
          <w:p>
            <w:pPr>
              <w:pStyle w:val="Compact"/>
              <w:jc w:val="center"/>
            </w:pPr>
            <w:r>
              <w:rPr>
                <w:b w:val="0"/>
              </w:rPr>
              <w:t xml:space="preserve">37.12</w:t>
            </w:r>
          </w:p>
        </w:tc>
        <w:tc>
          <w:tcPr>
            <w:tcW w:type="dxa" w:w="900"/>
          </w:tcPr>
          <w:p>
            <w:pPr>
              <w:pStyle w:val="Compact"/>
              <w:jc w:val="left"/>
            </w:pPr>
            <w:r>
              <w:rPr>
                <w:b w:val="0"/>
              </w:rPr>
              <w:t xml:space="preserve">55.19</w:t>
            </w:r>
          </w:p>
        </w:tc>
        <w:tc>
          <w:tcPr>
            <w:tcW w:type="dxa" w:w="900"/>
          </w:tcPr>
          <w:p>
            <w:pPr>
              <w:pStyle w:val="Compact"/>
              <w:jc w:val="left"/>
            </w:pPr>
            <w:r>
              <w:rPr>
                <w:b w:val="0"/>
              </w:rPr>
              <w:t xml:space="preserve">40.77</w:t>
            </w:r>
          </w:p>
        </w:tc>
        <w:tc>
          <w:tcPr>
            <w:tcW w:type="dxa" w:w="900"/>
          </w:tcPr>
          <w:p>
            <w:pPr>
              <w:pStyle w:val="Compact"/>
              <w:jc w:val="left"/>
            </w:pPr>
            <w:r>
              <w:rPr>
                <w:b w:val="0"/>
              </w:rPr>
              <w:t xml:space="preserve">+3.65</w:t>
            </w:r>
          </w:p>
        </w:tc>
      </w:tr>
      <w:tr>
        <w:tc>
          <w:tcPr>
            <w:tcW w:type="dxa" w:w="944"/>
          </w:tcPr>
          <w:p>
            <w:pPr>
              <w:pStyle w:val="Compact"/>
              <w:jc w:val="left"/>
            </w:pPr>
            <w:r>
              <w:rPr>
                <w:b w:val="0"/>
              </w:rPr>
              <w:t>llama3.2:latest_rag_enhanced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38.78</w:t>
            </w:r>
          </w:p>
        </w:tc>
        <w:tc>
          <w:tcPr>
            <w:tcW w:type="dxa" w:w="900"/>
          </w:tcPr>
          <w:p>
            <w:pPr>
              <w:pStyle w:val="Compact"/>
              <w:jc w:val="center"/>
            </w:pPr>
            <w:r>
              <w:rPr>
                <w:b w:val="0"/>
              </w:rPr>
              <w:t xml:space="preserve">30.41</w:t>
            </w:r>
          </w:p>
        </w:tc>
        <w:tc>
          <w:tcPr>
            <w:tcW w:type="dxa" w:w="900"/>
          </w:tcPr>
          <w:p>
            <w:pPr>
              <w:pStyle w:val="Compact"/>
              <w:jc w:val="center"/>
            </w:pPr>
            <w:r>
              <w:rPr>
                <w:b w:val="0"/>
              </w:rPr>
              <w:t xml:space="preserve">31.13</w:t>
            </w:r>
          </w:p>
        </w:tc>
        <w:tc>
          <w:tcPr>
            <w:tcW w:type="dxa" w:w="900"/>
          </w:tcPr>
          <w:p>
            <w:pPr>
              <w:pStyle w:val="Compact"/>
              <w:jc w:val="left"/>
            </w:pPr>
            <w:r>
              <w:rPr>
                <w:b w:val="0"/>
              </w:rPr>
              <w:t xml:space="preserve">70.58</w:t>
            </w:r>
          </w:p>
        </w:tc>
        <w:tc>
          <w:tcPr>
            <w:tcW w:type="dxa" w:w="900"/>
          </w:tcPr>
          <w:p>
            <w:pPr>
              <w:pStyle w:val="Compact"/>
              <w:jc w:val="left"/>
            </w:pPr>
            <w:r>
              <w:rPr>
                <w:b w:val="0"/>
              </w:rPr>
              <w:t xml:space="preserve">38.90</w:t>
            </w:r>
          </w:p>
        </w:tc>
        <w:tc>
          <w:tcPr>
            <w:tcW w:type="dxa" w:w="900"/>
          </w:tcPr>
          <w:p>
            <w:pPr>
              <w:pStyle w:val="Compact"/>
              <w:jc w:val="left"/>
            </w:pPr>
            <w:r>
              <w:rPr>
                <w:b w:val="0"/>
              </w:rPr>
              <w:t xml:space="preserve">+7.77</w:t>
            </w:r>
          </w:p>
        </w:tc>
      </w:tr>
      <w:tr>
        <w:tc>
          <w:tcPr>
            <w:tcW w:type="dxa" w:w="944"/>
          </w:tcPr>
          <w:p>
            <w:pPr>
              <w:pStyle w:val="Compact"/>
              <w:jc w:val="left"/>
            </w:pPr>
            <w:r>
              <w:rPr>
                <w:b w:val="0"/>
              </w:rPr>
              <w:t>gemma4:12b-mlx_baseline</w:t>
            </w:r>
          </w:p>
        </w:tc>
        <w:tc>
          <w:tcPr>
            <w:tcW w:type="dxa" w:w="2494"/>
          </w:tcPr>
          <w:p>
            <w:pPr>
              <w:pStyle w:val="Compact"/>
              <w:jc w:val="left"/>
            </w:pPr>
            <w:r>
              <w:rPr>
                <w:b w:val="0"/>
              </w:rPr>
              <w:t xml:space="preserve">afectados_thinking_n120_REMOTO</w:t>
            </w:r>
          </w:p>
        </w:tc>
        <w:tc>
          <w:tcPr>
            <w:tcW w:type="dxa" w:w="900"/>
          </w:tcPr>
          <w:p>
            <w:pPr>
              <w:pStyle w:val="Compact"/>
              <w:jc w:val="left"/>
            </w:pPr>
            <w:r>
              <w:rPr>
                <w:b w:val="0"/>
              </w:rPr>
              <w:t xml:space="preserve">51.91</w:t>
            </w:r>
          </w:p>
        </w:tc>
        <w:tc>
          <w:tcPr>
            <w:tcW w:type="dxa" w:w="900"/>
          </w:tcPr>
          <w:p>
            <w:pPr>
              <w:pStyle w:val="Compact"/>
              <w:jc w:val="center"/>
            </w:pPr>
            <w:r>
              <w:rPr>
                <w:b w:val="0"/>
              </w:rPr>
              <w:t xml:space="preserve">66.05</w:t>
            </w:r>
          </w:p>
        </w:tc>
        <w:tc>
          <w:tcPr>
            <w:tcW w:type="dxa" w:w="900"/>
          </w:tcPr>
          <w:p>
            <w:pPr>
              <w:pStyle w:val="Compact"/>
              <w:jc w:val="center"/>
            </w:pPr>
            <w:r>
              <w:rPr>
                <w:b w:val="0"/>
              </w:rPr>
              <w:t xml:space="preserve">56.18</w:t>
            </w:r>
          </w:p>
        </w:tc>
        <w:tc>
          <w:tcPr>
            <w:tcW w:type="dxa" w:w="900"/>
          </w:tcPr>
          <w:p>
            <w:pPr>
              <w:pStyle w:val="Compact"/>
              <w:jc w:val="left"/>
            </w:pPr>
            <w:r>
              <w:rPr>
                <w:b w:val="0"/>
              </w:rPr>
              <w:t xml:space="preserve">83.26</w:t>
            </w:r>
          </w:p>
        </w:tc>
        <w:tc>
          <w:tcPr>
            <w:tcW w:type="dxa" w:w="900"/>
          </w:tcPr>
          <w:p>
            <w:pPr>
              <w:pStyle w:val="Compact"/>
              <w:jc w:val="left"/>
            </w:pPr>
            <w:r>
              <w:rPr>
                <w:b w:val="0"/>
              </w:rPr>
              <w:t xml:space="preserve">73.81</w:t>
            </w:r>
          </w:p>
        </w:tc>
        <w:tc>
          <w:tcPr>
            <w:tcW w:type="dxa" w:w="900"/>
          </w:tcPr>
          <w:p>
            <w:pPr>
              <w:pStyle w:val="Compact"/>
              <w:jc w:val="left"/>
            </w:pPr>
            <w:r>
              <w:rPr>
                <w:b w:val="0"/>
              </w:rPr>
              <w:t xml:space="preserve">+17.63</w:t>
            </w:r>
          </w:p>
        </w:tc>
      </w:tr>
      <w:tr>
        <w:tc>
          <w:tcPr>
            <w:tcW w:type="dxa" w:w="944"/>
          </w:tcPr>
          <w:p>
            <w:pPr>
              <w:pStyle w:val="Compact"/>
              <w:jc w:val="left"/>
            </w:pPr>
            <w:r>
              <w:rPr>
                <w:b w:val="0"/>
              </w:rPr>
              <w:t>mistral-nemo:latest_rag_enhanced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42.99</w:t>
            </w:r>
          </w:p>
        </w:tc>
        <w:tc>
          <w:tcPr>
            <w:tcW w:type="dxa" w:w="900"/>
          </w:tcPr>
          <w:p>
            <w:pPr>
              <w:pStyle w:val="Compact"/>
              <w:jc w:val="center"/>
            </w:pPr>
            <w:r>
              <w:rPr>
                <w:b w:val="0"/>
              </w:rPr>
              <w:t xml:space="preserve">24.38</w:t>
            </w:r>
          </w:p>
        </w:tc>
        <w:tc>
          <w:tcPr>
            <w:tcW w:type="dxa" w:w="900"/>
          </w:tcPr>
          <w:p>
            <w:pPr>
              <w:pStyle w:val="Compact"/>
              <w:jc w:val="center"/>
            </w:pPr>
            <w:r>
              <w:rPr>
                <w:b w:val="0"/>
              </w:rPr>
              <w:t xml:space="preserve">28.52</w:t>
            </w:r>
          </w:p>
        </w:tc>
        <w:tc>
          <w:tcPr>
            <w:tcW w:type="dxa" w:w="900"/>
          </w:tcPr>
          <w:p>
            <w:pPr>
              <w:pStyle w:val="Compact"/>
              <w:jc w:val="left"/>
            </w:pPr>
            <w:r>
              <w:rPr>
                <w:b w:val="0"/>
              </w:rPr>
              <w:t xml:space="preserve">79.85</w:t>
            </w:r>
          </w:p>
        </w:tc>
        <w:tc>
          <w:tcPr>
            <w:tcW w:type="dxa" w:w="900"/>
          </w:tcPr>
          <w:p>
            <w:pPr>
              <w:pStyle w:val="Compact"/>
              <w:jc w:val="left"/>
            </w:pPr>
            <w:r>
              <w:rPr>
                <w:b w:val="0"/>
              </w:rPr>
              <w:t xml:space="preserve">36.18</w:t>
            </w:r>
          </w:p>
        </w:tc>
        <w:tc>
          <w:tcPr>
            <w:tcW w:type="dxa" w:w="900"/>
          </w:tcPr>
          <w:p>
            <w:pPr>
              <w:pStyle w:val="Compact"/>
              <w:jc w:val="left"/>
            </w:pPr>
            <w:r>
              <w:rPr>
                <w:b w:val="0"/>
              </w:rPr>
              <w:t xml:space="preserve">+7.66</w:t>
            </w:r>
          </w:p>
        </w:tc>
      </w:tr>
      <w:tr>
        <w:tc>
          <w:tcPr>
            <w:tcW w:type="dxa" w:w="944"/>
          </w:tcPr>
          <w:p>
            <w:pPr>
              <w:pStyle w:val="Compact"/>
              <w:jc w:val="left"/>
            </w:pPr>
            <w:r>
              <w:rPr>
                <w:b w:val="0"/>
              </w:rPr>
              <w:t>gemma4:31b-cloud_rag_enhanced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16.96</w:t>
            </w:r>
          </w:p>
        </w:tc>
        <w:tc>
          <w:tcPr>
            <w:tcW w:type="dxa" w:w="900"/>
          </w:tcPr>
          <w:p>
            <w:pPr>
              <w:pStyle w:val="Compact"/>
              <w:jc w:val="center"/>
            </w:pPr>
            <w:r>
              <w:rPr>
                <w:b w:val="0"/>
              </w:rPr>
              <w:t xml:space="preserve">21.11</w:t>
            </w:r>
          </w:p>
        </w:tc>
        <w:tc>
          <w:tcPr>
            <w:tcW w:type="dxa" w:w="900"/>
          </w:tcPr>
          <w:p>
            <w:pPr>
              <w:pStyle w:val="Compact"/>
              <w:jc w:val="center"/>
            </w:pPr>
            <w:r>
              <w:rPr>
                <w:b w:val="0"/>
              </w:rPr>
              <w:t xml:space="preserve">18.52</w:t>
            </w:r>
          </w:p>
        </w:tc>
        <w:tc>
          <w:tcPr>
            <w:tcW w:type="dxa" w:w="900"/>
          </w:tcPr>
          <w:p>
            <w:pPr>
              <w:pStyle w:val="Compact"/>
              <w:jc w:val="left"/>
            </w:pPr>
            <w:r>
              <w:rPr>
                <w:b w:val="0"/>
              </w:rPr>
              <w:t xml:space="preserve">24.56</w:t>
            </w:r>
          </w:p>
        </w:tc>
        <w:tc>
          <w:tcPr>
            <w:tcW w:type="dxa" w:w="900"/>
          </w:tcPr>
          <w:p>
            <w:pPr>
              <w:pStyle w:val="Compact"/>
              <w:jc w:val="left"/>
            </w:pPr>
            <w:r>
              <w:rPr>
                <w:b w:val="0"/>
              </w:rPr>
              <w:t xml:space="preserve">23.04</w:t>
            </w:r>
          </w:p>
        </w:tc>
        <w:tc>
          <w:tcPr>
            <w:tcW w:type="dxa" w:w="900"/>
          </w:tcPr>
          <w:p>
            <w:pPr>
              <w:pStyle w:val="Compact"/>
              <w:jc w:val="left"/>
            </w:pPr>
            <w:r>
              <w:rPr>
                <w:b w:val="0"/>
              </w:rPr>
              <w:t xml:space="preserve">+4.51</w:t>
            </w:r>
          </w:p>
        </w:tc>
      </w:tr>
      <w:tr>
        <w:tc>
          <w:tcPr>
            <w:tcW w:type="dxa" w:w="944"/>
          </w:tcPr>
          <w:p>
            <w:pPr>
              <w:pStyle w:val="Compact"/>
              <w:jc w:val="left"/>
            </w:pPr>
            <w:r>
              <w:rPr>
                <w:b w:val="0"/>
              </w:rPr>
              <w:t>deepseek-r1:1.5b_baseline</w:t>
            </w:r>
          </w:p>
        </w:tc>
        <w:tc>
          <w:tcPr>
            <w:tcW w:type="dxa" w:w="2494"/>
          </w:tcPr>
          <w:p>
            <w:pPr>
              <w:pStyle w:val="Compact"/>
              <w:jc w:val="left"/>
            </w:pPr>
            <w:r>
              <w:rPr>
                <w:b w:val="0"/>
              </w:rPr>
              <w:t>benchmark_n120_REMOTO</w:t>
            </w:r>
          </w:p>
        </w:tc>
        <w:tc>
          <w:tcPr>
            <w:tcW w:type="dxa" w:w="900"/>
          </w:tcPr>
          <w:p>
            <w:pPr>
              <w:pStyle w:val="Compact"/>
              <w:jc w:val="left"/>
            </w:pPr>
            <w:r>
              <w:rPr>
                <w:b w:val="0"/>
              </w:rPr>
              <w:t xml:space="preserve">29.96</w:t>
            </w:r>
          </w:p>
        </w:tc>
        <w:tc>
          <w:tcPr>
            <w:tcW w:type="dxa" w:w="900"/>
          </w:tcPr>
          <w:p>
            <w:pPr>
              <w:pStyle w:val="Compact"/>
              <w:jc w:val="center"/>
            </w:pPr>
            <w:r>
              <w:rPr>
                <w:b w:val="0"/>
              </w:rPr>
              <w:t xml:space="preserve">24.72</w:t>
            </w:r>
          </w:p>
        </w:tc>
        <w:tc>
          <w:tcPr>
            <w:tcW w:type="dxa" w:w="900"/>
          </w:tcPr>
          <w:p>
            <w:pPr>
              <w:pStyle w:val="Compact"/>
              <w:jc w:val="center"/>
            </w:pPr>
            <w:r>
              <w:rPr>
                <w:b w:val="0"/>
              </w:rPr>
              <w:t xml:space="preserve">24.83</w:t>
            </w:r>
          </w:p>
        </w:tc>
        <w:tc>
          <w:tcPr>
            <w:tcW w:type="dxa" w:w="900"/>
          </w:tcPr>
          <w:p>
            <w:pPr>
              <w:pStyle w:val="Compact"/>
              <w:jc w:val="left"/>
            </w:pPr>
            <w:r>
              <w:rPr>
                <w:b w:val="0"/>
              </w:rPr>
              <w:t xml:space="preserve">43.27</w:t>
            </w:r>
          </w:p>
        </w:tc>
        <w:tc>
          <w:tcPr>
            <w:tcW w:type="dxa" w:w="900"/>
          </w:tcPr>
          <w:p>
            <w:pPr>
              <w:pStyle w:val="Compact"/>
              <w:jc w:val="left"/>
            </w:pPr>
            <w:r>
              <w:rPr>
                <w:b w:val="0"/>
              </w:rPr>
              <w:t xml:space="preserve">29.34</w:t>
            </w:r>
          </w:p>
        </w:tc>
        <w:tc>
          <w:tcPr>
            <w:tcW w:type="dxa" w:w="900"/>
          </w:tcPr>
          <w:p>
            <w:pPr>
              <w:pStyle w:val="Compact"/>
              <w:jc w:val="left"/>
            </w:pPr>
            <w:r>
              <w:rPr>
                <w:b w:val="0"/>
              </w:rPr>
              <w:t xml:space="preserve">+4.50</w:t>
            </w:r>
          </w:p>
        </w:tc>
      </w:tr>
      <w:tr>
        <w:tc>
          <w:tcPr>
            <w:tcW w:type="dxa" w:w="944"/>
          </w:tcPr>
          <w:p>
            <w:pPr>
              <w:pStyle w:val="Compact"/>
              <w:jc w:val="left"/>
            </w:pPr>
            <w:r>
              <w:rPr>
                <w:b w:val="0"/>
              </w:rPr>
              <w:t>deepseek-r1:1.5b_kb_rag</w:t>
            </w:r>
          </w:p>
        </w:tc>
        <w:tc>
          <w:tcPr>
            <w:tcW w:type="dxa" w:w="2494"/>
          </w:tcPr>
          <w:p>
            <w:pPr>
              <w:pStyle w:val="Compact"/>
              <w:jc w:val="left"/>
            </w:pPr>
            <w:r>
              <w:rPr>
                <w:b w:val="0"/>
              </w:rPr>
              <w:t>benchmark_n120_REMOTO</w:t>
            </w:r>
          </w:p>
        </w:tc>
        <w:tc>
          <w:tcPr>
            <w:tcW w:type="dxa" w:w="900"/>
          </w:tcPr>
          <w:p>
            <w:pPr>
              <w:pStyle w:val="Compact"/>
              <w:jc w:val="left"/>
            </w:pPr>
            <w:r>
              <w:rPr>
                <w:b w:val="0"/>
              </w:rPr>
              <w:t xml:space="preserve">28.35</w:t>
            </w:r>
          </w:p>
        </w:tc>
        <w:tc>
          <w:tcPr>
            <w:tcW w:type="dxa" w:w="900"/>
          </w:tcPr>
          <w:p>
            <w:pPr>
              <w:pStyle w:val="Compact"/>
              <w:jc w:val="center"/>
            </w:pPr>
            <w:r>
              <w:rPr>
                <w:b w:val="0"/>
              </w:rPr>
              <w:t xml:space="preserve">24.71</w:t>
            </w:r>
          </w:p>
        </w:tc>
        <w:tc>
          <w:tcPr>
            <w:tcW w:type="dxa" w:w="900"/>
          </w:tcPr>
          <w:p>
            <w:pPr>
              <w:pStyle w:val="Compact"/>
              <w:jc w:val="center"/>
            </w:pPr>
            <w:r>
              <w:rPr>
                <w:b w:val="0"/>
              </w:rPr>
              <w:t xml:space="preserve">23.94</w:t>
            </w:r>
          </w:p>
        </w:tc>
        <w:tc>
          <w:tcPr>
            <w:tcW w:type="dxa" w:w="900"/>
          </w:tcPr>
          <w:p>
            <w:pPr>
              <w:pStyle w:val="Compact"/>
              <w:jc w:val="left"/>
            </w:pPr>
            <w:r>
              <w:rPr>
                <w:b w:val="0"/>
              </w:rPr>
              <w:t xml:space="preserve">36.13</w:t>
            </w:r>
          </w:p>
        </w:tc>
        <w:tc>
          <w:tcPr>
            <w:tcW w:type="dxa" w:w="900"/>
          </w:tcPr>
          <w:p>
            <w:pPr>
              <w:pStyle w:val="Compact"/>
              <w:jc w:val="left"/>
            </w:pPr>
            <w:r>
              <w:rPr>
                <w:b w:val="0"/>
              </w:rPr>
              <w:t xml:space="preserve">26.91</w:t>
            </w:r>
          </w:p>
        </w:tc>
        <w:tc>
          <w:tcPr>
            <w:tcW w:type="dxa" w:w="900"/>
          </w:tcPr>
          <w:p>
            <w:pPr>
              <w:pStyle w:val="Compact"/>
              <w:jc w:val="left"/>
            </w:pPr>
            <w:r>
              <w:rPr>
                <w:b w:val="0"/>
              </w:rPr>
              <w:t xml:space="preserve">+2.97</w:t>
            </w:r>
          </w:p>
        </w:tc>
      </w:tr>
      <w:tr>
        <w:tc>
          <w:tcPr>
            <w:tcW w:type="dxa" w:w="944"/>
          </w:tcPr>
          <w:p>
            <w:pPr>
              <w:pStyle w:val="Compact"/>
              <w:jc w:val="left"/>
            </w:pPr>
            <w:r>
              <w:rPr>
                <w:b w:val="0"/>
              </w:rPr>
              <w:t>nemotron-mini:4b_baseline</w:t>
            </w:r>
          </w:p>
        </w:tc>
        <w:tc>
          <w:tcPr>
            <w:tcW w:type="dxa" w:w="2494"/>
          </w:tcPr>
          <w:p>
            <w:pPr>
              <w:pStyle w:val="Compact"/>
              <w:jc w:val="left"/>
            </w:pPr>
            <w:r>
              <w:rPr>
                <w:b w:val="0"/>
              </w:rPr>
              <w:t>nemotron_rerun_n120_REMOTO</w:t>
            </w:r>
          </w:p>
        </w:tc>
        <w:tc>
          <w:tcPr>
            <w:tcW w:type="dxa" w:w="900"/>
          </w:tcPr>
          <w:p>
            <w:pPr>
              <w:pStyle w:val="Compact"/>
              <w:jc w:val="left"/>
            </w:pPr>
            <w:r>
              <w:rPr>
                <w:b w:val="0"/>
              </w:rPr>
              <w:t xml:space="preserve">34.50</w:t>
            </w:r>
          </w:p>
        </w:tc>
        <w:tc>
          <w:tcPr>
            <w:tcW w:type="dxa" w:w="900"/>
          </w:tcPr>
          <w:p>
            <w:pPr>
              <w:pStyle w:val="Compact"/>
              <w:jc w:val="center"/>
            </w:pPr>
            <w:r>
              <w:rPr>
                <w:b w:val="0"/>
              </w:rPr>
              <w:t xml:space="preserve">21.20</w:t>
            </w:r>
          </w:p>
        </w:tc>
        <w:tc>
          <w:tcPr>
            <w:tcW w:type="dxa" w:w="900"/>
          </w:tcPr>
          <w:p>
            <w:pPr>
              <w:pStyle w:val="Compact"/>
              <w:jc w:val="center"/>
            </w:pPr>
            <w:r>
              <w:rPr>
                <w:b w:val="0"/>
              </w:rPr>
              <w:t xml:space="preserve">22.59</w:t>
            </w:r>
          </w:p>
        </w:tc>
        <w:tc>
          <w:tcPr>
            <w:tcW w:type="dxa" w:w="900"/>
          </w:tcPr>
          <w:p>
            <w:pPr>
              <w:pStyle w:val="Compact"/>
              <w:jc w:val="left"/>
            </w:pPr>
            <w:r>
              <w:rPr>
                <w:b w:val="0"/>
              </w:rPr>
              <w:t xml:space="preserve">46.59</w:t>
            </w:r>
          </w:p>
        </w:tc>
        <w:tc>
          <w:tcPr>
            <w:tcW w:type="dxa" w:w="900"/>
          </w:tcPr>
          <w:p>
            <w:pPr>
              <w:pStyle w:val="Compact"/>
              <w:jc w:val="left"/>
            </w:pPr>
            <w:r>
              <w:rPr>
                <w:b w:val="0"/>
              </w:rPr>
              <w:t xml:space="preserve">25.28</w:t>
            </w:r>
          </w:p>
        </w:tc>
        <w:tc>
          <w:tcPr>
            <w:tcW w:type="dxa" w:w="900"/>
          </w:tcPr>
          <w:p>
            <w:pPr>
              <w:pStyle w:val="Compact"/>
              <w:jc w:val="left"/>
            </w:pPr>
            <w:r>
              <w:rPr>
                <w:b w:val="0"/>
              </w:rPr>
              <w:t xml:space="preserve">+2.68</w:t>
            </w:r>
          </w:p>
        </w:tc>
      </w:tr>
      <w:tr>
        <w:tc>
          <w:tcPr>
            <w:tcW w:type="dxa" w:w="944"/>
          </w:tcPr>
          <w:p>
            <w:pPr>
              <w:pStyle w:val="Compact"/>
              <w:jc w:val="left"/>
            </w:pPr>
            <w:r>
              <w:rPr>
                <w:b w:val="0"/>
              </w:rPr>
              <w:t>nemotron-mini:4b_rag_enhanced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35.16</w:t>
            </w:r>
          </w:p>
        </w:tc>
        <w:tc>
          <w:tcPr>
            <w:tcW w:type="dxa" w:w="900"/>
          </w:tcPr>
          <w:p>
            <w:pPr>
              <w:pStyle w:val="Compact"/>
              <w:jc w:val="center"/>
            </w:pPr>
            <w:r>
              <w:rPr>
                <w:b w:val="0"/>
              </w:rPr>
              <w:t xml:space="preserve">16.39</w:t>
            </w:r>
          </w:p>
        </w:tc>
        <w:tc>
          <w:tcPr>
            <w:tcW w:type="dxa" w:w="900"/>
          </w:tcPr>
          <w:p>
            <w:pPr>
              <w:pStyle w:val="Compact"/>
              <w:jc w:val="center"/>
            </w:pPr>
            <w:r>
              <w:rPr>
                <w:b w:val="0"/>
              </w:rPr>
              <w:t xml:space="preserve">19.54</w:t>
            </w:r>
          </w:p>
        </w:tc>
        <w:tc>
          <w:tcPr>
            <w:tcW w:type="dxa" w:w="900"/>
          </w:tcPr>
          <w:p>
            <w:pPr>
              <w:pStyle w:val="Compact"/>
              <w:jc w:val="left"/>
            </w:pPr>
            <w:r>
              <w:rPr>
                <w:b w:val="0"/>
              </w:rPr>
              <w:t xml:space="preserve">40.45</w:t>
            </w:r>
          </w:p>
        </w:tc>
        <w:tc>
          <w:tcPr>
            <w:tcW w:type="dxa" w:w="900"/>
          </w:tcPr>
          <w:p>
            <w:pPr>
              <w:pStyle w:val="Compact"/>
              <w:jc w:val="left"/>
            </w:pPr>
            <w:r>
              <w:rPr>
                <w:b w:val="0"/>
              </w:rPr>
              <w:t xml:space="preserve">21.26</w:t>
            </w:r>
          </w:p>
        </w:tc>
        <w:tc>
          <w:tcPr>
            <w:tcW w:type="dxa" w:w="900"/>
          </w:tcPr>
          <w:p>
            <w:pPr>
              <w:pStyle w:val="Compact"/>
              <w:jc w:val="left"/>
            </w:pPr>
            <w:r>
              <w:rPr>
                <w:b w:val="0"/>
              </w:rPr>
              <w:t xml:space="preserve">+1.72</w:t>
            </w:r>
          </w:p>
        </w:tc>
      </w:tr>
      <w:tr>
        <w:tc>
          <w:tcPr>
            <w:tcW w:type="dxa" w:w="944"/>
          </w:tcPr>
          <w:p>
            <w:pPr>
              <w:pStyle w:val="Compact"/>
              <w:jc w:val="left"/>
            </w:pPr>
            <w:r>
              <w:rPr>
                <w:b w:val="0"/>
              </w:rPr>
              <w:t>deepseek-r1:1.5b_rag_enhanced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 xml:space="preserve">22.28</w:t>
            </w:r>
          </w:p>
        </w:tc>
        <w:tc>
          <w:tcPr>
            <w:tcW w:type="dxa" w:w="900"/>
          </w:tcPr>
          <w:p>
            <w:pPr>
              <w:pStyle w:val="Compact"/>
              <w:jc w:val="center"/>
            </w:pPr>
            <w:r>
              <w:rPr>
                <w:b w:val="0"/>
              </w:rPr>
              <w:t xml:space="preserve">17.41</w:t>
            </w:r>
          </w:p>
        </w:tc>
        <w:tc>
          <w:tcPr>
            <w:tcW w:type="dxa" w:w="900"/>
          </w:tcPr>
          <w:p>
            <w:pPr>
              <w:pStyle w:val="Compact"/>
              <w:jc w:val="center"/>
            </w:pPr>
            <w:r>
              <w:rPr>
                <w:b w:val="0"/>
              </w:rPr>
              <w:t xml:space="preserve">16.82</w:t>
            </w:r>
          </w:p>
        </w:tc>
        <w:tc>
          <w:tcPr>
            <w:tcW w:type="dxa" w:w="900"/>
          </w:tcPr>
          <w:p>
            <w:pPr>
              <w:pStyle w:val="Compact"/>
              <w:jc w:val="left"/>
            </w:pPr>
            <w:r>
              <w:rPr>
                <w:b w:val="0"/>
              </w:rPr>
              <w:t xml:space="preserve">30.80</w:t>
            </w:r>
          </w:p>
        </w:tc>
        <w:tc>
          <w:tcPr>
            <w:tcW w:type="dxa" w:w="900"/>
          </w:tcPr>
          <w:p>
            <w:pPr>
              <w:pStyle w:val="Compact"/>
              <w:jc w:val="left"/>
            </w:pPr>
            <w:r>
              <w:rPr>
                <w:b w:val="0"/>
              </w:rPr>
              <w:t xml:space="preserve">20.11</w:t>
            </w:r>
          </w:p>
        </w:tc>
        <w:tc>
          <w:tcPr>
            <w:tcW w:type="dxa" w:w="900"/>
          </w:tcPr>
          <w:p>
            <w:pPr>
              <w:pStyle w:val="Compact"/>
              <w:jc w:val="left"/>
            </w:pPr>
            <w:r>
              <w:rPr>
                <w:b w:val="0"/>
              </w:rPr>
              <w:t xml:space="preserve">+3.29</w:t>
            </w:r>
          </w:p>
        </w:tc>
      </w:tr>
      <w:tr>
        <w:tc>
          <w:tcPr>
            <w:tcW w:type="dxa" w:w="944"/>
          </w:tcPr>
          <w:p>
            <w:pPr>
              <w:pStyle w:val="Compact"/>
              <w:jc w:val="left"/>
            </w:pPr>
            <w:r>
              <w:rPr>
                <w:b w:val="0"/>
              </w:rPr>
              <w:t>gemma4:12b-mlx_kb_rag</w:t>
            </w:r>
          </w:p>
        </w:tc>
        <w:tc>
          <w:tcPr>
            <w:tcW w:type="dxa" w:w="2494"/>
          </w:tcPr>
          <w:p>
            <w:pPr>
              <w:pStyle w:val="Compact"/>
              <w:jc w:val="left"/>
            </w:pPr>
            <w:r>
              <w:rPr>
                <w:b w:val="0"/>
              </w:rPr>
              <w:t xml:space="preserve">afectados_thinking_n120_REMOTO</w:t>
            </w:r>
          </w:p>
        </w:tc>
        <w:tc>
          <w:tcPr>
            <w:tcW w:type="dxa" w:w="900"/>
          </w:tcPr>
          <w:p>
            <w:pPr>
              <w:pStyle w:val="Compact"/>
              <w:jc w:val="left"/>
            </w:pPr>
            <w:r>
              <w:rPr>
                <w:b w:val="0"/>
              </w:rPr>
              <w:t xml:space="preserve">53.29</w:t>
            </w:r>
          </w:p>
        </w:tc>
        <w:tc>
          <w:tcPr>
            <w:tcW w:type="dxa" w:w="900"/>
          </w:tcPr>
          <w:p>
            <w:pPr>
              <w:pStyle w:val="Compact"/>
              <w:jc w:val="center"/>
            </w:pPr>
            <w:r>
              <w:rPr>
                <w:b w:val="0"/>
              </w:rPr>
              <w:t xml:space="preserve">68.33</w:t>
            </w:r>
          </w:p>
        </w:tc>
        <w:tc>
          <w:tcPr>
            <w:tcW w:type="dxa" w:w="900"/>
          </w:tcPr>
          <w:p>
            <w:pPr>
              <w:pStyle w:val="Compact"/>
              <w:jc w:val="center"/>
            </w:pPr>
            <w:r>
              <w:rPr>
                <w:b w:val="0"/>
              </w:rPr>
              <w:t xml:space="preserve">58.46</w:t>
            </w:r>
          </w:p>
        </w:tc>
        <w:tc>
          <w:tcPr>
            <w:tcW w:type="dxa" w:w="900"/>
          </w:tcPr>
          <w:p>
            <w:pPr>
              <w:pStyle w:val="Compact"/>
              <w:jc w:val="left"/>
            </w:pPr>
            <w:r>
              <w:rPr>
                <w:b w:val="0"/>
              </w:rPr>
              <w:t xml:space="preserve">80.50</w:t>
            </w:r>
          </w:p>
        </w:tc>
        <w:tc>
          <w:tcPr>
            <w:tcW w:type="dxa" w:w="900"/>
          </w:tcPr>
          <w:p>
            <w:pPr>
              <w:pStyle w:val="Compact"/>
              <w:jc w:val="left"/>
            </w:pPr>
            <w:r>
              <w:rPr>
                <w:b w:val="0"/>
              </w:rPr>
              <w:t xml:space="preserve">74.30</w:t>
            </w:r>
          </w:p>
        </w:tc>
        <w:tc>
          <w:tcPr>
            <w:tcW w:type="dxa" w:w="900"/>
          </w:tcPr>
          <w:p>
            <w:pPr>
              <w:pStyle w:val="Compact"/>
              <w:jc w:val="left"/>
            </w:pPr>
            <w:r>
              <w:rPr>
                <w:b w:val="0"/>
              </w:rPr>
              <w:t xml:space="preserve">+15.84</w:t>
            </w:r>
          </w:p>
        </w:tc>
      </w:tr>
    </w:tbl>
    <w:p>
      <w:pPr>
        <w:numPr>
          <w:ilvl w:val="0"/>
          <w:numId w:val="0"/>
        </w:numPr>
        <w:pStyle w:val="Normal"/>
      </w:pPr>
      <w:r>
        <w:t xml:space="preserve">En conjunto, 20 946 de los 32 201 falsos positivos de estas cuarenta y dos configuraciones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 xml:space="preserve">gemma4:31b-mlx</w:t>
      </w:r>
      <w:r>
        <w:t xml:space="preserve">, pasa de 62,67 % a 76,55 % de F1 y supera el umbral</w:t>
      </w:r>
      <w:r>
        <w:rPr>
          <w:b/>
        </w:rPr>
        <w:t xml:space="preserve"/>
      </w:r>
      <w:r>
        <w:t xml:space="preserve"> de 70 % que fija la hipótesis sobre material periodístico mayoritariamente en español. La variante en la nube del mismo modelo conserva su ventaja (80,42 % frente a 76,55 %), de modo que la corrección </w:t>
      </w:r>
      <w:r>
        <w:rPr>
          <w:b/>
        </w:rPr>
        <w:t xml:space="preserve">no</w:t>
      </w:r>
      <w:r>
        <w:t xml:space="preserve"> altera la conclusión sobre la comparación entre ejecución local y alojada.</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28"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220" w:after="11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160" w:after="80"/>
      <w:outlineLvl w:val="1"/>
    </w:pPr>
    <w:rPr>
      <w:b/>
    </w:rPr>
  </w:style>
  <w:style w:type="paragraph" w:styleId="Ttulo3">
    <w:name w:val="heading 3"/>
    <w:basedOn w:val="Normal"/>
    <w:next w:val="Normal"/>
    <w:qFormat/>
    <w:rsid w:val="002B66F5"/>
    <w:pPr>
      <w:keepNext/>
      <w:keepLines/>
      <w:numPr>
        <w:ilvl w:val="2"/>
        <w:numId w:val="38"/>
      </w:numPr>
      <w:suppressAutoHyphens/>
      <w:spacing w:before="140" w:after="7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16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170" w:lineRule="exact"/>
      <w:ind w:left="227" w:firstLine="0"/>
      <w:contextualSpacing/>
      <w:jc w:val="left"/>
    </w:pPr>
    <w:rPr>
      <w:rFonts w:ascii="Courier" w:hAnsi="Courier"/>
      <w:sz w:val="14"/>
      <w:szCs w:val="14"/>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100" w:after="6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184"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