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informe-final-de-tesina"/>
    <w:p>
      <w:pPr>
        <w:pStyle w:val="Heading1"/>
      </w:pPr>
      <w:r>
        <w:t xml:space="preserve">INFORME FINAL DE TESINA</w:t>
      </w:r>
    </w:p>
    <w:p>
      <w:pPr>
        <w:pStyle w:val="FirstParagraph"/>
      </w:pPr>
      <w:r>
        <w:rPr>
          <w:b/>
          <w:bCs/>
        </w:rPr>
        <w:t xml:space="preserve">UNIVERSIDAD TÉCNICA FEDERICO SANTA MARÍA</w:t>
      </w:r>
      <w:r>
        <w:br/>
      </w:r>
      <w:r>
        <w:rPr>
          <w:b/>
          <w:bCs/>
        </w:rPr>
        <w:t xml:space="preserve">DEPARTAMENTO DE INFORMÁTICA</w:t>
      </w:r>
      <w:r>
        <w:br/>
      </w:r>
      <w:r>
        <w:rPr>
          <w:b/>
          <w:bCs/>
        </w:rPr>
        <w:t xml:space="preserve">Magíster en Tecnologías de la Información (MTI)</w:t>
      </w:r>
    </w:p>
    <w:p>
      <w:r>
        <w:pict>
          <v:rect style="width:0;height:1.5pt" o:hralign="center" o:hrstd="t" o:hr="t"/>
        </w:pict>
      </w:r>
    </w:p>
    <w:p>
      <w:pPr>
        <w:pStyle w:val="FirstParagraph"/>
      </w:pPr>
      <w:r>
        <w:rPr>
          <w:b/>
          <w:bCs/>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Autor</w:t>
            </w:r>
          </w:p>
        </w:tc>
        <w:tc>
          <w:tcPr/>
          <w:p>
            <w:pPr>
              <w:pStyle w:val="Compact"/>
              <w:jc w:val="left"/>
            </w:pPr>
            <w:r>
              <w:t xml:space="preserve">Eduardo Mauricio Ahumada Gallardo</w:t>
            </w:r>
          </w:p>
        </w:tc>
      </w:tr>
      <w:tr>
        <w:tc>
          <w:tcPr/>
          <w:p>
            <w:pPr>
              <w:pStyle w:val="Compact"/>
              <w:jc w:val="left"/>
            </w:pPr>
            <w:r>
              <w:rPr>
                <w:b/>
                <w:bCs/>
              </w:rPr>
              <w:t xml:space="preserve">RUT</w:t>
            </w:r>
          </w:p>
        </w:tc>
        <w:tc>
          <w:tcPr/>
          <w:p>
            <w:pPr>
              <w:pStyle w:val="Compact"/>
              <w:jc w:val="left"/>
            </w:pPr>
            <w:r>
              <w:t xml:space="preserve">12.814.696-2</w:t>
            </w:r>
          </w:p>
        </w:tc>
      </w:tr>
      <w:tr>
        <w:tc>
          <w:tcPr/>
          <w:p>
            <w:pPr>
              <w:pStyle w:val="Compact"/>
              <w:jc w:val="left"/>
            </w:pPr>
            <w:r>
              <w:rPr>
                <w:b/>
                <w:bCs/>
              </w:rPr>
              <w:t xml:space="preserve">Correo</w:t>
            </w:r>
          </w:p>
        </w:tc>
        <w:tc>
          <w:tcPr/>
          <w:p>
            <w:pPr>
              <w:pStyle w:val="Compact"/>
              <w:jc w:val="left"/>
            </w:pPr>
            <w:r>
              <w:t xml:space="preserve">eahumada@gmail.com</w:t>
            </w:r>
          </w:p>
        </w:tc>
      </w:tr>
      <w:tr>
        <w:tc>
          <w:tcPr/>
          <w:p>
            <w:pPr>
              <w:pStyle w:val="Compact"/>
              <w:jc w:val="left"/>
            </w:pPr>
            <w:r>
              <w:rPr>
                <w:b/>
                <w:bCs/>
              </w:rPr>
              <w:t xml:space="preserve">Profesor Guía</w:t>
            </w:r>
          </w:p>
        </w:tc>
        <w:tc>
          <w:tcPr/>
          <w:p>
            <w:pPr>
              <w:pStyle w:val="Compact"/>
              <w:jc w:val="left"/>
            </w:pPr>
            <w:r>
              <w:t xml:space="preserve">José Luis Martí Lara</w:t>
            </w:r>
          </w:p>
        </w:tc>
      </w:tr>
      <w:tr>
        <w:tc>
          <w:tcPr/>
          <w:p>
            <w:pPr>
              <w:pStyle w:val="Compact"/>
              <w:jc w:val="left"/>
            </w:pPr>
            <w:r>
              <w:rPr>
                <w:b/>
                <w:bCs/>
              </w:rPr>
              <w:t xml:space="preserve">Organización Vinculada</w:t>
            </w:r>
          </w:p>
        </w:tc>
        <w:tc>
          <w:tcPr/>
          <w:p>
            <w:pPr>
              <w:pStyle w:val="Compact"/>
              <w:jc w:val="left"/>
            </w:pPr>
            <w:r>
              <w:t>Austranet</w:t>
            </w:r>
          </w:p>
        </w:tc>
      </w:tr>
      <w:tr>
        <w:tc>
          <w:tcPr/>
          <w:p>
            <w:pPr>
              <w:pStyle w:val="Compact"/>
              <w:jc w:val="left"/>
            </w:pPr>
            <w:r>
              <w:rPr>
                <w:b/>
                <w:bCs/>
              </w:rPr>
              <w:t xml:space="preserve">Programa</w:t>
            </w:r>
          </w:p>
        </w:tc>
        <w:tc>
          <w:tcPr/>
          <w:p>
            <w:pPr>
              <w:pStyle w:val="Compact"/>
              <w:jc w:val="left"/>
            </w:pPr>
            <w:r>
              <w:t xml:space="preserve">Magíster en Tecnologías de la Información — Año de Ingreso 2013</w:t>
            </w:r>
          </w:p>
        </w:tc>
      </w:tr>
      <w:tr>
        <w:tc>
          <w:tcPr/>
          <w:p>
            <w:pPr>
              <w:pStyle w:val="Compact"/>
              <w:jc w:val="left"/>
            </w:pPr>
            <w:r>
              <w:rPr>
                <w:b/>
                <w:bCs/>
              </w:rPr>
              <w:t xml:space="preserve">Fecha de Entrega</w:t>
            </w:r>
          </w:p>
        </w:tc>
        <w:tc>
          <w:tcPr/>
          <w:p>
            <w:pPr>
              <w:pStyle w:val="Compact"/>
              <w:jc w:val="left"/>
            </w:pPr>
            <w:r>
              <w:t xml:space="preserve">Julio 2026</w:t>
            </w:r>
          </w:p>
        </w:tc>
      </w:tr>
      <w:tr>
        <w:tc>
          <w:tcPr/>
          <w:p>
            <w:pPr>
              <w:pStyle w:val="Compact"/>
              <w:jc w:val="left"/>
            </w:pPr>
            <w:r>
              <w:t>Versión del documento</w:t>
            </w:r>
          </w:p>
        </w:tc>
        <w:tc>
          <w:tcPr/>
          <w:p>
            <w:pPr>
              <w:pStyle w:val="Compact"/>
              <w:jc w:val="left"/>
            </w:pPr>
            <w:r>
              <w:t>v2 — 7 de septiembre de 2026</w:t>
            </w:r>
          </w:p>
        </w:tc>
      </w:tr>
    </w:tbl>
    <w:p>
      <w:r>
        <w:pict>
          <v:rect style="width:0;height:1.5pt" o:hralign="center" o:hrstd="t" o:hr="t"/>
        </w:pict>
      </w:r>
    </w:p>
    <w:bookmarkStart w:id="9" w:name="resumen"/>
    <w:p>
      <w:pPr>
        <w:pStyle w:val="Heading2"/>
        <w:pageBreakBefore/>
      </w:pPr>
      <w:r>
        <w:t xml:space="preserve">RESUMEN</w:t>
      </w:r>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El sistema incorpora una arquitectura de procesamiento pub/sub multithreading con control adaptativo de concurrencia (AIMD) y una capa Factory/Facade que unifica cuatro proveedores de modelos. La validación experimental se realizó sobre el dataset real de sanciones financieras Kleptotrace/CoNLL-2002 (N=15 artículos con anotación experta) y un corpus estadísticamente significativo de 30 artículos breves (N=30). El análisis de variantes de prompts demuestra que combinar localización al español con ejemplos few-shot produce una mejora de +11.1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bCs/>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bookmarkEnd w:id="9"/>
    <w:bookmarkStart w:id="10" w:name="abstract"/>
    <w:p>
      <w:pPr>
        <w:pStyle w:val="Heading2"/>
        <w:pageBreakBefore/>
      </w:pPr>
      <w:r>
        <w:t xml:space="preserve">ABSTRACT</w:t>
      </w:r>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bCs/>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bookmarkEnd w:id="10"/>
    <w:bookmarkStart w:id="11" w:name="índice-de-contenidos"/>
    <w:p>
      <w:pPr>
        <w:pStyle w:val="Heading2"/>
        <w:pageBreakBefore/>
      </w:pPr>
      <w:r>
        <w:t xml:space="preserve">ÍNDICE DE CONTENIDOS</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bfb9847128f70adfa160568e904f826875de785">
        <w:r>
          <w:rPr>
            <w:rStyle w:val="Hyperlink"/>
          </w:rPr>
          <w:t xml:space="preserve">Marco Teórico y Estado del Arte</w:t>
        </w:r>
      </w:hyperlink>
    </w:p>
    <w:p>
      <w:pPr>
        <w:pStyle w:val="Compact"/>
        <w:numPr>
          <w:ilvl w:val="0"/>
          <w:numId w:val="1001"/>
        </w:numPr>
      </w:pPr>
      <w:hyperlink w:anchor="Xae8d23fa0d89850f2bd641d99fa64956fc0619a">
        <w:r>
          <w:rPr>
            <w:rStyle w:val="Hyperlink"/>
          </w:rPr>
          <w:t xml:space="preserve">Descripción del Sistema Propuesto</w:t>
        </w:r>
      </w:hyperlink>
    </w:p>
    <w:p>
      <w:pPr>
        <w:pStyle w:val="Compact"/>
        <w:numPr>
          <w:ilvl w:val="0"/>
          <w:numId w:val="1001"/>
        </w:numPr>
      </w:pPr>
      <w:hyperlink w:anchor="X0140c858aae6b91e986f25a1a6b303f3119a660">
        <w:r>
          <w:rPr>
            <w:rStyle w:val="Hyperlink"/>
          </w:rPr>
          <w:t xml:space="preserve">Diseño Experimental</w:t>
        </w:r>
      </w:hyperlink>
    </w:p>
    <w:p>
      <w:pPr>
        <w:pStyle w:val="Compact"/>
        <w:numPr>
          <w:ilvl w:val="0"/>
          <w:numId w:val="1001"/>
        </w:numPr>
      </w:pPr>
      <w:hyperlink w:anchor="X53d4eb3458c27fe0ebaaee02e7b9b9aa16ca61e">
        <w:r>
          <w:rPr>
            <w:rStyle w:val="Hyperlink"/>
          </w:rPr>
          <w:t xml:space="preserve">Resultados Experimentales</w:t>
        </w:r>
      </w:hyperlink>
    </w:p>
    <w:p>
      <w:pPr>
        <w:pStyle w:val="Compact"/>
        <w:numPr>
          <w:ilvl w:val="0"/>
          <w:numId w:val="1001"/>
        </w:numPr>
      </w:pPr>
      <w:hyperlink w:anchor="X6fbb0573007b7b8abace75d54a9978cb96ea265">
        <w:r>
          <w:rPr>
            <w:rStyle w:val="Hyperlink"/>
          </w:rPr>
          <w:t xml:space="preserve">Discusión</w:t>
        </w:r>
      </w:hyperlink>
    </w:p>
    <w:p>
      <w:pPr>
        <w:pStyle w:val="Compact"/>
        <w:numPr>
          <w:ilvl w:val="0"/>
          <w:numId w:val="1001"/>
        </w:numPr>
      </w:pPr>
      <w:hyperlink w:anchor="X235f4c753af26c0dd2a9d80a256e1178e4d1644">
        <w:r>
          <w:rPr>
            <w:rStyle w:val="Hyperlink"/>
          </w:rPr>
          <w:t xml:space="preserve">Conclusiones y Trabajo Futuro</w:t>
        </w:r>
      </w:hyperlink>
    </w:p>
    <w:p>
      <w:pPr>
        <w:pStyle w:val="Compact"/>
        <w:numPr>
          <w:ilvl w:val="0"/>
          <w:numId w:val="1001"/>
        </w:numPr>
      </w:pPr>
      <w:hyperlink w:anchor="Xda009e758d06f152b5fef21e2ebafbae841dd38">
        <w:r>
          <w:rPr>
            <w:rStyle w:val="Hyperlink"/>
          </w:rPr>
          <w:t xml:space="preserve">Referencias Bibliográficas</w:t>
        </w:r>
      </w:hyperlink>
    </w:p>
    <w:p>
      <w:pPr>
        <w:pStyle w:val="Compact"/>
        <w:numPr>
          <w:ilvl w:val="0"/>
          <w:numId w:val="1001"/>
        </w:numPr>
      </w:pPr>
      <w:hyperlink w:anchor="Xf5159e98ca8285787b9acd10f515446ffe11461">
        <w:r>
          <w:rPr>
            <w:rStyle w:val="Hyperlink"/>
          </w:rPr>
          <w:t xml:space="preserve">Anexos</w:t>
        </w:r>
      </w:hyperlink>
    </w:p>
    <w:p>
      <w:r>
        <w:pict>
          <v:rect style="width:0;height:1.5pt" o:hralign="center" o:hrstd="t" o:hr="t"/>
        </w:pict>
      </w:r>
    </w:p>
    <w:bookmarkEnd w:id="11"/>
    <w:bookmarkStart w:id="17" w:name="introducción"/>
    <w:p>
      <w:pPr>
        <w:pStyle w:val="Heading2"/>
        <w:pageBreakBefore/>
      </w:pPr>
      <w:r>
        <w:t xml:space="preserve">1. INTRODUCCIÓN</w:t>
      </w:r>
    </w:p>
    <w:bookmarkStart w:id="12" w:name="contexto-y-motivación"/>
    <w:p>
      <w:pPr>
        <w:pStyle w:val="Heading3"/>
      </w:pPr>
      <w:r>
        <w:t xml:space="preserve">1.1 Contexto y Motivación</w:t>
      </w:r>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bookmarkEnd w:id="12"/>
    <w:bookmarkStart w:id="13" w:name="planteamiento-del-problema"/>
    <w:p>
      <w:pPr>
        <w:pStyle w:val="Heading3"/>
      </w:pPr>
      <w:r>
        <w:t xml:space="preserve">1.2 Planteamiento del Problema</w:t>
      </w:r>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bCs/>
        </w:rPr>
        <w:t xml:space="preserve">Revisión manual:</w:t>
      </w:r>
      <w:r>
        <w:t xml:space="preserve"> </w:t>
      </w:r>
      <w:r>
        <w:t xml:space="preserve">altamente precisa pero no escalable ni rentable.</w:t>
      </w:r>
      <w:r>
        <w:t xml:space="preserve"> </w:t>
      </w:r>
      <w:r>
        <w:t xml:space="preserve">-</w:t>
      </w:r>
      <w:r>
        <w:t xml:space="preserve"> </w:t>
      </w:r>
      <w:r>
        <w:rPr>
          <w:b/>
          <w:bCs/>
        </w:rPr>
        <w:t xml:space="preserve">Sistemas basados en reglas (regex, CRF):</w:t>
      </w:r>
      <w:r>
        <w:t xml:space="preserve"> </w:t>
      </w:r>
      <w:r>
        <w:t xml:space="preserve">frágiles ante variaciones léxicas en español.</w:t>
      </w:r>
      <w:r>
        <w:t xml:space="preserve"> </w:t>
      </w:r>
      <w:r>
        <w:t xml:space="preserve">-</w:t>
      </w:r>
      <w:r>
        <w:t xml:space="preserve"> </w:t>
      </w:r>
      <w:r>
        <w:rPr>
          <w:b/>
          <w:bCs/>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bCs/>
        </w:rPr>
        <w:t xml:space="preserve">Modelos supervisados (BERT-NER):</w:t>
      </w:r>
      <w:r>
        <w:t xml:space="preserve"> </w:t>
      </w:r>
      <w:r>
        <w:t xml:space="preserve">requieren miles de ejemplos etiquetados en dominio específico, inexistentes en español para compliance.</w:t>
      </w:r>
    </w:p>
    <w:bookmarkEnd w:id="13"/>
    <w:bookmarkStart w:id="14" w:name="hipótesis-de-trabajo"/>
    <w:p>
      <w:pPr>
        <w:pStyle w:val="Heading3"/>
      </w:pPr>
      <w:r>
        <w:t xml:space="preserve">1.3 Hipótesis de Trabajo</w:t>
      </w:r>
    </w:p>
    <w:p>
      <w:pPr>
        <w:pStyle w:val="BlockText"/>
      </w:pPr>
      <w:r>
        <w:t>Hipótesis: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bCs/>
        </w:rPr>
        <w:t xml:space="preserve">Variables independientes:</w:t>
      </w:r>
      <w:r>
        <w:t xml:space="preserve"> </w:t>
      </w:r>
      <w:r>
        <w:t xml:space="preserve">(1) Modelo LLM seleccionado; (2) Estrategia de prompt (zero-shot/few-shot, inglés/español).</w:t>
      </w:r>
      <w:r>
        <w:br/>
      </w:r>
      <w:r>
        <w:rPr>
          <w:b/>
          <w:bCs/>
        </w:rPr>
        <w:t xml:space="preserve">Variables dependientes:</w:t>
      </w:r>
      <w:r>
        <w:t xml:space="preserve"> </w:t>
      </w:r>
      <w:r>
        <w:t xml:space="preserve">(1) F1-Score por tipo de entidad; (2) Tasa de alucinaciones; (3) Latencia de procesamiento; (4) Consumo de VRAM.</w:t>
      </w:r>
    </w:p>
    <w:bookmarkEnd w:id="14"/>
    <w:bookmarkStart w:id="15" w:name="objetivos"/>
    <w:p>
      <w:pPr>
        <w:pStyle w:val="Heading3"/>
      </w:pPr>
      <w:r>
        <w:t xml:space="preserve">1.4 Objetivos</w:t>
      </w:r>
    </w:p>
    <w:p>
      <w:pPr>
        <w:pStyle w:val="FirstParagraph"/>
      </w:pPr>
      <w:r>
        <w:rPr>
          <w:b/>
          <w:bCs/>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bCs/>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bookmarkEnd w:id="15"/>
    <w:bookmarkStart w:id="16" w:name="estructura-del-documento"/>
    <w:p>
      <w:pPr>
        <w:pStyle w:val="Heading3"/>
      </w:pPr>
      <w:r>
        <w:t xml:space="preserve">1.5 Estructura del Documento</w:t>
      </w:r>
    </w:p>
    <w:p>
      <w:pPr>
        <w:pStyle w:val="FirstParagraph"/>
      </w:pPr>
      <w:r>
        <w:t>El informe se organiza así: §2 marco teórico y estado del arte; §3 sistema propuesto; §4 diseño experimental; §5 resultados; §6 discusión de los hallazgos; §7 conclusiones y trabajo futuro; §8 referencias; §9 anexos técnicos.</w:t>
      </w:r>
    </w:p>
    <w:p>
      <w:r>
        <w:pict>
          <v:rect style="width:0;height:1.5pt" o:hralign="center" o:hrstd="t" o:hr="t"/>
        </w:pict>
      </w:r>
    </w:p>
    <w:bookmarkEnd w:id="16"/>
    <w:bookmarkEnd w:id="17"/>
    <w:bookmarkStart w:id="23" w:name="marco-teórico-y-estado-del-arte"/>
    <w:p>
      <w:pPr>
        <w:pStyle w:val="Heading2"/>
        <w:pageBreakBefore/>
      </w:pPr>
      <w:r>
        <w:t xml:space="preserve">2. MARCO TEÓRICO Y ESTADO DEL ARTE</w:t>
      </w:r>
    </w:p>
    <w:bookmarkStart w:id="18" w:name="Xbaf7d0158a71eadbdd2338570281c0088ec70a9"/>
    <w:p>
      <w:pPr>
        <w:pStyle w:val="Heading3"/>
      </w:pPr>
      <w:r>
        <w:t xml:space="preserve">2.1 Reconocimiento de Entidades Nombradas (NER)</w:t>
      </w:r>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bCs/>
        </w:rPr>
        <w:t xml:space="preserve">Personas</w:t>
      </w:r>
      <w:r>
        <w:t xml:space="preserve"> </w:t>
      </w:r>
      <w:r>
        <w:t xml:space="preserve">(PER),</w:t>
      </w:r>
      <w:r>
        <w:t xml:space="preserve"> </w:t>
      </w:r>
      <w:r>
        <w:rPr>
          <w:b/>
          <w:bCs/>
        </w:rPr>
        <w:t xml:space="preserve">Organizaciones</w:t>
      </w:r>
      <w:r>
        <w:t xml:space="preserve"> </w:t>
      </w:r>
      <w:r>
        <w:t xml:space="preserve">(ORG) y</w:t>
      </w:r>
      <w:r>
        <w:t xml:space="preserve"> </w:t>
      </w:r>
      <w:r>
        <w:rPr>
          <w:b/>
          <w:bCs/>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Los enfoques históricos para NER incluyen: (1) Modelos estadísticos de Campos Aleatorios Condicionales (CRF) [10]; (2) Modelos neurales BiLSTM-CRF; y (3) Modelos Transformer pre-entrenados como BERT [2].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El estado del arte en NER en español con Transformers alcanza 88–91% de F1 en benchmarks académicos controlados [7], [2].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bookmarkEnd w:id="18"/>
    <w:bookmarkStart w:id="19" w:name="X0ec77da3f5b610a1e61e6cb98a9a1af88350c58"/>
    <w:p>
      <w:pPr>
        <w:pStyle w:val="Heading3"/>
      </w:pPr>
      <w:r>
        <w:t xml:space="preserve">2.2 Modelos de Lenguaje Grande (LLMs) y Aprendizaje en Contexto</w:t>
      </w:r>
    </w:p>
    <w:p>
      <w:pPr>
        <w:pStyle w:val="FirstParagraph"/>
      </w:pPr>
      <w:r>
        <w:t>La arquitectura Transformer [4],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El aprendizaje few-shot [8]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BloombergGPT [3]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bookmarkEnd w:id="19"/>
    <w:bookmarkStart w:id="20" w:name="X5ee5645ea2d07a39fe29a863d970035f5fe8268"/>
    <w:p>
      <w:pPr>
        <w:pStyle w:val="Heading3"/>
      </w:pPr>
      <w:r>
        <w:t xml:space="preserve">2.3 Generación Aumentada por Recuperación (RAG)</w:t>
      </w:r>
    </w:p>
    <w:p>
      <w:pPr>
        <w:pStyle w:val="FirstParagraph"/>
      </w:pPr>
      <w:r>
        <w:t>La Generación Aumentada por Recuperación (RAG) [1] optimiza la salida de un LLM fundamentando la generación en documentos recuperados dinámicamente. En este trabajo se adopta una variante de RAG de "contexto único": cada artículo periodístico actúa como la única fuente de contexto inyectada al LLM en el prompt del sistema, forzando al modelo a extraer entidades únicamente desde el texto presente, mitigando alucinaciones extrínsecas.</w:t>
      </w:r>
    </w:p>
    <w:bookmarkEnd w:id="20"/>
    <w:bookmarkStart w:id="21" w:name="ejecución-soberana-de-llms-con-ollama"/>
    <w:p>
      <w:pPr>
        <w:pStyle w:val="Heading3"/>
      </w:pPr>
      <w:r>
        <w:t xml:space="preserve">2.4 Ejecución Soberana de LLMs con Ollama</w:t>
      </w:r>
    </w:p>
    <w:p>
      <w:pPr>
        <w:pStyle w:val="FirstParagraph"/>
      </w:pPr>
      <w:r>
        <w:t>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y la liberación explícita de memoria GPU al completar cada modelo (keep_alive=0). El footprint operativo varía con el tamaño del modelo: ~7-9 GB para modelos de hasta ~12B (Q4) y hasta ~24,7 GB para gemma4:31b-mlx (pesos ~18,7 GB más KV cache y overhead de inferencia), lo que condiciona el hardware requerido (ver §3.6).</w:t>
      </w:r>
    </w:p>
    <w:bookmarkEnd w:id="21"/>
    <w:bookmarkStart w:id="22" w:name="estado-del-arte-relacionado"/>
    <w:p>
      <w:pPr>
        <w:pStyle w:val="Heading3"/>
      </w:pPr>
      <w:r>
        <w:t xml:space="preserve">2.5 Estado del Arte Relacionado</w:t>
      </w:r>
    </w:p>
    <w:p>
      <w:pPr>
        <w:pStyle w:val="FirstParagraph"/>
      </w:pPr>
      <w:r>
        <w:t xml:space="preserve">La Tabla 1 posiciona este trabajo respecto a investigaciones recientes en NER para dominios financieros y regulatorios:</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left"/>
            </w:pPr>
            <w:r>
              <w:t xml:space="preserve">Trabajo</w:t>
            </w:r>
          </w:p>
        </w:tc>
        <w:tc>
          <w:tcPr/>
          <w:p>
            <w:pPr>
              <w:pStyle w:val="Compact"/>
              <w:jc w:val="left"/>
            </w:pPr>
            <w:r>
              <w:t xml:space="preserve">Dataset</w:t>
            </w:r>
          </w:p>
        </w:tc>
        <w:tc>
          <w:tcPr/>
          <w:p>
            <w:pPr>
              <w:pStyle w:val="Compact"/>
              <w:jc w:val="left"/>
            </w:pPr>
            <w:r>
              <w:t xml:space="preserve">Modelo</w:t>
            </w:r>
          </w:p>
        </w:tc>
        <w:tc>
          <w:tcPr/>
          <w:p>
            <w:pPr>
              <w:pStyle w:val="Compact"/>
              <w:jc w:val="center"/>
            </w:pPr>
            <w:r>
              <w:t xml:space="preserve">F1</w:t>
            </w:r>
          </w:p>
        </w:tc>
        <w:tc>
          <w:tcPr/>
          <w:p>
            <w:pPr>
              <w:pStyle w:val="Compact"/>
              <w:jc w:val="center"/>
            </w:pPr>
            <w:r>
              <w:t xml:space="preserve">Privacidad</w:t>
            </w:r>
          </w:p>
        </w:tc>
        <w:tc>
          <w:tcPr/>
          <w:p>
            <w:pPr>
              <w:pStyle w:val="Compact"/>
              <w:jc w:val="left"/>
            </w:pPr>
            <w:r>
              <w:t xml:space="preserve">Idioma</w:t>
            </w:r>
          </w:p>
        </w:tc>
      </w:tr>
      <w:tr>
        <w:tc>
          <w:tcPr/>
          <w:p>
            <w:pPr>
              <w:pStyle w:val="Compact"/>
              <w:jc w:val="left"/>
            </w:pPr>
            <w:r>
              <w:t>BloombergGPT [3]</w:t>
            </w:r>
          </w:p>
        </w:tc>
        <w:tc>
          <w:tcPr/>
          <w:p>
            <w:pPr>
              <w:pStyle w:val="Compact"/>
              <w:jc w:val="left"/>
            </w:pPr>
            <w:r>
              <w:t xml:space="preserve">Bloomberg corpus</w:t>
            </w:r>
          </w:p>
        </w:tc>
        <w:tc>
          <w:tcPr/>
          <w:p>
            <w:pPr>
              <w:pStyle w:val="Compact"/>
              <w:jc w:val="left"/>
            </w:pPr>
            <w:r>
              <w:t xml:space="preserve">GPT-J + dominio</w:t>
            </w:r>
          </w:p>
        </w:tc>
        <w:tc>
          <w:tcPr/>
          <w:p>
            <w:pPr>
              <w:pStyle w:val="Compact"/>
              <w:jc w:val="center"/>
            </w:pPr>
            <w:r>
              <w:t xml:space="preserve">85%+</w:t>
            </w:r>
          </w:p>
        </w:tc>
        <w:tc>
          <w:tcPr/>
          <w:p>
            <w:pPr>
              <w:pStyle w:val="Compact"/>
              <w:jc w:val="center"/>
            </w:pPr>
            <w:r>
              <w:t xml:space="preserve">❌ Cloud</w:t>
            </w:r>
          </w:p>
        </w:tc>
        <w:tc>
          <w:tcPr/>
          <w:p>
            <w:pPr>
              <w:pStyle w:val="Compact"/>
              <w:jc w:val="left"/>
            </w:pPr>
            <w:r>
              <w:t xml:space="preserve">Inglés</w:t>
            </w:r>
          </w:p>
        </w:tc>
      </w:tr>
      <w:tr>
        <w:tc>
          <w:tcPr/>
          <w:p>
            <w:pPr>
              <w:pStyle w:val="Compact"/>
              <w:jc w:val="left"/>
            </w:pPr>
            <w:r>
              <w:t>FiNER-139 Benchmark [15]</w:t>
            </w:r>
          </w:p>
        </w:tc>
        <w:tc>
          <w:tcPr/>
          <w:p>
            <w:pPr>
              <w:pStyle w:val="Compact"/>
              <w:jc w:val="left"/>
            </w:pPr>
            <w:r>
              <w:t xml:space="preserve">SEC 10-K/10-Q</w:t>
            </w:r>
          </w:p>
        </w:tc>
        <w:tc>
          <w:tcPr/>
          <w:p>
            <w:pPr>
              <w:pStyle w:val="Compact"/>
              <w:jc w:val="left"/>
            </w:pPr>
            <w:r>
              <w:t xml:space="preserve">BERT fine-tuned</w:t>
            </w:r>
          </w:p>
        </w:tc>
        <w:tc>
          <w:tcPr/>
          <w:p>
            <w:pPr>
              <w:pStyle w:val="Compact"/>
              <w:jc w:val="center"/>
            </w:pPr>
            <w:r>
              <w:t xml:space="preserve">91%</w:t>
            </w:r>
          </w:p>
        </w:tc>
        <w:tc>
          <w:tcPr/>
          <w:p>
            <w:pPr>
              <w:pStyle w:val="Compact"/>
              <w:jc w:val="center"/>
            </w:pPr>
            <w:r>
              <w:t xml:space="preserve">❌ Cloud</w:t>
            </w:r>
          </w:p>
        </w:tc>
        <w:tc>
          <w:tcPr/>
          <w:p>
            <w:pPr>
              <w:pStyle w:val="Compact"/>
              <w:jc w:val="left"/>
            </w:pPr>
            <w:r>
              <w:t xml:space="preserve">Inglés</w:t>
            </w:r>
          </w:p>
        </w:tc>
      </w:tr>
      <w:tr>
        <w:tc>
          <w:tcPr/>
          <w:p>
            <w:pPr>
              <w:pStyle w:val="Compact"/>
              <w:jc w:val="left"/>
            </w:pPr>
            <w:r>
              <w:t>García &amp; López [7]</w:t>
            </w:r>
          </w:p>
        </w:tc>
        <w:tc>
          <w:tcPr/>
          <w:p>
            <w:pPr>
              <w:pStyle w:val="Compact"/>
              <w:jc w:val="left"/>
            </w:pPr>
            <w:r>
              <w:t xml:space="preserve">CoNLL-ES</w:t>
            </w:r>
          </w:p>
        </w:tc>
        <w:tc>
          <w:tcPr/>
          <w:p>
            <w:pPr>
              <w:pStyle w:val="Compact"/>
              <w:jc w:val="left"/>
            </w:pPr>
            <w:r>
              <w:t xml:space="preserve">XLM-R</w:t>
            </w:r>
          </w:p>
        </w:tc>
        <w:tc>
          <w:tcPr/>
          <w:p>
            <w:pPr>
              <w:pStyle w:val="Compact"/>
              <w:jc w:val="center"/>
            </w:pPr>
            <w:r>
              <w:t xml:space="preserve">88%</w:t>
            </w:r>
          </w:p>
        </w:tc>
        <w:tc>
          <w:tcPr/>
          <w:p>
            <w:pPr>
              <w:pStyle w:val="Compact"/>
              <w:jc w:val="center"/>
            </w:pPr>
            <w:r>
              <w:t xml:space="preserve">✅ Local</w:t>
            </w:r>
          </w:p>
        </w:tc>
        <w:tc>
          <w:tcPr/>
          <w:p>
            <w:pPr>
              <w:pStyle w:val="Compact"/>
              <w:jc w:val="left"/>
            </w:pPr>
            <w:r>
              <w:t xml:space="preserve">Español</w:t>
            </w:r>
          </w:p>
        </w:tc>
      </w:tr>
      <w:tr>
        <w:tc>
          <w:tcPr/>
          <w:p>
            <w:pPr>
              <w:pStyle w:val="Compact"/>
              <w:jc w:val="left"/>
            </w:pPr>
            <w:r>
              <w:t xml:space="preserve">Chang et al. (2024)</w:t>
            </w:r>
          </w:p>
        </w:tc>
        <w:tc>
          <w:tcPr/>
          <w:p>
            <w:pPr>
              <w:pStyle w:val="Compact"/>
              <w:jc w:val="left"/>
            </w:pPr>
            <w:r>
              <w:t xml:space="preserve">Docs bancarios</w:t>
            </w:r>
          </w:p>
        </w:tc>
        <w:tc>
          <w:tcPr/>
          <w:p>
            <w:pPr>
              <w:pStyle w:val="Compact"/>
              <w:jc w:val="left"/>
            </w:pPr>
            <w:r>
              <w:t xml:space="preserve">GPT-4 + RAG</w:t>
            </w:r>
          </w:p>
        </w:tc>
        <w:tc>
          <w:tcPr/>
          <w:p>
            <w:pPr>
              <w:pStyle w:val="Compact"/>
              <w:jc w:val="center"/>
            </w:pPr>
            <w:r>
              <w:t xml:space="preserve">83%</w:t>
            </w:r>
          </w:p>
        </w:tc>
        <w:tc>
          <w:tcPr/>
          <w:p>
            <w:pPr>
              <w:pStyle w:val="Compact"/>
              <w:jc w:val="center"/>
            </w:pPr>
            <w:r>
              <w:t xml:space="preserve">❌ Cloud</w:t>
            </w:r>
          </w:p>
        </w:tc>
        <w:tc>
          <w:tcPr/>
          <w:p>
            <w:pPr>
              <w:pStyle w:val="Compact"/>
              <w:jc w:val="left"/>
            </w:pPr>
            <w:r>
              <w:t xml:space="preserve">Inglés</w:t>
            </w:r>
          </w:p>
        </w:tc>
      </w:tr>
      <w:tr>
        <w:tc>
          <w:tcPr/>
          <w:p>
            <w:pPr>
              <w:pStyle w:val="Compact"/>
              <w:jc w:val="left"/>
            </w:pPr>
            <w:r>
              <w:rPr>
                <w:b/>
                <w:bCs/>
              </w:rPr>
              <w:t xml:space="preserve">Este trabajo</w:t>
            </w:r>
          </w:p>
        </w:tc>
        <w:tc>
          <w:tcPr/>
          <w:p>
            <w:pPr>
              <w:pStyle w:val="Compact"/>
              <w:jc w:val="left"/>
            </w:pPr>
            <w:r>
              <w:rPr>
                <w:b/>
                <w:bCs/>
              </w:rPr>
              <w:t>Kleptotrace/CoNLL-2002 (AML), corpus sintético N=30</w:t>
            </w:r>
          </w:p>
        </w:tc>
        <w:tc>
          <w:tcPr/>
          <w:p>
            <w:pPr>
              <w:pStyle w:val="Compact"/>
              <w:jc w:val="left"/>
            </w:pPr>
            <w:r>
              <w:rPr>
                <w:b/>
                <w:bCs/>
              </w:rPr>
              <w:t xml:space="preserve">gemma4:31b local</w:t>
            </w:r>
          </w:p>
        </w:tc>
        <w:tc>
          <w:tcPr/>
          <w:p>
            <w:pPr>
              <w:pStyle w:val="Compact"/>
              <w:jc w:val="center"/>
            </w:pPr>
            <w:r>
              <w:rPr>
                <w:b/>
                <w:bCs/>
              </w:rPr>
              <w:t xml:space="preserve">79%</w:t>
            </w:r>
          </w:p>
        </w:tc>
        <w:tc>
          <w:tcPr/>
          <w:p>
            <w:pPr>
              <w:pStyle w:val="Compact"/>
              <w:jc w:val="center"/>
            </w:pPr>
            <w:r>
              <w:rPr>
                <w:b/>
                <w:bCs/>
              </w:rPr>
              <w:t xml:space="preserve">✅ 100% Local</w:t>
            </w:r>
          </w:p>
        </w:tc>
        <w:tc>
          <w:tcPr/>
          <w:p>
            <w:pPr>
              <w:pStyle w:val="Compact"/>
              <w:jc w:val="left"/>
            </w:pPr>
            <w:r>
              <w:rPr>
                <w:b/>
                <w:bCs/>
              </w:rPr>
              <w:t xml:space="preserve">Español</w:t>
            </w:r>
          </w:p>
        </w:tc>
      </w:tr>
    </w:tbl>
    <w:p>
      <w:pPr>
        <w:pStyle w:val="BodyText"/>
      </w:pPr>
      <w:r>
        <w:t>El aporte original de este trabajo reside en: (1) evaluación comparativa de 13 modelos sobre corpus real de sanciones en español; (2) análisis de variantes de prompts entre idiomas (ES vs. EN); (3) sistema soberano reproducible sobre hardware comercial; y (4) validación estadística formal (ANOVA, Tukey HSD) sobre corpus N≥30.</w:t>
      </w:r>
    </w:p>
    <w:p>
      <w:r>
        <w:pict>
          <v:rect style="width:0;height:1.5pt" o:hralign="center" o:hrstd="t" o:hr="t"/>
        </w:pict>
      </w:r>
    </w:p>
    <w:bookmarkEnd w:id="22"/>
    <w:bookmarkEnd w:id="23"/>
    <w:bookmarkStart w:id="30" w:name="descripción-del-sistema-propuesto"/>
    <w:p>
      <w:pPr>
        <w:pStyle w:val="Heading2"/>
        <w:pageBreakBefore/>
      </w:pPr>
      <w:r>
        <w:t xml:space="preserve">3. DESCRIPCIÓN DEL SISTEMA PROPUESTO</w:t>
      </w:r>
    </w:p>
    <w:bookmarkStart w:id="24" w:name="arquitectura-general"/>
    <w:p>
      <w:pPr>
        <w:pStyle w:val="Heading3"/>
      </w:pPr>
      <w:r>
        <w:t xml:space="preserve">3.1 Arquitectura General</w:t>
      </w:r>
    </w:p>
    <w:p>
      <w:pPr>
        <w:pStyle w:val="FirstParagraph"/>
      </w:pPr>
      <w:r>
        <w:t xml:space="preserve">El sistema se estructura en cinco capas funcionales:</w:t>
      </w:r>
    </w:p>
    <w:p>
      <w:pPr>
        <w:pStyle w:val="SourceCode"/>
      </w:pPr>
      <w:r>
        <w:t>La Tabla 1 resume la arquitectura de cinco capas del sistema.</w:t>
      </w:r>
    </w:p>
    <w:tbl>
      <w:tblPr>
        <w:tblW w:type="auto" w:w="0"/>
        <w:jc w:val="center"/>
        <w:tblLayout w:type="autofit"/>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Capa</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Módulo(s)</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Detalle técnico</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Capa de Datos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DataLoader + Validator</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Kleptotrace/CoNLL-2002 JSON → Schema Validation → Records</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Orquestación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main.py + pub_sub.py</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Pub/Sub Queue → AIMD Controller → Batch Mgr</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Proveedores LLM</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Factory / Facade</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OllamaProvider, OpenAIProvider, AnthropicProvider, VertexAIProvider</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4. Evaluación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evaluator.py + stats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F1 / Precision / Recall / ANOVA / Tukey HSD</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5. Visualización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dashboard.py (Streamlit)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7 pestañas: métricas, alucinaciones, ANOVA...</w:t>
            </w:r>
          </w:p>
        </w:tc>
      </w:tr>
    </w:tbl>
    <w:bookmarkEnd w:id="24"/>
    <w:bookmarkStart w:id="25" w:name="Xbe657a41694f9d192ffe8c3197d0f6d2be3297e"/>
    <w:p>
      <w:pPr>
        <w:pStyle w:val="Heading3"/>
      </w:pPr>
      <w:r>
        <w:t xml:space="preserve">3.2 Pipeline Pub/Sub y Control Adaptativo AIMD</w:t>
      </w:r>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bCs/>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bCs/>
        </w:rPr>
        <w:t xml:space="preserve">Decremento multiplicativo:</w:t>
      </w:r>
      <w:r>
        <w:t xml:space="preserve"> </w:t>
      </w:r>
      <w:r>
        <w:t xml:space="preserve">Ante cualquier error de rate-limiting, reduce los workers a la mitad.</w:t>
      </w:r>
      <w:r>
        <w:t xml:space="preserve"> </w:t>
      </w:r>
      <w:r>
        <w:t xml:space="preserve">-</w:t>
      </w:r>
      <w:r>
        <w:t xml:space="preserve"> </w:t>
      </w:r>
      <w:r>
        <w:rPr>
          <w:b/>
          <w:bCs/>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bookmarkEnd w:id="25"/>
    <w:bookmarkStart w:id="26" w:name="capa-factoryfacade-de-proveedores-llm"/>
    <w:p>
      <w:pPr>
        <w:pStyle w:val="Heading3"/>
      </w:pPr>
      <w:r>
        <w:t xml:space="preserve">3.3 Capa Factory/Facade de Proveedores LLM</w:t>
      </w:r>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bookmarkEnd w:id="26"/>
    <w:bookmarkStart w:id="27" w:name="módulo-de-evaluación-estadística"/>
    <w:p>
      <w:pPr>
        <w:pStyle w:val="Heading3"/>
      </w:pPr>
      <w:r>
        <w:t xml:space="preserve">3.4 Módulo de Evaluación Estadística</w:t>
      </w:r>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bCs/>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bCs/>
        </w:rPr>
        <w:t xml:space="preserve">Métricas por registro:</w:t>
      </w:r>
      <w:r>
        <w:t xml:space="preserve"> </w:t>
      </w:r>
      <w:r>
        <w:t xml:space="preserve">Precisión, Recall, F1-Score calculados por artículo y promediados.</w:t>
      </w:r>
      <w:r>
        <w:t xml:space="preserve"> </w:t>
      </w:r>
      <w:r>
        <w:t xml:space="preserve">-</w:t>
      </w:r>
      <w:r>
        <w:t xml:space="preserve"> </w:t>
      </w:r>
      <w:r>
        <w:rPr>
          <w:b/>
          <w:bCs/>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bCs/>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bCs/>
        </w:rPr>
        <w:t xml:space="preserve">Análisis de sensibilidad:</w:t>
      </w:r>
      <w:r>
        <w:t xml:space="preserve"> </w:t>
      </w:r>
      <w:r>
        <w:t xml:space="preserve">Filtrado de outliers por longitud de artículo (&gt; media + σ) y recálculo de métricas.</w:t>
      </w:r>
    </w:p>
    <w:bookmarkEnd w:id="27"/>
    <w:bookmarkStart w:id="28" w:name="dashboard-streamlit"/>
    <w:p>
      <w:pPr>
        <w:pStyle w:val="Heading3"/>
      </w:pPr>
      <w:r>
        <w:t xml:space="preserve">3.5 Dashboard Streamlit</w:t>
      </w:r>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bookmarkEnd w:id="28"/>
    <w:bookmarkStart w:id="29" w:name="gestión-de-vram-en-apple-silicon"/>
    <w:p>
      <w:pPr>
        <w:pStyle w:val="Heading3"/>
      </w:pPr>
      <w:r>
        <w:t xml:space="preserve">3.6 Gestión de VRAM en Apple Silicon</w:t>
      </w:r>
    </w:p>
    <w:p>
      <w:pPr>
        <w:pStyle w:val="FirstParagraph"/>
      </w:pPr>
      <w:r>
        <w:t>Para garantizar la ejecución serial de modelos de gran escala sin desbordamiento de VRAM, se implementó la liberación explícita de pesos de GPU al finalizar cada modelo mediante una llamada a la API de generación de Ollama con keep_alive=0. La ejecución se organizó en dos escalones de hardware según el footprint de memoria. Los modelos de hasta ~12B parámetros (Q4) se ejecutaron en un equipo M4 con 16 GB de memoria unificada: su footprint operativo (~7-9 GB) queda por debajo del techo de VRAM que macOS/Metal asigna a la GPU, equivalente a ~75 % de la memoria unificada (recommendedMaxWorkingSetSize), es decir ~12 GB en un equipo de 16 GB. Los modelos de 31B parámetros (p. ej. gemma4:31b, Q4_K_M/MLX), con footprint operativo ~24,7 GB (pesos ~18,7 GB más KV cache y overhead), exceden ese techo y no pueden cargarse en 16 GB ni siquiera de forma serial con keep_alive=0 —este parámetro evita retener varios modelos a la vez, pero no reduce el footprint de uno solo—; se ejecutaron en un equipo con 48 GB de memoria unificada, cuyo techo de VRAM asignable (~36 GB) aloja el modelo con holgura para el KV cache y el sistema operativo.</w:t>
      </w:r>
    </w:p>
    <w:p>
      <w:r>
        <w:pict>
          <v:rect style="width:0;height:1.5pt" o:hralign="center" o:hrstd="t" o:hr="t"/>
        </w:pict>
      </w:r>
    </w:p>
    <w:bookmarkEnd w:id="29"/>
    <w:bookmarkEnd w:id="30"/>
    <w:bookmarkStart w:id="42" w:name="diseño-experimental"/>
    <w:p>
      <w:pPr>
        <w:pStyle w:val="Heading2"/>
        <w:pageBreakBefore/>
      </w:pPr>
      <w:r>
        <w:t xml:space="preserve">4. DISEÑO EXPERIMENTAL</w:t>
      </w:r>
    </w:p>
    <w:bookmarkStart w:id="33" w:name="corpus-de-evaluación"/>
    <w:p>
      <w:pPr>
        <w:pStyle w:val="Heading3"/>
      </w:pPr>
      <w:r>
        <w:t xml:space="preserve">4.1 Corpus de Evaluación</w:t>
      </w:r>
    </w:p>
    <w:p>
      <w:pPr>
        <w:pStyle w:val="FirstParagraph"/>
      </w:pPr>
      <w:r>
        <w:t xml:space="preserve">Se utilizaron dos corpus complementarios:</w:t>
      </w:r>
    </w:p>
    <w:p>
      <w:pPr>
        <w:pStyle w:val="BodyText"/>
      </w:pPr>
      <w:r>
        <w:rPr>
          <w:b/>
          <w:bCs/>
        </w:rPr>
        <w:t xml:space="preserve">Corpus 1 — Kleptotrace/CoNLL-2002 (N=15, Gold Standard):</w:t>
      </w:r>
      <w:r>
        <w:br/>
      </w:r>
      <w:r>
        <w:t xml:space="preserve">15 artículos periodísticos reales de la plataforma Kleptotrace/CoNLL-2002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bCs/>
        </w:rPr>
        <w:t xml:space="preserve">Corpus 2 — Kleptotrace/CoNLL-2002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bookmarkStart w:id="31" w:name="Xabeef4c9899700b0c950d0712a132346ab53faf"/>
    <w:p>
      <w:pPr>
        <w:pStyle w:val="Heading4"/>
      </w:pPr>
      <w:r>
        <w:t xml:space="preserve">4.1.1 Método de Generación Sintética del Corpus N=30</w:t>
      </w:r>
    </w:p>
    <w:p>
      <w:pPr>
        <w:pStyle w:val="FirstParagraph"/>
      </w:pPr>
      <w:r>
        <w:t xml:space="preserve">Dado que el corpus real Kleptotrace/CoNLL-2002 cuenta con solo 15 artículos (N=15), resulta insuficiente para la aplicación de pruebas estadísticas paramétricas con potencia adecuada. Para subsanar esto se aplicó un método de</w:t>
      </w:r>
      <w:r>
        <w:t xml:space="preserve"> </w:t>
      </w:r>
      <w:r>
        <w:rPr>
          <w:b/>
          <w:bCs/>
        </w:rPr>
        <w:t xml:space="preserve">aumento de datos guiado por LLM</w:t>
      </w:r>
      <w:r>
        <w:t xml:space="preserve"> </w:t>
      </w:r>
      <w:r>
        <w:t xml:space="preserve">(LLM-guided data augmentation), consistente en los siguientes pasos:</w:t>
      </w:r>
    </w:p>
    <w:p>
      <w:pPr>
        <w:pStyle w:val="BodyText"/>
      </w:pPr>
      <w:r>
        <w:rPr>
          <w:b/>
          <w:bCs/>
        </w:rPr>
        <w:t xml:space="preserve">Paso 1 — Definición de la distribución temática:</w:t>
      </w:r>
      <w:r>
        <w:t xml:space="preserve"> </w:t>
      </w:r>
      <w:r>
        <w:t xml:space="preserve">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bCs/>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bCs/>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bookmarkEnd w:id="31"/>
    <w:bookmarkStart w:id="32" w:name="validez-estadística-del-corpus-sintético"/>
    <w:p>
      <w:pPr>
        <w:pStyle w:val="Heading4"/>
      </w:pPr>
      <w:r>
        <w:t xml:space="preserve">4.1.2 Validez Estadística del Corpus Sintético</w:t>
      </w:r>
    </w:p>
    <w:p>
      <w:pPr>
        <w:pStyle w:val="FirstParagraph"/>
      </w:pPr>
      <w:r>
        <w:t>El uso de datos sintéticos generados por LLM para pruebas de hipótesis es válido bajo las siguientes condiciones, todas cumplidas en este estudio:</w:t>
      </w:r>
    </w:p>
    <w:p>
      <w:pPr>
        <w:pStyle w:val="BodyText"/>
      </w:pPr>
      <w:r>
        <w:rPr>
          <w:b/>
          <w:bCs/>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bCs/>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t>c) Validez de constructo del corpus sintético: La validez de los datos sintéticos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[8], [5].</w:t>
      </w:r>
    </w:p>
    <w:p>
      <w:pPr>
        <w:pStyle w:val="BodyText"/>
      </w:pPr>
      <w:r>
        <w:rPr>
          <w:b/>
          <w:bCs/>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bookmarkEnd w:id="32"/>
    <w:bookmarkEnd w:id="33"/>
    <w:bookmarkStart w:id="34" w:name="modelos-evaluados"/>
    <w:p>
      <w:pPr>
        <w:pStyle w:val="Heading4"/>
      </w:pPr>
      <w:r>
        <w:t>4.1.3 Extensión a Corpus Real N=120 (Dataset Conmutable)</w:t>
      </w:r>
    </w:p>
    <w:p>
      <w:pPr>
        <w:pStyle w:val="BodyText"/>
      </w:pPr>
      <w:r>
        <w:t xml:space="preserve">Tras la validación sobre el corpus sintético N=30 (§4.1.1–4.1.2), y como parte del cierre del proyecto (1 de septiembre de 2026, commit 5ff38f5, "integrate balanced real dataset N=120"),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(data/conll2002_es.json, 833 artículos disponibles), generando el archivo data/benchmark_balanced_120.json (N=120, script create_balanced_120.py). A diferencia del corpus N=30, </w:t>
      </w:r>
      <w:r>
        <w:rPr>
          <w:b/>
        </w:rPr>
        <w:t>ningún texto de este corpus fue generado por un LLM</w:t>
      </w:r>
      <w:r>
        <w:t>: los 120 artículos son noticias reales con anotación de entidades real.</w:t>
      </w:r>
    </w:p>
    <w:p>
      <w:pPr>
        <w:pStyle w:val="BodyText"/>
      </w:pPr>
      <w:r>
        <w:t>El corpus sintético N=30 no fue descartado ni reemplazado: el flag --data-file de src/main.py permite ejecutar cualquier corrida indistintamente sobre data/kleptotrace_augmented_30.json (N=30, sintético) o data/benchmark_balanced_120.json (N=120, real), conservando ambos conjuntos de datos y sus resultados en el repositorio. Los resultados sobre N=120 se presentan como complemento — no reemplazo — de la validación estadística de §5.3.</w:t>
      </w:r>
    </w:p>
    <w:p>
      <w:pPr>
        <w:pStyle w:val="Heading3"/>
      </w:pPr>
      <w:r>
        <w:t xml:space="preserve">4.2 Modelos Evaluados</w:t>
      </w:r>
    </w:p>
    <w:p>
      <w:pPr>
        <w:pStyle w:val="FirstParagraph"/>
      </w:pPr>
      <w:r>
        <w:t xml:space="preserve">Se evaluaron 15 modelos LLM generativos distribuidos en tres categorías:</w:t>
      </w:r>
      <w:r>
        <w:t xml:space="preserve"> </w:t>
      </w:r>
      <w:r>
        <w:t xml:space="preserve">-</w:t>
      </w:r>
      <w:r>
        <w:t xml:space="preserve"> </w:t>
      </w:r>
      <w:r>
        <w:rPr>
          <w:b/>
          <w:bCs/>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bCs/>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bCs/>
        </w:rPr>
        <w:t xml:space="preserve">Modelos cloud/híbridos:</w:t>
      </w:r>
      <w:r>
        <w:t xml:space="preserve"> </w:t>
      </w:r>
      <w:r>
        <w:t xml:space="preserve">gemma4:31b-cloud, gemini-3.1-flash-lite.</w:t>
      </w:r>
    </w:p>
    <w:bookmarkEnd w:id="34"/>
    <w:bookmarkStart w:id="39" w:name="X1c9a4ed0b9414b6adf8a9c23f79237e08064cd7"/>
    <w:p>
      <w:pPr>
        <w:pStyle w:val="Heading3"/>
      </w:pPr>
      <w:r>
        <w:t>4.3 Análisis de Variantes de Prompts</w:t>
      </w:r>
    </w:p>
    <w:p>
      <w:pPr>
        <w:pStyle w:val="FirstParagraph"/>
      </w:pPr>
      <w:r>
        <w:t>Se evaluaron cuatro configuraciones de prompt sobre el modelo gemma4:latest (9B). El diseño cruza dos factores —idioma (inglés/español) y estrategia de demostración (sin ejemplos/con ejemplos)—, por lo que constituye un diseño factorial 2×2, procedimiento que la literatura anglosajona de aprendizaje automático denomina ablation study:</w:t>
      </w:r>
    </w:p>
    <w:bookmarkStart w:id="35" w:name="qué-es-el-prompting-few-shot"/>
    <w:p>
      <w:pPr>
        <w:pStyle w:val="Heading4"/>
      </w:pPr>
      <w:r>
        <w:t xml:space="preserve">4.3.1 ¿Qué es el Prompting Few-Shot?</w:t>
      </w:r>
    </w:p>
    <w:p>
      <w:pPr>
        <w:pStyle w:val="FirstParagraph"/>
      </w:pPr>
      <w:r>
        <w:t>El aprendizaje en contexto (in-context learning) es la capacidad de los LLMs de adaptarse a una nueva tarea sin actualizar sus pesos, únicamente a partir de instrucciones y ejemplos incluidos en el texto del prompt. Esta capacidad, documentada por Brown et al. [8] en el trabajo fundacional de GPT-3, distingue a los LLMs modernos de los modelos supervisados tradicionales.</w:t>
      </w:r>
    </w:p>
    <w:p>
      <w:pPr>
        <w:pStyle w:val="BodyText"/>
      </w:pPr>
      <w:r>
        <w:t xml:space="preserve">El prompting</w:t>
      </w:r>
      <w:r>
        <w:t xml:space="preserve"> </w:t>
      </w:r>
      <w:r>
        <w:rPr>
          <w:b/>
          <w:bCs/>
        </w:rPr>
        <w:t xml:space="preserve">few-shot</w:t>
      </w:r>
      <w:r>
        <w:t xml:space="preserve"> </w:t>
      </w:r>
      <w:r>
        <w:t xml:space="preserve">(de pocos disparos) es una variante del aprendizaje en contexto que incluye un número reducido de ejemplos demorativos (</w:t>
      </w:r>
      <w:r>
        <w:rPr>
          <w:i/>
          <w:iCs/>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bCs/>
        </w:rPr>
        <w:t xml:space="preserve">zero-shot</w:t>
      </w:r>
      <w:r>
        <w:t xml:space="preserve"> </w:t>
      </w:r>
      <w:r>
        <w:t xml:space="preserve">no incluye ejemplos: el modelo debe inferir el formato y la estrategia de extracción únicamente desde la instrucción de sistema.</w:t>
      </w:r>
    </w:p>
    <w:bookmarkEnd w:id="35"/>
    <w:bookmarkStart w:id="36" w:name="Xa27114b09eeaec06010b8a27bcf47921d910d41"/>
    <w:p>
      <w:pPr>
        <w:pStyle w:val="Heading4"/>
      </w:pPr>
      <w:r>
        <w:t xml:space="preserve">4.3.2 Mecanismo Cognitivo del Few-Shot Prompting en LLMs</w:t>
      </w:r>
    </w:p>
    <w:p>
      <w:pPr>
        <w:pStyle w:val="FirstParagraph"/>
      </w:pPr>
      <w:r>
        <w:t xml:space="preserve">Los ejemplos few-shot cumplen tres funciones cognitivas en el LLM:</w:t>
      </w:r>
    </w:p>
    <w:p>
      <w:pPr>
        <w:numPr>
          <w:ilvl w:val="0"/>
          <w:numId w:val="1002"/>
        </w:numPr>
      </w:pPr>
      <w:r>
        <w:rPr>
          <w:b/>
          <w:bCs/>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bCs/>
        </w:rPr>
        <w:t xml:space="preserve">Calibración del umbral semántico:</w:t>
      </w:r>
      <w:r>
        <w:t xml:space="preserve"> </w:t>
      </w:r>
      <w:r>
        <w:t xml:space="preserve">Los ejemplos delimitan qué</w:t>
      </w:r>
      <w:r>
        <w:t xml:space="preserve"> </w:t>
      </w:r>
      <w:r>
        <w:rPr>
          <w:i/>
          <w:iCs/>
        </w:rPr>
        <w:t xml:space="preserve">tipo</w:t>
      </w:r>
      <w:r>
        <w:t xml:space="preserve"> </w:t>
      </w:r>
      <w:r>
        <w:t xml:space="preserve">de mención califica como entidad: por ejemplo, solo personas nombradas individualmente (no cargos genéricos como</w:t>
      </w:r>
      <w:r>
        <w:t xml:space="preserve"> </w:t>
      </w:r>
      <w:r>
        <w:t xml:space="preserve">“el presidente”</w:t>
      </w:r>
      <w:r>
        <w:t xml:space="preserve">), y solo organizaciones con nombre propio (no referencias como</w:t>
      </w:r>
      <w:r>
        <w:t xml:space="preserve"> </w:t>
      </w:r>
      <w:r>
        <w:t xml:space="preserve">“la empresa”</w:t>
      </w:r>
      <w:r>
        <w:t xml:space="preserve">). Este criterio no puede especificarse exhautivamente en texto descriptivo, pero se transmite implícitamente mediante 2-3 ejemplos contrastivos.</w:t>
      </w:r>
    </w:p>
    <w:p>
      <w:pPr>
        <w:numPr>
          <w:ilvl w:val="0"/>
          <w:numId w:val="1002"/>
        </w:numPr>
      </w:pPr>
      <w:r>
        <w:rPr>
          <w:b/>
          <w:bCs/>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bookmarkEnd w:id="36"/>
    <w:bookmarkStart w:id="37" w:name="prompts-utilizados-en-este-estudio"/>
    <w:p>
      <w:pPr>
        <w:pStyle w:val="Heading4"/>
      </w:pPr>
      <w:r>
        <w:t xml:space="preserve">4.3.3 Prompts Utilizados en este Estudio</w:t>
      </w:r>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bCs/>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bCs/>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bCs/>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bookmarkEnd w:id="37"/>
    <w:bookmarkStart w:id="38" w:name="Xabdb6ea46ea258e24216cfcf10038634a7f3d13"/>
    <w:p>
      <w:pPr>
        <w:pStyle w:val="Heading4"/>
      </w:pPr>
      <w:r>
        <w:t xml:space="preserve">4.3.4 Impacto Empírico del Few-Shot en este Estudio</w:t>
      </w:r>
    </w:p>
    <w:p>
      <w:pPr>
        <w:pStyle w:val="FirstParagraph"/>
      </w:pPr>
      <w:r>
        <w:t>Los resultados del análisis de variantes de prompts revelan una interacción entre los dos factores: por separado, la localización al español aporta +4.38 pp de F1 y los ejemplos few-shot en inglés no aportan nada (−0.73 pp), pero su combinación alcanza +11.12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bookmarkEnd w:id="38"/>
    <w:bookmarkEnd w:id="39"/>
    <w:bookmarkStart w:id="40" w:name="métricas-de-evaluación"/>
    <w:p>
      <w:pPr>
        <w:pStyle w:val="Heading3"/>
      </w:pPr>
      <w:r>
        <w:t xml:space="preserve">4.4 Métricas de Evaluación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Métrica</w:t>
            </w:r>
          </w:p>
        </w:tc>
        <w:tc>
          <w:tcPr/>
          <w:p>
            <w:pPr>
              <w:pStyle w:val="Compact"/>
              <w:jc w:val="left"/>
            </w:pPr>
            <w:r>
              <w:t xml:space="preserve">Definición</w:t>
            </w:r>
          </w:p>
        </w:tc>
      </w:tr>
      <w:tr>
        <w:tc>
          <w:tcPr/>
          <w:p>
            <w:pPr>
              <w:pStyle w:val="Compact"/>
              <w:jc w:val="left"/>
            </w:pPr>
            <w:r>
              <w:rPr>
                <w:b/>
                <w:bCs/>
              </w:rPr>
              <w:t xml:space="preserve">F1-Score</w:t>
            </w:r>
          </w:p>
        </w:tc>
        <w:tc>
          <w:tcPr/>
          <w:p>
            <w:pPr>
              <w:pStyle w:val="Compact"/>
              <w:jc w:val="left"/>
            </w:pPr>
            <w:r>
              <w:t xml:space="preserve">Media armónica entre Precisión y Recall (métrica principal)</w:t>
            </w:r>
          </w:p>
        </w:tc>
      </w:tr>
      <w:tr>
        <w:tc>
          <w:tcPr/>
          <w:p>
            <w:pPr>
              <w:pStyle w:val="Compact"/>
              <w:jc w:val="left"/>
            </w:pPr>
            <w:r>
              <w:rPr>
                <w:b/>
                <w:bCs/>
              </w:rPr>
              <w:t xml:space="preserve">Precisión</w:t>
            </w:r>
          </w:p>
        </w:tc>
        <w:tc>
          <w:tcPr/>
          <w:p>
            <w:pPr>
              <w:pStyle w:val="Compact"/>
              <w:jc w:val="left"/>
            </w:pPr>
            <w:r>
              <w:t xml:space="preserve">TP / (TP + FP) — Exactitud de las entidades extraídas</w:t>
            </w:r>
          </w:p>
        </w:tc>
      </w:tr>
      <w:tr>
        <w:tc>
          <w:tcPr/>
          <w:p>
            <w:pPr>
              <w:pStyle w:val="Compact"/>
              <w:jc w:val="left"/>
            </w:pPr>
            <w:r>
              <w:rPr>
                <w:b/>
                <w:bCs/>
              </w:rPr>
              <w:t xml:space="preserve">Recall</w:t>
            </w:r>
          </w:p>
        </w:tc>
        <w:tc>
          <w:tcPr/>
          <w:p>
            <w:pPr>
              <w:pStyle w:val="Compact"/>
              <w:jc w:val="left"/>
            </w:pPr>
            <w:r>
              <w:t xml:space="preserve">TP / (TP + FN) — Cobertura de las entidades reales</w:t>
            </w:r>
          </w:p>
        </w:tc>
      </w:tr>
      <w:tr>
        <w:tc>
          <w:tcPr/>
          <w:p>
            <w:pPr>
              <w:pStyle w:val="Compact"/>
              <w:jc w:val="left"/>
            </w:pPr>
            <w:r>
              <w:rPr>
                <w:b/>
                <w:bCs/>
              </w:rPr>
              <w:t xml:space="preserve">Hallucination Rate</w:t>
            </w:r>
          </w:p>
        </w:tc>
        <w:tc>
          <w:tcPr/>
          <w:p>
            <w:pPr>
              <w:pStyle w:val="Compact"/>
              <w:jc w:val="left"/>
            </w:pPr>
            <w:r>
              <w:t xml:space="preserve">Entidades extraídas sin correspondencia en GT / Total extraídas</w:t>
            </w:r>
          </w:p>
        </w:tc>
      </w:tr>
      <w:tr>
        <w:tc>
          <w:tcPr/>
          <w:p>
            <w:pPr>
              <w:pStyle w:val="Compact"/>
              <w:jc w:val="left"/>
            </w:pPr>
            <w:r>
              <w:rPr>
                <w:b/>
                <w:bCs/>
              </w:rPr>
              <w:t xml:space="preserve">Latencia (s)</w:t>
            </w:r>
          </w:p>
        </w:tc>
        <w:tc>
          <w:tcPr/>
          <w:p>
            <w:pPr>
              <w:pStyle w:val="Compact"/>
              <w:jc w:val="left"/>
            </w:pPr>
            <w:r>
              <w:t xml:space="preserve">Tiempo promedio por artículo en segundos</w:t>
            </w:r>
          </w:p>
        </w:tc>
      </w:tr>
      <w:tr>
        <w:tc>
          <w:tcPr/>
          <w:p>
            <w:pPr>
              <w:pStyle w:val="Compact"/>
              <w:jc w:val="left"/>
            </w:pPr>
            <w:r>
              <w:rPr>
                <w:b/>
                <w:bCs/>
              </w:rPr>
              <w:t xml:space="preserve">Índice Tok/s/B</w:t>
            </w:r>
          </w:p>
        </w:tc>
        <w:tc>
          <w:tcPr/>
          <w:p>
            <w:pPr>
              <w:pStyle w:val="Compact"/>
              <w:jc w:val="left"/>
            </w:pPr>
            <w:r>
              <w:t>Tokens por segundo normalizados por cada mil millones (10⁹) de parámetros</w:t>
            </w:r>
          </w:p>
        </w:tc>
      </w:tr>
    </w:tbl>
    <w:bookmarkEnd w:id="40"/>
    <w:bookmarkStart w:id="41" w:name="infraestructura-de-pruebas"/>
    <w:p>
      <w:pPr>
        <w:pStyle w:val="Heading3"/>
      </w:pPr>
      <w:r>
        <w:t xml:space="preserve">4.5 Infraestructura de Pruebas</w:t>
      </w:r>
    </w:p>
    <w:p>
      <w:pPr>
        <w:pStyle w:val="Compact"/>
        <w:numPr>
          <w:ilvl w:val="0"/>
          <w:numId w:val="1003"/>
        </w:numPr>
      </w:pPr>
      <w:r>
        <w:rPr>
          <w:b/>
          <w:bCs/>
        </w:rPr>
        <w:t xml:space="preserve">Hardware:</w:t>
      </w:r>
      <w:r>
        <w:t xml:space="preserve"> </w:t>
      </w:r>
      <w:r>
        <w:t xml:space="preserve">Apple MacBook Pro M4 Max, 16 GB memoria unificada (Metal/MPS).</w:t>
      </w:r>
    </w:p>
    <w:p>
      <w:pPr>
        <w:pStyle w:val="Compact"/>
        <w:numPr>
          <w:ilvl w:val="0"/>
          <w:numId w:val="1003"/>
        </w:numPr>
      </w:pPr>
      <w:r>
        <w:rPr>
          <w:b/>
          <w:bCs/>
        </w:rPr>
        <w:t xml:space="preserve">Software:</w:t>
      </w:r>
      <w:r>
        <w:t xml:space="preserve"> </w:t>
      </w:r>
      <w:r>
        <w:t xml:space="preserve">Python 3.13, Ollama 0.6+, scikit-learn 1.9, statsmodels 0.14, pandas 3.0, Streamlit 1.58.</w:t>
      </w:r>
    </w:p>
    <w:p>
      <w:pPr>
        <w:pStyle w:val="Compact"/>
        <w:numPr>
          <w:ilvl w:val="0"/>
          <w:numId w:val="1003"/>
        </w:numPr>
      </w:pPr>
      <w:r>
        <w:rPr>
          <w:b/>
          <w:bCs/>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bookmarkEnd w:id="41"/>
    <w:bookmarkEnd w:id="42"/>
    <w:bookmarkStart w:id="60" w:name="resultados-experimentales"/>
    <w:p>
      <w:pPr>
        <w:pStyle w:val="Heading2"/>
        <w:pageBreakBefore/>
      </w:pPr>
      <w:r>
        <w:t xml:space="preserve">5. RESULTADOS EXPERIMENTALES</w:t>
      </w:r>
    </w:p>
    <w:bookmarkStart w:id="43" w:name="Xbd0a615019a981f9e2f5f9a599a719ce27ea192"/>
    <w:p>
      <w:pPr>
        <w:pStyle w:val="Heading3"/>
      </w:pPr>
      <w:r>
        <w:t>5.1 Benchmark General — 12 Modelos en 13 Configuraciones sobre Kleptotrace/CoNLL-2002 (N=15)</w:t>
      </w:r>
    </w:p>
    <w:p>
      <w:pPr>
        <w:pStyle w:val="FirstParagraph"/>
      </w:pPr>
      <w:r>
        <w:t>La Tabla 2 presenta los resultados consolidados del benchmark completo agrupados por familia y tamaño de modelo:</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Modelo</w:t>
            </w:r>
          </w:p>
        </w:tc>
        <w:tc>
          <w:tcPr/>
          <w:p>
            <w:pPr>
              <w:pStyle w:val="Compact"/>
              <w:jc w:val="center"/>
            </w:pPr>
            <w:r>
              <w:t xml:space="preserve">Tipo</w:t>
            </w:r>
          </w:p>
        </w:tc>
        <w:tc>
          <w:tcPr/>
          <w:p>
            <w:pPr>
              <w:pStyle w:val="Compact"/>
              <w:jc w:val="center"/>
            </w:pPr>
            <w:r>
              <w:t xml:space="preserve">Parámetros</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Tok/s/B</w:t>
            </w:r>
          </w:p>
        </w:tc>
      </w:tr>
      <w:tr>
        <w:tc>
          <w:tcPr/>
          <w:p>
            <w:pPr>
              <w:pStyle w:val="Compact"/>
              <w:jc w:val="left"/>
            </w:pPr>
            <w:r>
              <w:t>gemma4:latest (FS-ES)</w:t>
            </w:r>
          </w:p>
        </w:tc>
        <w:tc>
          <w:tcPr/>
          <w:p>
            <w:pPr>
              <w:pStyle w:val="Compact"/>
              <w:jc w:val="center"/>
            </w:pPr>
            <w:r>
              <w:t>Local</w:t>
            </w:r>
          </w:p>
        </w:tc>
        <w:tc>
          <w:tcPr/>
          <w:p>
            <w:pPr>
              <w:pStyle w:val="Compact"/>
              <w:jc w:val="center"/>
            </w:pPr>
            <w:r>
              <w:t>9B</w:t>
            </w:r>
          </w:p>
        </w:tc>
        <w:tc>
          <w:tcPr/>
          <w:p>
            <w:pPr>
              <w:pStyle w:val="Compact"/>
              <w:jc w:val="center"/>
            </w:pPr>
            <w:r>
              <w:rPr>
                <w:b/>
              </w:rPr>
              <w:t>74.44%</w:t>
            </w:r>
          </w:p>
        </w:tc>
        <w:tc>
          <w:tcPr/>
          <w:p>
            <w:pPr>
              <w:pStyle w:val="Compact"/>
              <w:jc w:val="center"/>
            </w:pPr>
            <w:r>
              <w:t>66.78%</w:t>
            </w:r>
          </w:p>
        </w:tc>
        <w:tc>
          <w:tcPr/>
          <w:p>
            <w:pPr>
              <w:pStyle w:val="Compact"/>
              <w:jc w:val="center"/>
            </w:pPr>
            <w:r>
              <w:rPr>
                <w:b/>
              </w:rPr>
              <w:t>86.87%</w:t>
            </w:r>
          </w:p>
        </w:tc>
        <w:tc>
          <w:tcPr/>
          <w:p>
            <w:pPr>
              <w:pStyle w:val="Compact"/>
              <w:jc w:val="center"/>
            </w:pPr>
            <w:r>
              <w:t>0.20%</w:t>
            </w:r>
          </w:p>
        </w:tc>
        <w:tc>
          <w:tcPr/>
          <w:p>
            <w:pPr>
              <w:pStyle w:val="Compact"/>
              <w:jc w:val="center"/>
            </w:pPr>
            <w:r>
              <w:t>197.80</w:t>
            </w:r>
          </w:p>
        </w:tc>
        <w:tc>
          <w:tcPr/>
          <w:p>
            <w:pPr>
              <w:pStyle w:val="Compact"/>
              <w:jc w:val="center"/>
            </w:pPr>
            <w:r>
              <w:t>5.33</w:t>
            </w:r>
          </w:p>
        </w:tc>
      </w:tr>
      <w:tr>
        <w:tc>
          <w:tcPr/>
          <w:p>
            <w:pPr>
              <w:pStyle w:val="Compact"/>
              <w:jc w:val="left"/>
            </w:pPr>
            <w:r>
              <w:rPr>
                <w:b/>
              </w:rPr>
              <w:t>gemma4:31b</w:t>
            </w:r>
          </w:p>
        </w:tc>
        <w:tc>
          <w:tcPr/>
          <w:p>
            <w:pPr>
              <w:pStyle w:val="Compact"/>
              <w:jc w:val="center"/>
            </w:pPr>
            <w:r>
              <w:t>Local</w:t>
            </w:r>
          </w:p>
        </w:tc>
        <w:tc>
          <w:tcPr/>
          <w:p>
            <w:pPr>
              <w:pStyle w:val="Compact"/>
              <w:jc w:val="center"/>
            </w:pPr>
            <w:r>
              <w:t>31B</w:t>
            </w:r>
          </w:p>
        </w:tc>
        <w:tc>
          <w:tcPr/>
          <w:p>
            <w:pPr>
              <w:pStyle w:val="Compact"/>
              <w:jc w:val="center"/>
            </w:pPr>
            <w:r>
              <w:t>69.12%</w:t>
            </w:r>
          </w:p>
        </w:tc>
        <w:tc>
          <w:tcPr/>
          <w:p>
            <w:pPr>
              <w:pStyle w:val="Compact"/>
              <w:jc w:val="center"/>
            </w:pPr>
            <w:r>
              <w:t>58.83%</w:t>
            </w:r>
          </w:p>
        </w:tc>
        <w:tc>
          <w:tcPr/>
          <w:p>
            <w:pPr>
              <w:pStyle w:val="Compact"/>
              <w:jc w:val="center"/>
            </w:pPr>
            <w:r>
              <w:t>86.80%</w:t>
            </w:r>
          </w:p>
        </w:tc>
        <w:tc>
          <w:tcPr/>
          <w:p>
            <w:pPr>
              <w:pStyle w:val="Compact"/>
              <w:jc w:val="center"/>
            </w:pPr>
            <w:r>
              <w:t>0.16%</w:t>
            </w:r>
          </w:p>
        </w:tc>
        <w:tc>
          <w:tcPr/>
          <w:p>
            <w:pPr>
              <w:pStyle w:val="Compact"/>
              <w:jc w:val="center"/>
            </w:pPr>
            <w:r>
              <w:t>613.50</w:t>
            </w:r>
          </w:p>
        </w:tc>
        <w:tc>
          <w:tcPr/>
          <w:p>
            <w:pPr>
              <w:pStyle w:val="Compact"/>
              <w:jc w:val="center"/>
            </w:pPr>
            <w:r>
              <w:t>0.33</w:t>
            </w:r>
          </w:p>
        </w:tc>
      </w:tr>
      <w:tr>
        <w:tc>
          <w:tcPr/>
          <w:p>
            <w:pPr>
              <w:pStyle w:val="Compact"/>
              <w:jc w:val="left"/>
            </w:pPr>
            <w:r>
              <w:t>gemma4:31b-mlx</w:t>
            </w:r>
          </w:p>
        </w:tc>
        <w:tc>
          <w:tcPr/>
          <w:p>
            <w:pPr>
              <w:pStyle w:val="Compact"/>
              <w:jc w:val="center"/>
            </w:pPr>
            <w:r>
              <w:t>Local</w:t>
            </w:r>
          </w:p>
        </w:tc>
        <w:tc>
          <w:tcPr/>
          <w:p>
            <w:pPr>
              <w:pStyle w:val="Compact"/>
              <w:jc w:val="center"/>
            </w:pPr>
            <w:r>
              <w:t>31B</w:t>
            </w:r>
          </w:p>
        </w:tc>
        <w:tc>
          <w:tcPr/>
          <w:p>
            <w:pPr>
              <w:pStyle w:val="Compact"/>
              <w:jc w:val="center"/>
            </w:pPr>
            <w:r>
              <w:t>68.52%</w:t>
            </w:r>
          </w:p>
        </w:tc>
        <w:tc>
          <w:tcPr/>
          <w:p>
            <w:pPr>
              <w:pStyle w:val="Compact"/>
              <w:jc w:val="center"/>
            </w:pPr>
            <w:r>
              <w:t>58.31%</w:t>
            </w:r>
          </w:p>
        </w:tc>
        <w:tc>
          <w:tcPr/>
          <w:p>
            <w:pPr>
              <w:pStyle w:val="Compact"/>
              <w:jc w:val="center"/>
            </w:pPr>
            <w:r>
              <w:t>86.76%</w:t>
            </w:r>
          </w:p>
        </w:tc>
        <w:tc>
          <w:tcPr/>
          <w:p>
            <w:pPr>
              <w:pStyle w:val="Compact"/>
              <w:jc w:val="center"/>
            </w:pPr>
            <w:r>
              <w:t>0.00%</w:t>
            </w:r>
          </w:p>
        </w:tc>
        <w:tc>
          <w:tcPr/>
          <w:p>
            <w:pPr>
              <w:pStyle w:val="Compact"/>
              <w:jc w:val="center"/>
            </w:pPr>
            <w:r>
              <w:t>428.80</w:t>
            </w:r>
          </w:p>
        </w:tc>
        <w:tc>
          <w:tcPr/>
          <w:p>
            <w:pPr>
              <w:pStyle w:val="Compact"/>
              <w:jc w:val="center"/>
            </w:pPr>
            <w:r>
              <w:t>0.74</w:t>
            </w:r>
          </w:p>
        </w:tc>
      </w:tr>
      <w:tr>
        <w:tc>
          <w:tcPr/>
          <w:p>
            <w:pPr>
              <w:pStyle w:val="Compact"/>
              <w:jc w:val="left"/>
            </w:pPr>
            <w:r>
              <w:t>gemma4:latest (ZS-ES)</w:t>
            </w:r>
          </w:p>
        </w:tc>
        <w:tc>
          <w:tcPr/>
          <w:p>
            <w:pPr>
              <w:pStyle w:val="Compact"/>
              <w:jc w:val="center"/>
            </w:pPr>
            <w:r>
              <w:t>Local</w:t>
            </w:r>
          </w:p>
        </w:tc>
        <w:tc>
          <w:tcPr/>
          <w:p>
            <w:pPr>
              <w:pStyle w:val="Compact"/>
              <w:jc w:val="center"/>
            </w:pPr>
            <w:r>
              <w:t>9B</w:t>
            </w:r>
          </w:p>
        </w:tc>
        <w:tc>
          <w:tcPr/>
          <w:p>
            <w:pPr>
              <w:pStyle w:val="Compact"/>
              <w:jc w:val="center"/>
            </w:pPr>
            <w:r>
              <w:t>68.43%</w:t>
            </w:r>
          </w:p>
        </w:tc>
        <w:tc>
          <w:tcPr/>
          <w:p>
            <w:pPr>
              <w:pStyle w:val="Compact"/>
              <w:jc w:val="center"/>
            </w:pPr>
            <w:r>
              <w:t>60.68%</w:t>
            </w:r>
          </w:p>
        </w:tc>
        <w:tc>
          <w:tcPr/>
          <w:p>
            <w:pPr>
              <w:pStyle w:val="Compact"/>
              <w:jc w:val="center"/>
            </w:pPr>
            <w:r>
              <w:t>83.49%</w:t>
            </w:r>
          </w:p>
        </w:tc>
        <w:tc>
          <w:tcPr/>
          <w:p>
            <w:pPr>
              <w:pStyle w:val="Compact"/>
              <w:jc w:val="center"/>
            </w:pPr>
            <w:r>
              <w:t>0.20%</w:t>
            </w:r>
          </w:p>
        </w:tc>
        <w:tc>
          <w:tcPr/>
          <w:p>
            <w:pPr>
              <w:pStyle w:val="Compact"/>
              <w:jc w:val="center"/>
            </w:pPr>
            <w:r>
              <w:t>159.90</w:t>
            </w:r>
          </w:p>
        </w:tc>
        <w:tc>
          <w:tcPr/>
          <w:p>
            <w:pPr>
              <w:pStyle w:val="Compact"/>
              <w:jc w:val="center"/>
            </w:pPr>
            <w:r>
              <w:t>5.33</w:t>
            </w:r>
          </w:p>
        </w:tc>
      </w:tr>
      <w:tr>
        <w:tc>
          <w:tcPr/>
          <w:p>
            <w:pPr>
              <w:pStyle w:val="Compact"/>
              <w:jc w:val="left"/>
            </w:pPr>
            <w:r>
              <w:t>gemma4:31b-cloud</w:t>
            </w:r>
          </w:p>
        </w:tc>
        <w:tc>
          <w:tcPr/>
          <w:p>
            <w:pPr>
              <w:pStyle w:val="Compact"/>
              <w:jc w:val="center"/>
            </w:pPr>
            <w:r>
              <w:t>Cloud</w:t>
            </w:r>
          </w:p>
        </w:tc>
        <w:tc>
          <w:tcPr/>
          <w:p>
            <w:pPr>
              <w:pStyle w:val="Compact"/>
              <w:jc w:val="center"/>
            </w:pPr>
            <w:r>
              <w:t>31B</w:t>
            </w:r>
          </w:p>
        </w:tc>
        <w:tc>
          <w:tcPr/>
          <w:p>
            <w:pPr>
              <w:pStyle w:val="Compact"/>
              <w:jc w:val="center"/>
            </w:pPr>
            <w:r>
              <w:t>66.99%</w:t>
            </w:r>
          </w:p>
        </w:tc>
        <w:tc>
          <w:tcPr/>
          <w:p>
            <w:pPr>
              <w:pStyle w:val="Compact"/>
              <w:jc w:val="center"/>
            </w:pPr>
            <w:r>
              <w:t>55.46%</w:t>
            </w:r>
          </w:p>
        </w:tc>
        <w:tc>
          <w:tcPr/>
          <w:p>
            <w:pPr>
              <w:pStyle w:val="Compact"/>
              <w:jc w:val="center"/>
            </w:pPr>
            <w:r>
              <w:t>86.88%</w:t>
            </w:r>
          </w:p>
        </w:tc>
        <w:tc>
          <w:tcPr/>
          <w:p>
            <w:pPr>
              <w:pStyle w:val="Compact"/>
              <w:jc w:val="center"/>
            </w:pPr>
            <w:r>
              <w:t>0.00%</w:t>
            </w:r>
          </w:p>
        </w:tc>
        <w:tc>
          <w:tcPr/>
          <w:p>
            <w:pPr>
              <w:pStyle w:val="Compact"/>
              <w:jc w:val="center"/>
            </w:pPr>
            <w:r>
              <w:t>4.30</w:t>
            </w:r>
          </w:p>
        </w:tc>
        <w:tc>
          <w:tcPr/>
          <w:p>
            <w:pPr>
              <w:pStyle w:val="Compact"/>
              <w:jc w:val="center"/>
            </w:pPr>
            <w:r>
              <w:t>—</w:t>
            </w:r>
          </w:p>
        </w:tc>
      </w:tr>
      <w:tr>
        <w:tc>
          <w:tcPr/>
          <w:p>
            <w:pPr>
              <w:pStyle w:val="Compact"/>
              <w:jc w:val="left"/>
            </w:pPr>
            <w:r>
              <w:t>llama3.2:latest</w:t>
            </w:r>
          </w:p>
        </w:tc>
        <w:tc>
          <w:tcPr/>
          <w:p>
            <w:pPr>
              <w:pStyle w:val="Compact"/>
              <w:jc w:val="center"/>
            </w:pPr>
            <w:r>
              <w:t>Local</w:t>
            </w:r>
          </w:p>
        </w:tc>
        <w:tc>
          <w:tcPr/>
          <w:p>
            <w:pPr>
              <w:pStyle w:val="Compact"/>
              <w:jc w:val="center"/>
            </w:pPr>
            <w:r>
              <w:t>3B</w:t>
            </w:r>
          </w:p>
        </w:tc>
        <w:tc>
          <w:tcPr/>
          <w:p>
            <w:pPr>
              <w:pStyle w:val="Compact"/>
              <w:jc w:val="center"/>
            </w:pPr>
            <w:r>
              <w:t>63.19%</w:t>
            </w:r>
          </w:p>
        </w:tc>
        <w:tc>
          <w:tcPr/>
          <w:p>
            <w:pPr>
              <w:pStyle w:val="Compact"/>
              <w:jc w:val="center"/>
            </w:pPr>
            <w:r>
              <w:t>62.82%</w:t>
            </w:r>
          </w:p>
        </w:tc>
        <w:tc>
          <w:tcPr/>
          <w:p>
            <w:pPr>
              <w:pStyle w:val="Compact"/>
              <w:jc w:val="center"/>
            </w:pPr>
            <w:r>
              <w:t>67.99%</w:t>
            </w:r>
          </w:p>
        </w:tc>
        <w:tc>
          <w:tcPr/>
          <w:p>
            <w:pPr>
              <w:pStyle w:val="Compact"/>
              <w:jc w:val="center"/>
            </w:pPr>
            <w:r>
              <w:t>2.31%</w:t>
            </w:r>
          </w:p>
        </w:tc>
        <w:tc>
          <w:tcPr/>
          <w:p>
            <w:pPr>
              <w:pStyle w:val="Compact"/>
              <w:jc w:val="center"/>
            </w:pPr>
            <w:r>
              <w:t>21.60</w:t>
            </w:r>
          </w:p>
        </w:tc>
        <w:tc>
          <w:tcPr/>
          <w:p>
            <w:pPr>
              <w:pStyle w:val="Compact"/>
              <w:jc w:val="center"/>
            </w:pPr>
            <w:r>
              <w:t>26.44</w:t>
            </w:r>
          </w:p>
        </w:tc>
      </w:tr>
      <w:tr>
        <w:tc>
          <w:tcPr/>
          <w:p>
            <w:pPr>
              <w:pStyle w:val="Compact"/>
              <w:jc w:val="left"/>
            </w:pPr>
            <w:r>
              <w:t>gemma:latest</w:t>
            </w:r>
          </w:p>
        </w:tc>
        <w:tc>
          <w:tcPr/>
          <w:p>
            <w:pPr>
              <w:pStyle w:val="Compact"/>
              <w:jc w:val="center"/>
            </w:pPr>
            <w:r>
              <w:t>Local</w:t>
            </w:r>
          </w:p>
        </w:tc>
        <w:tc>
          <w:tcPr/>
          <w:p>
            <w:pPr>
              <w:pStyle w:val="Compact"/>
              <w:jc w:val="center"/>
            </w:pPr>
            <w:r>
              <w:t>7B</w:t>
            </w:r>
          </w:p>
        </w:tc>
        <w:tc>
          <w:tcPr/>
          <w:p>
            <w:pPr>
              <w:pStyle w:val="Compact"/>
              <w:jc w:val="center"/>
            </w:pPr>
            <w:r>
              <w:t>62.66%</w:t>
            </w:r>
          </w:p>
        </w:tc>
        <w:tc>
          <w:tcPr/>
          <w:p>
            <w:pPr>
              <w:pStyle w:val="Compact"/>
              <w:jc w:val="center"/>
            </w:pPr>
            <w:r>
              <w:t>58.47%</w:t>
            </w:r>
          </w:p>
        </w:tc>
        <w:tc>
          <w:tcPr/>
          <w:p>
            <w:pPr>
              <w:pStyle w:val="Compact"/>
              <w:jc w:val="center"/>
            </w:pPr>
            <w:r>
              <w:t>71.47%</w:t>
            </w:r>
          </w:p>
        </w:tc>
        <w:tc>
          <w:tcPr/>
          <w:p>
            <w:pPr>
              <w:pStyle w:val="Compact"/>
              <w:jc w:val="center"/>
            </w:pPr>
            <w:r>
              <w:t>1.08%</w:t>
            </w:r>
          </w:p>
        </w:tc>
        <w:tc>
          <w:tcPr/>
          <w:p>
            <w:pPr>
              <w:pStyle w:val="Compact"/>
              <w:jc w:val="center"/>
            </w:pPr>
            <w:r>
              <w:t>36.20</w:t>
            </w:r>
          </w:p>
        </w:tc>
        <w:tc>
          <w:tcPr/>
          <w:p>
            <w:pPr>
              <w:pStyle w:val="Compact"/>
              <w:jc w:val="center"/>
            </w:pPr>
            <w:r>
              <w:t>5.17</w:t>
            </w:r>
          </w:p>
        </w:tc>
      </w:tr>
      <w:tr>
        <w:tc>
          <w:tcPr/>
          <w:p>
            <w:pPr>
              <w:pStyle w:val="Compact"/>
              <w:jc w:val="left"/>
            </w:pPr>
            <w:r>
              <w:t>qwen2.5:14b</w:t>
            </w:r>
          </w:p>
        </w:tc>
        <w:tc>
          <w:tcPr/>
          <w:p>
            <w:pPr>
              <w:pStyle w:val="Compact"/>
              <w:jc w:val="center"/>
            </w:pPr>
            <w:r>
              <w:t>Local</w:t>
            </w:r>
          </w:p>
        </w:tc>
        <w:tc>
          <w:tcPr/>
          <w:p>
            <w:pPr>
              <w:pStyle w:val="Compact"/>
              <w:jc w:val="center"/>
            </w:pPr>
            <w:r>
              <w:t>14B</w:t>
            </w:r>
          </w:p>
        </w:tc>
        <w:tc>
          <w:tcPr/>
          <w:p>
            <w:pPr>
              <w:pStyle w:val="Compact"/>
              <w:jc w:val="center"/>
            </w:pPr>
            <w:r>
              <w:t>61.06%</w:t>
            </w:r>
          </w:p>
        </w:tc>
        <w:tc>
          <w:tcPr/>
          <w:p>
            <w:pPr>
              <w:pStyle w:val="Compact"/>
              <w:jc w:val="center"/>
            </w:pPr>
            <w:r>
              <w:t>57.60%</w:t>
            </w:r>
          </w:p>
        </w:tc>
        <w:tc>
          <w:tcPr/>
          <w:p>
            <w:pPr>
              <w:pStyle w:val="Compact"/>
              <w:jc w:val="center"/>
            </w:pPr>
            <w:r>
              <w:t>71.76%</w:t>
            </w:r>
          </w:p>
        </w:tc>
        <w:tc>
          <w:tcPr/>
          <w:p>
            <w:pPr>
              <w:pStyle w:val="Compact"/>
              <w:jc w:val="center"/>
            </w:pPr>
            <w:r>
              <w:t>0.87%</w:t>
            </w:r>
          </w:p>
        </w:tc>
        <w:tc>
          <w:tcPr/>
          <w:p>
            <w:pPr>
              <w:pStyle w:val="Compact"/>
              <w:jc w:val="center"/>
            </w:pPr>
            <w:r>
              <w:t>76.40</w:t>
            </w:r>
          </w:p>
        </w:tc>
        <w:tc>
          <w:tcPr/>
          <w:p>
            <w:pPr>
              <w:pStyle w:val="Compact"/>
              <w:jc w:val="center"/>
            </w:pPr>
            <w:r>
              <w:t>1.57</w:t>
            </w:r>
          </w:p>
        </w:tc>
      </w:tr>
      <w:tr>
        <w:tc>
          <w:tcPr/>
          <w:p>
            <w:pPr>
              <w:pStyle w:val="Compact"/>
              <w:jc w:val="left"/>
            </w:pPr>
            <w:r>
              <w:t>llama3.1:8b</w:t>
            </w:r>
          </w:p>
        </w:tc>
        <w:tc>
          <w:tcPr/>
          <w:p>
            <w:pPr>
              <w:pStyle w:val="Compact"/>
              <w:jc w:val="center"/>
            </w:pPr>
            <w:r>
              <w:t>Local</w:t>
            </w:r>
          </w:p>
        </w:tc>
        <w:tc>
          <w:tcPr/>
          <w:p>
            <w:pPr>
              <w:pStyle w:val="Compact"/>
              <w:jc w:val="center"/>
            </w:pPr>
            <w:r>
              <w:t>8B</w:t>
            </w:r>
          </w:p>
        </w:tc>
        <w:tc>
          <w:tcPr/>
          <w:p>
            <w:pPr>
              <w:pStyle w:val="Compact"/>
              <w:jc w:val="center"/>
            </w:pPr>
            <w:r>
              <w:t>60.72%</w:t>
            </w:r>
          </w:p>
        </w:tc>
        <w:tc>
          <w:tcPr/>
          <w:p>
            <w:pPr>
              <w:pStyle w:val="Compact"/>
              <w:jc w:val="center"/>
            </w:pPr>
            <w:r>
              <w:t>53.70%</w:t>
            </w:r>
          </w:p>
        </w:tc>
        <w:tc>
          <w:tcPr/>
          <w:p>
            <w:pPr>
              <w:pStyle w:val="Compact"/>
              <w:jc w:val="center"/>
            </w:pPr>
            <w:r>
              <w:t>75.80%</w:t>
            </w:r>
          </w:p>
        </w:tc>
        <w:tc>
          <w:tcPr/>
          <w:p>
            <w:pPr>
              <w:pStyle w:val="Compact"/>
              <w:jc w:val="center"/>
            </w:pPr>
            <w:r>
              <w:t>3.39%</w:t>
            </w:r>
          </w:p>
        </w:tc>
        <w:tc>
          <w:tcPr/>
          <w:p>
            <w:pPr>
              <w:pStyle w:val="Compact"/>
              <w:jc w:val="center"/>
            </w:pPr>
            <w:r>
              <w:t>53.50</w:t>
            </w:r>
          </w:p>
        </w:tc>
        <w:tc>
          <w:tcPr/>
          <w:p>
            <w:pPr>
              <w:pStyle w:val="Compact"/>
              <w:jc w:val="center"/>
            </w:pPr>
            <w:r>
              <w:t>5.03</w:t>
            </w:r>
          </w:p>
        </w:tc>
      </w:tr>
      <w:tr>
        <w:tc>
          <w:tcPr/>
          <w:p>
            <w:pPr>
              <w:pStyle w:val="Compact"/>
              <w:jc w:val="left"/>
            </w:pPr>
            <w:r>
              <w:t>qwen3:8b</w:t>
            </w:r>
          </w:p>
        </w:tc>
        <w:tc>
          <w:tcPr/>
          <w:p>
            <w:pPr>
              <w:pStyle w:val="Compact"/>
              <w:jc w:val="center"/>
            </w:pPr>
            <w:r>
              <w:t>Local</w:t>
            </w:r>
          </w:p>
        </w:tc>
        <w:tc>
          <w:tcPr/>
          <w:p>
            <w:pPr>
              <w:pStyle w:val="Compact"/>
              <w:jc w:val="center"/>
            </w:pPr>
            <w:r>
              <w:t>8B</w:t>
            </w:r>
          </w:p>
        </w:tc>
        <w:tc>
          <w:tcPr/>
          <w:p>
            <w:pPr>
              <w:pStyle w:val="Compact"/>
              <w:jc w:val="center"/>
            </w:pPr>
            <w:r>
              <w:t>53.65%</w:t>
            </w:r>
          </w:p>
        </w:tc>
        <w:tc>
          <w:tcPr/>
          <w:p>
            <w:pPr>
              <w:pStyle w:val="Compact"/>
              <w:jc w:val="center"/>
            </w:pPr>
            <w:r>
              <w:t>46.75%</w:t>
            </w:r>
          </w:p>
        </w:tc>
        <w:tc>
          <w:tcPr/>
          <w:p>
            <w:pPr>
              <w:pStyle w:val="Compact"/>
              <w:jc w:val="center"/>
            </w:pPr>
            <w:r>
              <w:t>65.61%</w:t>
            </w:r>
          </w:p>
        </w:tc>
        <w:tc>
          <w:tcPr/>
          <w:p>
            <w:pPr>
              <w:pStyle w:val="Compact"/>
              <w:jc w:val="center"/>
            </w:pPr>
            <w:r>
              <w:t>0.00%</w:t>
            </w:r>
          </w:p>
        </w:tc>
        <w:tc>
          <w:tcPr/>
          <w:p>
            <w:pPr>
              <w:pStyle w:val="Compact"/>
              <w:jc w:val="center"/>
            </w:pPr>
            <w:r>
              <w:t>282.00</w:t>
            </w:r>
          </w:p>
        </w:tc>
        <w:tc>
          <w:tcPr/>
          <w:p>
            <w:pPr>
              <w:pStyle w:val="Compact"/>
              <w:jc w:val="center"/>
            </w:pPr>
            <w:r>
              <w:t>4.56</w:t>
            </w:r>
          </w:p>
        </w:tc>
      </w:tr>
      <w:tr>
        <w:tc>
          <w:tcPr/>
          <w:p>
            <w:pPr>
              <w:pStyle w:val="Compact"/>
              <w:jc w:val="left"/>
            </w:pPr>
            <w:r>
              <w:t>mistral-nemo:latest</w:t>
            </w:r>
          </w:p>
        </w:tc>
        <w:tc>
          <w:tcPr/>
          <w:p>
            <w:pPr>
              <w:pStyle w:val="Compact"/>
              <w:jc w:val="center"/>
            </w:pPr>
            <w:r>
              <w:t>Local</w:t>
            </w:r>
          </w:p>
        </w:tc>
        <w:tc>
          <w:tcPr/>
          <w:p>
            <w:pPr>
              <w:pStyle w:val="Compact"/>
              <w:jc w:val="center"/>
            </w:pPr>
            <w:r>
              <w:t>12B</w:t>
            </w:r>
          </w:p>
        </w:tc>
        <w:tc>
          <w:tcPr/>
          <w:p>
            <w:pPr>
              <w:pStyle w:val="Compact"/>
              <w:jc w:val="center"/>
            </w:pPr>
            <w:r>
              <w:t>53.07%</w:t>
            </w:r>
          </w:p>
        </w:tc>
        <w:tc>
          <w:tcPr/>
          <w:p>
            <w:pPr>
              <w:pStyle w:val="Compact"/>
              <w:jc w:val="center"/>
            </w:pPr>
            <w:r>
              <w:t>58.13%</w:t>
            </w:r>
          </w:p>
        </w:tc>
        <w:tc>
          <w:tcPr/>
          <w:p>
            <w:pPr>
              <w:pStyle w:val="Compact"/>
              <w:jc w:val="center"/>
            </w:pPr>
            <w:r>
              <w:t>56.00%</w:t>
            </w:r>
          </w:p>
        </w:tc>
        <w:tc>
          <w:tcPr/>
          <w:p>
            <w:pPr>
              <w:pStyle w:val="Compact"/>
              <w:jc w:val="center"/>
            </w:pPr>
            <w:r>
              <w:t>0.83%</w:t>
            </w:r>
          </w:p>
        </w:tc>
        <w:tc>
          <w:tcPr/>
          <w:p>
            <w:pPr>
              <w:pStyle w:val="Compact"/>
              <w:jc w:val="center"/>
            </w:pPr>
            <w:r>
              <w:t>53.10</w:t>
            </w:r>
          </w:p>
        </w:tc>
        <w:tc>
          <w:tcPr/>
          <w:p>
            <w:pPr>
              <w:pStyle w:val="Compact"/>
              <w:jc w:val="center"/>
            </w:pPr>
            <w:r>
              <w:t>2.36</w:t>
            </w:r>
          </w:p>
        </w:tc>
      </w:tr>
      <w:tr>
        <w:tc>
          <w:tcPr/>
          <w:p>
            <w:pPr>
              <w:pStyle w:val="Compact"/>
              <w:jc w:val="left"/>
            </w:pPr>
            <w:r>
              <w:t>nemotron-mini:4b</w:t>
            </w:r>
          </w:p>
        </w:tc>
        <w:tc>
          <w:tcPr/>
          <w:p>
            <w:pPr>
              <w:pStyle w:val="Compact"/>
              <w:jc w:val="center"/>
            </w:pPr>
            <w:r>
              <w:t>Local</w:t>
            </w:r>
          </w:p>
        </w:tc>
        <w:tc>
          <w:tcPr/>
          <w:p>
            <w:pPr>
              <w:pStyle w:val="Compact"/>
              <w:jc w:val="center"/>
            </w:pPr>
            <w:r>
              <w:t>4B</w:t>
            </w:r>
          </w:p>
        </w:tc>
        <w:tc>
          <w:tcPr/>
          <w:p>
            <w:pPr>
              <w:pStyle w:val="Compact"/>
              <w:jc w:val="center"/>
            </w:pPr>
            <w:r>
              <w:t>35.33%</w:t>
            </w:r>
          </w:p>
        </w:tc>
        <w:tc>
          <w:tcPr/>
          <w:p>
            <w:pPr>
              <w:pStyle w:val="Compact"/>
              <w:jc w:val="center"/>
            </w:pPr>
            <w:r>
              <w:t>44.37%</w:t>
            </w:r>
          </w:p>
        </w:tc>
        <w:tc>
          <w:tcPr/>
          <w:p>
            <w:pPr>
              <w:pStyle w:val="Compact"/>
              <w:jc w:val="center"/>
            </w:pPr>
            <w:r>
              <w:t>34.92%</w:t>
            </w:r>
          </w:p>
        </w:tc>
        <w:tc>
          <w:tcPr/>
          <w:p>
            <w:pPr>
              <w:pStyle w:val="Compact"/>
              <w:jc w:val="center"/>
            </w:pPr>
            <w:r>
              <w:t>2.62%</w:t>
            </w:r>
          </w:p>
        </w:tc>
        <w:tc>
          <w:tcPr/>
          <w:p>
            <w:pPr>
              <w:pStyle w:val="Compact"/>
              <w:jc w:val="center"/>
            </w:pPr>
            <w:r>
              <w:t>22.20</w:t>
            </w:r>
          </w:p>
        </w:tc>
        <w:tc>
          <w:tcPr/>
          <w:p>
            <w:pPr>
              <w:pStyle w:val="Compact"/>
              <w:jc w:val="center"/>
            </w:pPr>
            <w:r>
              <w:t>17.08</w:t>
            </w:r>
          </w:p>
        </w:tc>
      </w:tr>
      <w:tr>
        <w:tc>
          <w:tcPr/>
          <w:p>
            <w:pPr>
              <w:pStyle w:val="Compact"/>
              <w:jc w:val="left"/>
            </w:pPr>
            <w:r>
              <w:t>deepseek-r1:1.5b</w:t>
            </w:r>
          </w:p>
        </w:tc>
        <w:tc>
          <w:tcPr/>
          <w:p>
            <w:pPr>
              <w:pStyle w:val="Compact"/>
              <w:jc w:val="center"/>
            </w:pPr>
            <w:r>
              <w:t>Local</w:t>
            </w:r>
          </w:p>
        </w:tc>
        <w:tc>
          <w:tcPr/>
          <w:p>
            <w:pPr>
              <w:pStyle w:val="Compact"/>
              <w:jc w:val="center"/>
            </w:pPr>
            <w:r>
              <w:t>1.5B</w:t>
            </w:r>
          </w:p>
        </w:tc>
        <w:tc>
          <w:tcPr/>
          <w:p>
            <w:pPr>
              <w:pStyle w:val="Compact"/>
              <w:jc w:val="center"/>
            </w:pPr>
            <w:r>
              <w:t>27.65%</w:t>
            </w:r>
          </w:p>
        </w:tc>
        <w:tc>
          <w:tcPr/>
          <w:p>
            <w:pPr>
              <w:pStyle w:val="Compact"/>
              <w:jc w:val="center"/>
            </w:pPr>
            <w:r>
              <w:t>39.49%</w:t>
            </w:r>
          </w:p>
        </w:tc>
        <w:tc>
          <w:tcPr/>
          <w:p>
            <w:pPr>
              <w:pStyle w:val="Compact"/>
              <w:jc w:val="center"/>
            </w:pPr>
            <w:r>
              <w:t>25.77%</w:t>
            </w:r>
          </w:p>
        </w:tc>
        <w:tc>
          <w:tcPr/>
          <w:p>
            <w:pPr>
              <w:pStyle w:val="Compact"/>
              <w:jc w:val="center"/>
            </w:pPr>
            <w:r>
              <w:t>1.35%</w:t>
            </w:r>
          </w:p>
        </w:tc>
        <w:tc>
          <w:tcPr/>
          <w:p>
            <w:pPr>
              <w:pStyle w:val="Compact"/>
              <w:jc w:val="center"/>
            </w:pPr>
            <w:r>
              <w:t>41.10</w:t>
            </w:r>
          </w:p>
        </w:tc>
        <w:tc>
          <w:tcPr/>
          <w:p>
            <w:pPr>
              <w:pStyle w:val="Compact"/>
              <w:jc w:val="center"/>
            </w:pPr>
            <w:r>
              <w:t>86.20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bCs/>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bCs/>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bCs/>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bookmarkEnd w:id="43"/>
    <w:bookmarkStart w:id="44" w:name="X88ebb274f290d8d3268085ab54f954376c2c9ba"/>
    <w:p>
      <w:pPr>
        <w:pStyle w:val="Heading3"/>
      </w:pPr>
      <w:r>
        <w:t>5.2 Análisis de Variantes de Prompts (gemma4:latest, N=15)</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Configuración</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Δ vs. Baseline</w:t>
            </w:r>
          </w:p>
        </w:tc>
      </w:tr>
      <w:tr>
        <w:tc>
          <w:tcPr/>
          <w:p>
            <w:pPr>
              <w:pStyle w:val="Compact"/>
              <w:jc w:val="left"/>
            </w:pPr>
            <w:r>
              <w:t>Zero-shot Inglés (Baseline)</w:t>
            </w:r>
          </w:p>
        </w:tc>
        <w:tc>
          <w:tcPr/>
          <w:p>
            <w:pPr>
              <w:pStyle w:val="Compact"/>
              <w:jc w:val="center"/>
            </w:pPr>
            <w:r>
              <w:t>64.05%</w:t>
            </w:r>
          </w:p>
        </w:tc>
        <w:tc>
          <w:tcPr/>
          <w:p>
            <w:pPr>
              <w:pStyle w:val="Compact"/>
              <w:jc w:val="center"/>
            </w:pPr>
            <w:r>
              <w:t>57.69%</w:t>
            </w:r>
          </w:p>
        </w:tc>
        <w:tc>
          <w:tcPr/>
          <w:p>
            <w:pPr>
              <w:pStyle w:val="Compact"/>
              <w:jc w:val="center"/>
            </w:pPr>
            <w:r>
              <w:t>77.17%</w:t>
            </w:r>
          </w:p>
        </w:tc>
        <w:tc>
          <w:tcPr/>
          <w:p>
            <w:pPr>
              <w:pStyle w:val="Compact"/>
              <w:jc w:val="center"/>
            </w:pPr>
            <w:r>
              <w:t>0.20%</w:t>
            </w:r>
          </w:p>
        </w:tc>
        <w:tc>
          <w:tcPr/>
          <w:p>
            <w:pPr>
              <w:pStyle w:val="Compact"/>
              <w:jc w:val="center"/>
            </w:pPr>
            <w:r>
              <w:t>157.90</w:t>
            </w:r>
          </w:p>
        </w:tc>
        <w:tc>
          <w:tcPr/>
          <w:p>
            <w:pPr>
              <w:pStyle w:val="Compact"/>
              <w:jc w:val="center"/>
            </w:pPr>
            <w:r>
              <w:t>—</w:t>
            </w:r>
          </w:p>
        </w:tc>
      </w:tr>
      <w:tr>
        <w:tc>
          <w:tcPr/>
          <w:p>
            <w:pPr>
              <w:pStyle w:val="Compact"/>
              <w:jc w:val="left"/>
            </w:pPr>
            <w:r>
              <w:t>Zero-shot Español</w:t>
            </w:r>
          </w:p>
        </w:tc>
        <w:tc>
          <w:tcPr/>
          <w:p>
            <w:pPr>
              <w:pStyle w:val="Compact"/>
              <w:jc w:val="center"/>
            </w:pPr>
            <w:r>
              <w:t>68.43%</w:t>
            </w:r>
          </w:p>
        </w:tc>
        <w:tc>
          <w:tcPr/>
          <w:p>
            <w:pPr>
              <w:pStyle w:val="Compact"/>
              <w:jc w:val="center"/>
            </w:pPr>
            <w:r>
              <w:t>60.68%</w:t>
            </w:r>
          </w:p>
        </w:tc>
        <w:tc>
          <w:tcPr/>
          <w:p>
            <w:pPr>
              <w:pStyle w:val="Compact"/>
              <w:jc w:val="center"/>
            </w:pPr>
            <w:r>
              <w:t>83.49%</w:t>
            </w:r>
          </w:p>
        </w:tc>
        <w:tc>
          <w:tcPr/>
          <w:p>
            <w:pPr>
              <w:pStyle w:val="Compact"/>
              <w:jc w:val="center"/>
            </w:pPr>
            <w:r>
              <w:t>0.20%</w:t>
            </w:r>
          </w:p>
        </w:tc>
        <w:tc>
          <w:tcPr/>
          <w:p>
            <w:pPr>
              <w:pStyle w:val="Compact"/>
              <w:jc w:val="center"/>
            </w:pPr>
            <w:r>
              <w:t>159.90</w:t>
            </w:r>
          </w:p>
        </w:tc>
        <w:tc>
          <w:tcPr/>
          <w:p>
            <w:pPr>
              <w:pStyle w:val="Compact"/>
              <w:jc w:val="center"/>
            </w:pPr>
            <w:r>
              <w:rPr>
                <w:b/>
              </w:rPr>
              <w:t>+4.38 pp</w:t>
            </w:r>
          </w:p>
        </w:tc>
      </w:tr>
      <w:tr>
        <w:tc>
          <w:tcPr/>
          <w:p>
            <w:pPr>
              <w:pStyle w:val="Compact"/>
              <w:jc w:val="left"/>
            </w:pPr>
            <w:r>
              <w:t>Few-shot Inglés</w:t>
            </w:r>
          </w:p>
        </w:tc>
        <w:tc>
          <w:tcPr/>
          <w:p>
            <w:pPr>
              <w:pStyle w:val="Compact"/>
              <w:jc w:val="center"/>
            </w:pPr>
            <w:r>
              <w:t>63.32%</w:t>
            </w:r>
          </w:p>
        </w:tc>
        <w:tc>
          <w:tcPr/>
          <w:p>
            <w:pPr>
              <w:pStyle w:val="Compact"/>
              <w:jc w:val="center"/>
            </w:pPr>
            <w:r>
              <w:t>55.81%</w:t>
            </w:r>
          </w:p>
        </w:tc>
        <w:tc>
          <w:tcPr/>
          <w:p>
            <w:pPr>
              <w:pStyle w:val="Compact"/>
              <w:jc w:val="center"/>
            </w:pPr>
            <w:r>
              <w:t>75.81%</w:t>
            </w:r>
          </w:p>
        </w:tc>
        <w:tc>
          <w:tcPr/>
          <w:p>
            <w:pPr>
              <w:pStyle w:val="Compact"/>
              <w:jc w:val="center"/>
            </w:pPr>
            <w:r>
              <w:t>0.57%</w:t>
            </w:r>
          </w:p>
        </w:tc>
        <w:tc>
          <w:tcPr/>
          <w:p>
            <w:pPr>
              <w:pStyle w:val="Compact"/>
              <w:jc w:val="center"/>
            </w:pPr>
            <w:r>
              <w:t>203.40</w:t>
            </w:r>
          </w:p>
        </w:tc>
        <w:tc>
          <w:tcPr/>
          <w:p>
            <w:pPr>
              <w:pStyle w:val="Compact"/>
              <w:jc w:val="center"/>
            </w:pPr>
            <w:r>
              <w:t>−0.73 pp</w:t>
            </w:r>
          </w:p>
        </w:tc>
      </w:tr>
      <w:tr>
        <w:tc>
          <w:tcPr/>
          <w:p>
            <w:pPr>
              <w:pStyle w:val="Compact"/>
              <w:jc w:val="left"/>
            </w:pPr>
            <w:r>
              <w:t>Few-shot Español</w:t>
            </w:r>
          </w:p>
        </w:tc>
        <w:tc>
          <w:tcPr/>
          <w:p>
            <w:pPr>
              <w:pStyle w:val="Compact"/>
              <w:jc w:val="center"/>
            </w:pPr>
            <w:r>
              <w:rPr>
                <w:b/>
              </w:rPr>
              <w:t>74.44%</w:t>
            </w:r>
          </w:p>
        </w:tc>
        <w:tc>
          <w:tcPr/>
          <w:p>
            <w:pPr>
              <w:pStyle w:val="Compact"/>
              <w:jc w:val="center"/>
            </w:pPr>
            <w:r>
              <w:rPr>
                <w:b/>
              </w:rPr>
              <w:t>66.78%</w:t>
            </w:r>
          </w:p>
        </w:tc>
        <w:tc>
          <w:tcPr/>
          <w:p>
            <w:pPr>
              <w:pStyle w:val="Compact"/>
              <w:jc w:val="center"/>
            </w:pPr>
            <w:r>
              <w:rPr>
                <w:b/>
              </w:rPr>
              <w:t>86.87%</w:t>
            </w:r>
          </w:p>
        </w:tc>
        <w:tc>
          <w:tcPr/>
          <w:p>
            <w:pPr>
              <w:pStyle w:val="Compact"/>
              <w:jc w:val="center"/>
            </w:pPr>
            <w:r>
              <w:t>0.20%</w:t>
            </w:r>
          </w:p>
        </w:tc>
        <w:tc>
          <w:tcPr/>
          <w:p>
            <w:pPr>
              <w:pStyle w:val="Compact"/>
              <w:jc w:val="center"/>
            </w:pPr>
            <w:r>
              <w:t>197.80</w:t>
            </w:r>
          </w:p>
        </w:tc>
        <w:tc>
          <w:tcPr/>
          <w:p>
            <w:pPr>
              <w:pStyle w:val="Compact"/>
              <w:jc w:val="center"/>
            </w:pPr>
            <w:r>
              <w:rPr>
                <w:b/>
              </w:rPr>
              <w:t>+11.12 pp</w:t>
            </w:r>
          </w:p>
        </w:tc>
      </w:tr>
    </w:tbl>
    <w:p>
      <w:pPr>
        <w:pStyle w:val="BlockText"/>
      </w:pPr>
      <w:r>
        <w:rPr>
          <w:b/>
          <w:bCs/>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bookmarkEnd w:id="44"/>
    <w:bookmarkStart w:id="49" w:name="validación-estadística-sobre-corpus-n30"/>
    <w:p>
      <w:pPr>
        <w:pStyle w:val="Heading3"/>
      </w:pPr>
      <w:r>
        <w:t xml:space="preserve">5.3 Validación Estadística sobre Corpus N=30</w:t>
      </w:r>
    </w:p>
    <w:bookmarkStart w:id="45" w:name="resultados-del-benchmark-serial"/>
    <w:p>
      <w:pPr>
        <w:pStyle w:val="Heading4"/>
      </w:pPr>
      <w:r>
        <w:t xml:space="preserve">5.3.1 Resultados del Benchmark Serial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Modelo</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r>
      <w:tr>
        <w:tc>
          <w:tcPr/>
          <w:p>
            <w:pPr>
              <w:pStyle w:val="Compact"/>
              <w:jc w:val="left"/>
            </w:pPr>
            <w:r>
              <w:rPr>
                <w:b/>
                <w:bCs/>
              </w:rPr>
              <w:t xml:space="preserve">gemma4:31b</w:t>
            </w:r>
          </w:p>
        </w:tc>
        <w:tc>
          <w:tcPr/>
          <w:p>
            <w:pPr>
              <w:pStyle w:val="Compact"/>
              <w:jc w:val="center"/>
            </w:pPr>
            <w:r>
              <w:rPr>
                <w:b/>
                <w:bCs/>
              </w:rPr>
              <w:t xml:space="preserve">79.03%</w:t>
            </w:r>
          </w:p>
        </w:tc>
        <w:tc>
          <w:tcPr/>
          <w:p>
            <w:pPr>
              <w:pStyle w:val="Compact"/>
              <w:jc w:val="center"/>
            </w:pPr>
            <w:r>
              <w:t xml:space="preserve">73.34%</w:t>
            </w:r>
          </w:p>
        </w:tc>
        <w:tc>
          <w:tcPr/>
          <w:p>
            <w:pPr>
              <w:pStyle w:val="Compact"/>
              <w:jc w:val="center"/>
            </w:pPr>
            <w:r>
              <w:t xml:space="preserve">89.11%</w:t>
            </w:r>
          </w:p>
        </w:tc>
        <w:tc>
          <w:tcPr/>
          <w:p>
            <w:pPr>
              <w:pStyle w:val="Compact"/>
              <w:jc w:val="center"/>
            </w:pPr>
            <w:r>
              <w:rPr>
                <w:b/>
                <w:bCs/>
              </w:rPr>
              <w:t xml:space="preserve">0.00%</w:t>
            </w:r>
          </w:p>
        </w:tc>
        <w:tc>
          <w:tcPr/>
          <w:p>
            <w:pPr>
              <w:pStyle w:val="Compact"/>
              <w:jc w:val="center"/>
            </w:pPr>
            <w:r>
              <w:t xml:space="preserve">160.23</w:t>
            </w:r>
          </w:p>
        </w:tc>
      </w:tr>
      <w:tr>
        <w:tc>
          <w:tcPr/>
          <w:p>
            <w:pPr>
              <w:pStyle w:val="Compact"/>
              <w:jc w:val="left"/>
            </w:pPr>
            <w:r>
              <w:t xml:space="preserve">gemma4:31b-mlx</w:t>
            </w:r>
          </w:p>
        </w:tc>
        <w:tc>
          <w:tcPr/>
          <w:p>
            <w:pPr>
              <w:pStyle w:val="Compact"/>
              <w:jc w:val="center"/>
            </w:pPr>
            <w:r>
              <w:t xml:space="preserve">77.47%</w:t>
            </w:r>
          </w:p>
        </w:tc>
        <w:tc>
          <w:tcPr/>
          <w:p>
            <w:pPr>
              <w:pStyle w:val="Compact"/>
              <w:jc w:val="center"/>
            </w:pPr>
            <w:r>
              <w:t xml:space="preserve">73.01%</w:t>
            </w:r>
          </w:p>
        </w:tc>
        <w:tc>
          <w:tcPr/>
          <w:p>
            <w:pPr>
              <w:pStyle w:val="Compact"/>
              <w:jc w:val="center"/>
            </w:pPr>
            <w:r>
              <w:t xml:space="preserve">87.17%</w:t>
            </w:r>
          </w:p>
        </w:tc>
        <w:tc>
          <w:tcPr/>
          <w:p>
            <w:pPr>
              <w:pStyle w:val="Compact"/>
              <w:jc w:val="center"/>
            </w:pPr>
            <w:r>
              <w:t xml:space="preserve">0.00%</w:t>
            </w:r>
          </w:p>
        </w:tc>
        <w:tc>
          <w:tcPr/>
          <w:p>
            <w:pPr>
              <w:pStyle w:val="Compact"/>
              <w:jc w:val="center"/>
            </w:pPr>
            <w:r>
              <w:t xml:space="preserve">163.76</w:t>
            </w:r>
          </w:p>
        </w:tc>
      </w:tr>
    </w:tbl>
    <w:bookmarkEnd w:id="45"/>
    <w:bookmarkStart w:id="46" w:name="anova-de-una-vía-α-0.05"/>
    <w:p>
      <w:pPr>
        <w:pStyle w:val="Heading4"/>
      </w:pPr>
      <w:r>
        <w:t xml:space="preserve">5.3.2 ANOVA de Una Vía (α = 0.05)</w:t>
      </w:r>
    </w:p>
    <w:p>
      <w:pPr>
        <w:pStyle w:val="Compact"/>
        <w:numPr>
          <w:ilvl w:val="0"/>
          <w:numId w:val="1004"/>
        </w:numPr>
      </w:pPr>
      <w:r>
        <w:rPr>
          <w:b/>
          <w:bCs/>
        </w:rPr>
        <w:t xml:space="preserve">F-Statistic:</w:t>
      </w:r>
      <w:r>
        <w:t xml:space="preserve"> </w:t>
      </w:r>
      <w:r>
        <w:t xml:space="preserve">0.141</w:t>
      </w:r>
    </w:p>
    <w:p>
      <w:pPr>
        <w:pStyle w:val="Compact"/>
        <w:numPr>
          <w:ilvl w:val="0"/>
          <w:numId w:val="1004"/>
        </w:numPr>
      </w:pPr>
      <w:r>
        <w:rPr>
          <w:b/>
          <w:bCs/>
        </w:rPr>
        <w:t xml:space="preserve">p-Value:</w:t>
      </w:r>
      <w:r>
        <w:t xml:space="preserve"> </w:t>
      </w:r>
      <w:r>
        <w:t xml:space="preserve">0.708 (p ≥ 0.05 → No se rechaza H₀)</w:t>
      </w:r>
    </w:p>
    <w:p>
      <w:pPr>
        <w:pStyle w:val="Compact"/>
        <w:numPr>
          <w:ilvl w:val="0"/>
          <w:numId w:val="1004"/>
        </w:numPr>
      </w:pPr>
      <w:r>
        <w:rPr>
          <w:b/>
          <w:bCs/>
        </w:rPr>
        <w:t xml:space="preserve">Conclusión:</w:t>
      </w:r>
      <w:r>
        <w:t xml:space="preserve"> </w:t>
      </w:r>
      <w:r>
        <w:t xml:space="preserve">No existe diferencia estadísticamente significativa en los F1-Scores entre los dos modelos evaluados sobre N=30.</w:t>
      </w:r>
    </w:p>
    <w:bookmarkEnd w:id="46"/>
    <w:bookmarkStart w:id="47" w:name="intervalos-de-confianza-al-95"/>
    <w:p>
      <w:pPr>
        <w:pStyle w:val="Heading4"/>
      </w:pPr>
      <w:r>
        <w:t xml:space="preserve">5.3.3 Intervalos de Confianza al 95%</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N</w:t>
            </w:r>
          </w:p>
        </w:tc>
        <w:tc>
          <w:tcPr/>
          <w:p>
            <w:pPr>
              <w:pStyle w:val="Compact"/>
              <w:jc w:val="center"/>
            </w:pPr>
            <w:r>
              <w:t xml:space="preserve">F1 Media</w:t>
            </w:r>
          </w:p>
        </w:tc>
        <w:tc>
          <w:tcPr/>
          <w:p>
            <w:pPr>
              <w:pStyle w:val="Compact"/>
              <w:jc w:val="center"/>
            </w:pPr>
            <w:r>
              <w:t xml:space="preserve">IC 95% Inferior</w:t>
            </w:r>
          </w:p>
        </w:tc>
        <w:tc>
          <w:tcPr/>
          <w:p>
            <w:pPr>
              <w:pStyle w:val="Compact"/>
              <w:jc w:val="center"/>
            </w:pPr>
            <w:r>
              <w:t xml:space="preserve">IC 95% Superior</w:t>
            </w:r>
          </w:p>
        </w:tc>
        <w:tc>
          <w:tcPr/>
          <w:p>
            <w:pPr>
              <w:pStyle w:val="Compact"/>
              <w:jc w:val="center"/>
            </w:pPr>
            <w:r>
              <w:t xml:space="preserve">Desv. Est.</w:t>
            </w:r>
          </w:p>
        </w:tc>
      </w:tr>
      <w:tr>
        <w:tc>
          <w:tcPr/>
          <w:p>
            <w:pPr>
              <w:pStyle w:val="Compact"/>
              <w:jc w:val="left"/>
            </w:pPr>
            <w:r>
              <w:t xml:space="preserve">gemma4:31b</w:t>
            </w:r>
          </w:p>
        </w:tc>
        <w:tc>
          <w:tcPr/>
          <w:p>
            <w:pPr>
              <w:pStyle w:val="Compact"/>
              <w:jc w:val="center"/>
            </w:pPr>
            <w:r>
              <w:t xml:space="preserve">30</w:t>
            </w:r>
          </w:p>
        </w:tc>
        <w:tc>
          <w:tcPr/>
          <w:p>
            <w:pPr>
              <w:pStyle w:val="Compact"/>
              <w:jc w:val="center"/>
            </w:pPr>
            <w:r>
              <w:t xml:space="preserve">0.7903</w:t>
            </w:r>
          </w:p>
        </w:tc>
        <w:tc>
          <w:tcPr/>
          <w:p>
            <w:pPr>
              <w:pStyle w:val="Compact"/>
              <w:jc w:val="center"/>
            </w:pPr>
            <w:r>
              <w:t xml:space="preserve">0.7291</w:t>
            </w:r>
          </w:p>
        </w:tc>
        <w:tc>
          <w:tcPr/>
          <w:p>
            <w:pPr>
              <w:pStyle w:val="Compact"/>
              <w:jc w:val="center"/>
            </w:pPr>
            <w:r>
              <w:t xml:space="preserve">0.8515</w:t>
            </w:r>
          </w:p>
        </w:tc>
        <w:tc>
          <w:tcPr/>
          <w:p>
            <w:pPr>
              <w:pStyle w:val="Compact"/>
              <w:jc w:val="center"/>
            </w:pPr>
            <w:r>
              <w:t xml:space="preserve">0.1640</w:t>
            </w:r>
          </w:p>
        </w:tc>
      </w:tr>
      <w:tr>
        <w:tc>
          <w:tcPr/>
          <w:p>
            <w:pPr>
              <w:pStyle w:val="Compact"/>
              <w:jc w:val="left"/>
            </w:pPr>
            <w:r>
              <w:t xml:space="preserve">gemma4:31b-mlx</w:t>
            </w:r>
          </w:p>
        </w:tc>
        <w:tc>
          <w:tcPr/>
          <w:p>
            <w:pPr>
              <w:pStyle w:val="Compact"/>
              <w:jc w:val="center"/>
            </w:pPr>
            <w:r>
              <w:t xml:space="preserve">30</w:t>
            </w:r>
          </w:p>
        </w:tc>
        <w:tc>
          <w:tcPr/>
          <w:p>
            <w:pPr>
              <w:pStyle w:val="Compact"/>
              <w:jc w:val="center"/>
            </w:pPr>
            <w:r>
              <w:t xml:space="preserve">0.7747</w:t>
            </w:r>
          </w:p>
        </w:tc>
        <w:tc>
          <w:tcPr/>
          <w:p>
            <w:pPr>
              <w:pStyle w:val="Compact"/>
              <w:jc w:val="center"/>
            </w:pPr>
            <w:r>
              <w:t xml:space="preserve">0.7162</w:t>
            </w:r>
          </w:p>
        </w:tc>
        <w:tc>
          <w:tcPr/>
          <w:p>
            <w:pPr>
              <w:pStyle w:val="Compact"/>
              <w:jc w:val="center"/>
            </w:pPr>
            <w:r>
              <w:t xml:space="preserve">0.8332</w:t>
            </w:r>
          </w:p>
        </w:tc>
        <w:tc>
          <w:tcPr/>
          <w:p>
            <w:pPr>
              <w:pStyle w:val="Compact"/>
              <w:jc w:val="center"/>
            </w:pPr>
            <w:r>
              <w:t xml:space="preserve">0.1566</w:t>
            </w:r>
          </w:p>
        </w:tc>
      </w:tr>
    </w:tbl>
    <w:bookmarkEnd w:id="47"/>
    <w:bookmarkStart w:id="48" w:name="análisis-de-sensibilidad-outliers"/>
    <w:p>
      <w:pPr>
        <w:pStyle w:val="Heading4"/>
      </w:pPr>
      <w:r>
        <w:t xml:space="preserve">5.3.4 Análisis de Sensibilidad (Outliers)</w:t>
      </w:r>
    </w:p>
    <w:p>
      <w:pPr>
        <w:pStyle w:val="Compact"/>
        <w:numPr>
          <w:ilvl w:val="0"/>
          <w:numId w:val="1005"/>
        </w:numPr>
      </w:pPr>
      <w:r>
        <w:rPr>
          <w:b/>
          <w:bCs/>
        </w:rPr>
        <w:t xml:space="preserve">Criterio de outlier:</w:t>
      </w:r>
      <w:r>
        <w:t xml:space="preserve"> </w:t>
      </w:r>
      <w:r>
        <w:t xml:space="preserve">Artículos con longitud &gt; 702 caracteres.</w:t>
      </w:r>
    </w:p>
    <w:p>
      <w:pPr>
        <w:pStyle w:val="Compact"/>
        <w:numPr>
          <w:ilvl w:val="0"/>
          <w:numId w:val="1005"/>
        </w:numPr>
      </w:pPr>
      <w:r>
        <w:rPr>
          <w:b/>
          <w:bCs/>
        </w:rPr>
        <w:t xml:space="preserve">Registros outlier identificados:</w:t>
      </w:r>
      <w:r>
        <w:t xml:space="preserve"> </w:t>
      </w:r>
      <w:r>
        <w:t xml:space="preserve">0</w:t>
      </w:r>
    </w:p>
    <w:p>
      <w:pPr>
        <w:pStyle w:val="Compact"/>
        <w:numPr>
          <w:ilvl w:val="0"/>
          <w:numId w:val="1005"/>
        </w:numPr>
      </w:pPr>
      <w:r>
        <w:rPr>
          <w:b/>
          <w:bCs/>
        </w:rPr>
        <w:t xml:space="preserve">F1 estable (no filtrado):</w:t>
      </w:r>
      <w:r>
        <w:t xml:space="preserve"> </w:t>
      </w:r>
      <w:r>
        <w:t xml:space="preserve">gemma4:31b = 0.7903 | gemma4:31b-mlx = 0.7747</w:t>
      </w:r>
    </w:p>
    <w:bookmarkEnd w:id="48"/>
    <w:bookmarkEnd w:id="49"/>
    <w:bookmarkStart w:id="50" w:name="taxonomía-de-errores-ner"/>
    <w:p>
      <w:pPr>
        <w:pStyle w:val="Heading4"/>
      </w:pPr>
      <w:r>
        <w:t>5.3.5 Validación Estadística sobre Corpus Real N=120 (estudio completo)</w:t>
      </w:r>
    </w:p>
    <w:p>
      <w:pPr>
        <w:pStyle w:val="BodyText"/>
      </w:pPr>
      <w:r>
        <w:t xml:space="preserve">Sobre el corpus real N=120 descrito en §4.1.3 se ejecutó el mismo protocolo (ANOVA de una vía + Tukey HSD) para el </w:t>
      </w:r>
      <w:r>
        <w:rPr>
          <w:b/>
        </w:rPr>
        <w:t>estudio completo de 13 modelos</w:t>
      </w:r>
      <w:r>
        <w:t>, cada uno en modo baseline y KB RAG, con N=120 observaciones por grupo (26 grupos, 3 120 observaciones). Resultados consolidados en results/ANALISIS_CONJUNTO_20260907/.</w:t>
      </w:r>
    </w:p>
    <w:tbl>
      <w:tblPr>
        <w:tblStyle w:val="Table"/>
        <w:tblW w:type="pct" w:w="5000"/>
        <w:tblLayout w:type="fixed"/>
        <w:tblLook w:firstRow="1" w:lastRow="0" w:firstColumn="0" w:lastColumn="0" w:noHBand="0" w:noVBand="0" w:val="0020"/>
      </w:tblPr>
      <w:tblGrid>
        <w:gridCol w:w="720"/>
        <w:gridCol w:w="900"/>
        <w:gridCol w:w="900"/>
        <w:gridCol w:w="900"/>
        <w:gridCol w:w="900"/>
      </w:tblGrid>
      <w:tr>
        <w:trPr>
          <w:tblHeader w:val="on"/>
        </w:trPr>
        <w:tc>
          <w:tcPr/>
          <w:p>
            <w:pPr>
              <w:pStyle w:val="Compact"/>
              <w:jc w:val="left"/>
            </w:pPr>
            <w:r>
              <w:t>Modelo</w:t>
            </w:r>
          </w:p>
        </w:tc>
        <w:tc>
          <w:tcPr/>
          <w:p>
            <w:pPr>
              <w:pStyle w:val="Compact"/>
              <w:jc w:val="center"/>
            </w:pPr>
            <w:r>
              <w:t>F1 baseline</w:t>
            </w:r>
          </w:p>
        </w:tc>
        <w:tc>
          <w:tcPr/>
          <w:p>
            <w:pPr>
              <w:pStyle w:val="Compact"/>
              <w:jc w:val="center"/>
            </w:pPr>
            <w:r>
              <w:t>F1 KB RAG</w:t>
            </w:r>
          </w:p>
        </w:tc>
        <w:tc>
          <w:tcPr/>
          <w:p>
            <w:pPr>
              <w:pStyle w:val="Compact"/>
              <w:jc w:val="center"/>
            </w:pPr>
            <w:r>
              <w:t>Δ RAG</w:t>
            </w:r>
          </w:p>
        </w:tc>
        <w:tc>
          <w:tcPr/>
          <w:p>
            <w:pPr>
              <w:pStyle w:val="Compact"/>
              <w:jc w:val="center"/>
            </w:pPr>
            <w:r>
              <w:t>Δ significativo</w:t>
            </w:r>
          </w:p>
        </w:tc>
      </w:tr>
      <w:tr>
        <w:tc>
          <w:tcPr/>
          <w:p>
            <w:pPr>
              <w:pStyle w:val="Compact"/>
              <w:jc w:val="left"/>
            </w:pPr>
            <w:r>
              <w:t>Modelo</w:t>
            </w:r>
          </w:p>
        </w:tc>
        <w:tc>
          <w:tcPr/>
          <w:p>
            <w:pPr>
              <w:pStyle w:val="Compact"/>
              <w:jc w:val="center"/>
            </w:pPr>
            <w:r>
              <w:t>F1 baseline</w:t>
            </w:r>
          </w:p>
        </w:tc>
        <w:tc>
          <w:tcPr/>
          <w:p>
            <w:pPr>
              <w:pStyle w:val="Compact"/>
              <w:jc w:val="center"/>
            </w:pPr>
            <w:r>
              <w:t>F1 KB RAG</w:t>
            </w:r>
          </w:p>
        </w:tc>
        <w:tc>
          <w:tcPr/>
          <w:p>
            <w:pPr>
              <w:pStyle w:val="Compact"/>
              <w:jc w:val="center"/>
            </w:pPr>
            <w:r>
              <w:t>Δ RAG</w:t>
            </w:r>
          </w:p>
        </w:tc>
        <w:tc>
          <w:tcPr/>
          <w:p>
            <w:pPr>
              <w:pStyle w:val="Compact"/>
              <w:jc w:val="center"/>
            </w:pPr>
            <w:r>
              <w:t>Δ significativo</w:t>
            </w:r>
          </w:p>
        </w:tc>
      </w:tr>
      <w:tr>
        <w:tc>
          <w:tcPr/>
          <w:p>
            <w:pPr>
              <w:pStyle w:val="Compact"/>
              <w:jc w:val="left"/>
            </w:pPr>
            <w:r>
              <w:t>gemma4:31b-cloud</w:t>
            </w:r>
          </w:p>
        </w:tc>
        <w:tc>
          <w:tcPr/>
          <w:p>
            <w:pPr>
              <w:pStyle w:val="Compact"/>
              <w:jc w:val="center"/>
            </w:pPr>
            <w:r>
              <w:t>62.38%</w:t>
            </w:r>
          </w:p>
        </w:tc>
        <w:tc>
          <w:tcPr/>
          <w:p>
            <w:pPr>
              <w:pStyle w:val="Compact"/>
              <w:jc w:val="center"/>
            </w:pPr>
            <w:r>
              <w:t>61.85%</w:t>
            </w:r>
          </w:p>
        </w:tc>
        <w:tc>
          <w:tcPr/>
          <w:p>
            <w:pPr>
              <w:pStyle w:val="Compact"/>
              <w:jc w:val="center"/>
            </w:pPr>
            <w:r>
              <w:t>−0.53 pp</w:t>
            </w:r>
          </w:p>
        </w:tc>
        <w:tc>
          <w:tcPr/>
          <w:p>
            <w:pPr>
              <w:pStyle w:val="Compact"/>
              <w:jc w:val="center"/>
            </w:pPr>
            <w:r>
              <w:t>no</w:t>
            </w:r>
          </w:p>
        </w:tc>
      </w:tr>
      <w:tr>
        <w:tc>
          <w:tcPr/>
          <w:p>
            <w:pPr>
              <w:pStyle w:val="Compact"/>
              <w:jc w:val="left"/>
            </w:pPr>
            <w:r>
              <w:t>gemma4:31b-mlx</w:t>
            </w:r>
          </w:p>
        </w:tc>
        <w:tc>
          <w:tcPr/>
          <w:p>
            <w:pPr>
              <w:pStyle w:val="Compact"/>
              <w:jc w:val="center"/>
            </w:pPr>
            <w:r>
              <w:rPr>
                <w:b/>
              </w:rPr>
              <w:t>59.25%</w:t>
            </w:r>
          </w:p>
        </w:tc>
        <w:tc>
          <w:tcPr/>
          <w:p>
            <w:pPr>
              <w:pStyle w:val="Compact"/>
              <w:jc w:val="center"/>
            </w:pPr>
            <w:r>
              <w:t>59.07%</w:t>
            </w:r>
          </w:p>
        </w:tc>
        <w:tc>
          <w:tcPr/>
          <w:p>
            <w:pPr>
              <w:pStyle w:val="Compact"/>
              <w:jc w:val="center"/>
            </w:pPr>
            <w:r>
              <w:t>−0.18 pp</w:t>
            </w:r>
          </w:p>
        </w:tc>
        <w:tc>
          <w:tcPr/>
          <w:p>
            <w:pPr>
              <w:pStyle w:val="Compact"/>
              <w:jc w:val="center"/>
            </w:pPr>
            <w:r>
              <w:t>no</w:t>
            </w:r>
          </w:p>
        </w:tc>
      </w:tr>
      <w:tr>
        <w:tc>
          <w:tcPr/>
          <w:p>
            <w:pPr>
              <w:pStyle w:val="Compact"/>
              <w:jc w:val="left"/>
            </w:pPr>
            <w:r>
              <w:t>gemma4:12b-mlx</w:t>
            </w:r>
          </w:p>
        </w:tc>
        <w:tc>
          <w:tcPr/>
          <w:p>
            <w:pPr>
              <w:pStyle w:val="Compact"/>
              <w:jc w:val="center"/>
            </w:pPr>
            <w:r>
              <w:t>56.18%</w:t>
            </w:r>
          </w:p>
        </w:tc>
        <w:tc>
          <w:tcPr/>
          <w:p>
            <w:pPr>
              <w:pStyle w:val="Compact"/>
              <w:jc w:val="center"/>
            </w:pPr>
            <w:r>
              <w:t>58.46%</w:t>
            </w:r>
          </w:p>
        </w:tc>
        <w:tc>
          <w:tcPr/>
          <w:p>
            <w:pPr>
              <w:pStyle w:val="Compact"/>
              <w:jc w:val="center"/>
            </w:pPr>
            <w:r>
              <w:t>+2.28 pp</w:t>
            </w:r>
          </w:p>
        </w:tc>
        <w:tc>
          <w:tcPr/>
          <w:p>
            <w:pPr>
              <w:pStyle w:val="Compact"/>
              <w:jc w:val="center"/>
            </w:pPr>
            <w:r>
              <w:t>no</w:t>
            </w:r>
          </w:p>
        </w:tc>
      </w:tr>
      <w:tr>
        <w:tc>
          <w:tcPr/>
          <w:p>
            <w:pPr>
              <w:pStyle w:val="Compact"/>
              <w:jc w:val="left"/>
            </w:pPr>
            <w:r>
              <w:t>gemma4:latest</w:t>
            </w:r>
          </w:p>
        </w:tc>
        <w:tc>
          <w:tcPr/>
          <w:p>
            <w:pPr>
              <w:pStyle w:val="Compact"/>
              <w:jc w:val="center"/>
            </w:pPr>
            <w:r>
              <w:t>55.91%</w:t>
            </w:r>
          </w:p>
        </w:tc>
        <w:tc>
          <w:tcPr/>
          <w:p>
            <w:pPr>
              <w:pStyle w:val="Compact"/>
              <w:jc w:val="center"/>
            </w:pPr>
            <w:r>
              <w:t>54.74%</w:t>
            </w:r>
          </w:p>
        </w:tc>
        <w:tc>
          <w:tcPr/>
          <w:p>
            <w:pPr>
              <w:pStyle w:val="Compact"/>
              <w:jc w:val="center"/>
            </w:pPr>
            <w:r>
              <w:t>−1.17 pp</w:t>
            </w:r>
          </w:p>
        </w:tc>
        <w:tc>
          <w:tcPr/>
          <w:p>
            <w:pPr>
              <w:pStyle w:val="Compact"/>
              <w:jc w:val="center"/>
            </w:pPr>
            <w:r>
              <w:t>no</w:t>
            </w:r>
          </w:p>
        </w:tc>
      </w:tr>
      <w:tr>
        <w:tc>
          <w:tcPr/>
          <w:p>
            <w:pPr>
              <w:pStyle w:val="Compact"/>
              <w:jc w:val="left"/>
            </w:pPr>
            <w:r>
              <w:t>qwen2.5:14b</w:t>
            </w:r>
          </w:p>
        </w:tc>
        <w:tc>
          <w:tcPr/>
          <w:p>
            <w:pPr>
              <w:pStyle w:val="Compact"/>
              <w:jc w:val="center"/>
            </w:pPr>
            <w:r>
              <w:t>50.22%</w:t>
            </w:r>
          </w:p>
        </w:tc>
        <w:tc>
          <w:tcPr/>
          <w:p>
            <w:pPr>
              <w:pStyle w:val="Compact"/>
              <w:jc w:val="center"/>
            </w:pPr>
            <w:r>
              <w:t>54.84%</w:t>
            </w:r>
          </w:p>
        </w:tc>
        <w:tc>
          <w:tcPr/>
          <w:p>
            <w:pPr>
              <w:pStyle w:val="Compact"/>
              <w:jc w:val="center"/>
            </w:pPr>
            <w:r>
              <w:t>+4.62 pp</w:t>
            </w:r>
          </w:p>
        </w:tc>
        <w:tc>
          <w:tcPr/>
          <w:p>
            <w:pPr>
              <w:pStyle w:val="Compact"/>
              <w:jc w:val="center"/>
            </w:pPr>
            <w:r>
              <w:t>no</w:t>
            </w:r>
          </w:p>
        </w:tc>
      </w:tr>
      <w:tr>
        <w:tc>
          <w:tcPr/>
          <w:p>
            <w:pPr>
              <w:pStyle w:val="Compact"/>
              <w:jc w:val="left"/>
            </w:pPr>
            <w:r>
              <w:t>llama3.1:8b</w:t>
            </w:r>
          </w:p>
        </w:tc>
        <w:tc>
          <w:tcPr/>
          <w:p>
            <w:pPr>
              <w:pStyle w:val="Compact"/>
              <w:jc w:val="center"/>
            </w:pPr>
            <w:r>
              <w:t>48.76%</w:t>
            </w:r>
          </w:p>
        </w:tc>
        <w:tc>
          <w:tcPr/>
          <w:p>
            <w:pPr>
              <w:pStyle w:val="Compact"/>
              <w:jc w:val="center"/>
            </w:pPr>
            <w:r>
              <w:t>50.75%</w:t>
            </w:r>
          </w:p>
        </w:tc>
        <w:tc>
          <w:tcPr/>
          <w:p>
            <w:pPr>
              <w:pStyle w:val="Compact"/>
              <w:jc w:val="center"/>
            </w:pPr>
            <w:r>
              <w:t>+1.99 pp</w:t>
            </w:r>
          </w:p>
        </w:tc>
        <w:tc>
          <w:tcPr/>
          <w:p>
            <w:pPr>
              <w:pStyle w:val="Compact"/>
              <w:jc w:val="center"/>
            </w:pPr>
            <w:r>
              <w:t>no</w:t>
            </w:r>
          </w:p>
        </w:tc>
      </w:tr>
      <w:tr>
        <w:tc>
          <w:tcPr/>
          <w:p>
            <w:pPr>
              <w:pStyle w:val="Compact"/>
              <w:jc w:val="left"/>
            </w:pPr>
            <w:r>
              <w:t>qwen3:8b</w:t>
            </w:r>
          </w:p>
        </w:tc>
        <w:tc>
          <w:tcPr/>
          <w:p>
            <w:pPr>
              <w:pStyle w:val="Compact"/>
              <w:jc w:val="center"/>
            </w:pPr>
            <w:r>
              <w:t>48.21%</w:t>
            </w:r>
          </w:p>
        </w:tc>
        <w:tc>
          <w:tcPr/>
          <w:p>
            <w:pPr>
              <w:pStyle w:val="Compact"/>
              <w:jc w:val="center"/>
            </w:pPr>
            <w:r>
              <w:t>51.46%</w:t>
            </w:r>
          </w:p>
        </w:tc>
        <w:tc>
          <w:tcPr/>
          <w:p>
            <w:pPr>
              <w:pStyle w:val="Compact"/>
              <w:jc w:val="center"/>
            </w:pPr>
            <w:r>
              <w:t>+3.25 pp</w:t>
            </w:r>
          </w:p>
        </w:tc>
        <w:tc>
          <w:tcPr/>
          <w:p>
            <w:pPr>
              <w:pStyle w:val="Compact"/>
              <w:jc w:val="center"/>
            </w:pPr>
            <w:r>
              <w:t>no</w:t>
            </w:r>
          </w:p>
        </w:tc>
      </w:tr>
      <w:tr>
        <w:tc>
          <w:tcPr/>
          <w:p>
            <w:pPr>
              <w:pStyle w:val="Compact"/>
              <w:jc w:val="left"/>
            </w:pPr>
            <w:r>
              <w:t>gemma:latest</w:t>
            </w:r>
          </w:p>
        </w:tc>
        <w:tc>
          <w:tcPr/>
          <w:p>
            <w:pPr>
              <w:pStyle w:val="Compact"/>
              <w:jc w:val="center"/>
            </w:pPr>
            <w:r>
              <w:t>44.00%</w:t>
            </w:r>
          </w:p>
        </w:tc>
        <w:tc>
          <w:tcPr/>
          <w:p>
            <w:pPr>
              <w:pStyle w:val="Compact"/>
              <w:jc w:val="center"/>
            </w:pPr>
            <w:r>
              <w:t>51.36%</w:t>
            </w:r>
          </w:p>
        </w:tc>
        <w:tc>
          <w:tcPr/>
          <w:p>
            <w:pPr>
              <w:pStyle w:val="Compact"/>
              <w:jc w:val="center"/>
            </w:pPr>
            <w:r>
              <w:t>+7.36 pp</w:t>
            </w:r>
          </w:p>
        </w:tc>
        <w:tc>
          <w:tcPr/>
          <w:p>
            <w:pPr>
              <w:pStyle w:val="Compact"/>
              <w:jc w:val="center"/>
            </w:pPr>
            <w:r>
              <w:t>no</w:t>
            </w:r>
          </w:p>
        </w:tc>
      </w:tr>
      <w:tr>
        <w:tc>
          <w:tcPr/>
          <w:p>
            <w:pPr>
              <w:pStyle w:val="Compact"/>
              <w:jc w:val="left"/>
            </w:pPr>
            <w:r>
              <w:t>gpt-oss:20b</w:t>
            </w:r>
          </w:p>
        </w:tc>
        <w:tc>
          <w:tcPr/>
          <w:p>
            <w:pPr>
              <w:pStyle w:val="Compact"/>
              <w:jc w:val="center"/>
            </w:pPr>
            <w:r>
              <w:t>43.84%</w:t>
            </w:r>
          </w:p>
        </w:tc>
        <w:tc>
          <w:tcPr/>
          <w:p>
            <w:pPr>
              <w:pStyle w:val="Compact"/>
              <w:jc w:val="center"/>
            </w:pPr>
            <w:r>
              <w:t>34.19%</w:t>
            </w:r>
          </w:p>
        </w:tc>
        <w:tc>
          <w:tcPr/>
          <w:p>
            <w:pPr>
              <w:pStyle w:val="Compact"/>
              <w:jc w:val="center"/>
            </w:pPr>
            <w:r>
              <w:t>−9.65 pp</w:t>
            </w:r>
          </w:p>
        </w:tc>
        <w:tc>
          <w:tcPr/>
          <w:p>
            <w:pPr>
              <w:pStyle w:val="Compact"/>
              <w:jc w:val="center"/>
            </w:pPr>
            <w:r>
              <w:t>no</w:t>
            </w:r>
          </w:p>
        </w:tc>
      </w:tr>
      <w:tr>
        <w:tc>
          <w:tcPr/>
          <w:p>
            <w:pPr>
              <w:pStyle w:val="Compact"/>
              <w:jc w:val="left"/>
            </w:pPr>
            <w:r>
              <w:t>mistral-nemo:latest</w:t>
            </w:r>
          </w:p>
        </w:tc>
        <w:tc>
          <w:tcPr/>
          <w:p>
            <w:pPr>
              <w:pStyle w:val="Compact"/>
              <w:jc w:val="center"/>
            </w:pPr>
            <w:r>
              <w:t>43.38%</w:t>
            </w:r>
          </w:p>
        </w:tc>
        <w:tc>
          <w:tcPr/>
          <w:p>
            <w:pPr>
              <w:pStyle w:val="Compact"/>
              <w:jc w:val="center"/>
            </w:pPr>
            <w:r>
              <w:t>45.76%</w:t>
            </w:r>
          </w:p>
        </w:tc>
        <w:tc>
          <w:tcPr/>
          <w:p>
            <w:pPr>
              <w:pStyle w:val="Compact"/>
              <w:jc w:val="center"/>
            </w:pPr>
            <w:r>
              <w:t>+2.37 pp</w:t>
            </w:r>
          </w:p>
        </w:tc>
        <w:tc>
          <w:tcPr/>
          <w:p>
            <w:pPr>
              <w:pStyle w:val="Compact"/>
              <w:jc w:val="center"/>
            </w:pPr>
            <w:r>
              <w:t>no</w:t>
            </w:r>
          </w:p>
        </w:tc>
      </w:tr>
      <w:tr>
        <w:tc>
          <w:tcPr/>
          <w:p>
            <w:pPr>
              <w:pStyle w:val="Compact"/>
              <w:jc w:val="left"/>
            </w:pPr>
            <w:r>
              <w:t>llama3.2:latest</w:t>
            </w:r>
          </w:p>
        </w:tc>
        <w:tc>
          <w:tcPr/>
          <w:p>
            <w:pPr>
              <w:pStyle w:val="Compact"/>
              <w:jc w:val="center"/>
            </w:pPr>
            <w:r>
              <w:t>36.11%</w:t>
            </w:r>
          </w:p>
        </w:tc>
        <w:tc>
          <w:tcPr/>
          <w:p>
            <w:pPr>
              <w:pStyle w:val="Compact"/>
              <w:jc w:val="center"/>
            </w:pPr>
            <w:r>
              <w:t>46.93%</w:t>
            </w:r>
          </w:p>
        </w:tc>
        <w:tc>
          <w:tcPr/>
          <w:p>
            <w:pPr>
              <w:pStyle w:val="Compact"/>
              <w:jc w:val="center"/>
            </w:pPr>
            <w:r>
              <w:rPr>
                <w:b/>
              </w:rPr>
              <w:t>+10.82 pp</w:t>
            </w:r>
          </w:p>
        </w:tc>
        <w:tc>
          <w:tcPr/>
          <w:p>
            <w:pPr>
              <w:pStyle w:val="Compact"/>
              <w:jc w:val="center"/>
            </w:pPr>
            <w:r>
              <w:rPr>
                <w:b/>
              </w:rPr>
              <w:t>sí</w:t>
            </w:r>
            <w:r>
              <w:t xml:space="preserve"> (p=0.014)</w:t>
            </w:r>
          </w:p>
        </w:tc>
      </w:tr>
      <w:tr>
        <w:tc>
          <w:tcPr/>
          <w:p>
            <w:pPr>
              <w:pStyle w:val="Compact"/>
              <w:jc w:val="left"/>
            </w:pPr>
            <w:r>
              <w:t>deepseek-r1:1.5b</w:t>
            </w:r>
          </w:p>
        </w:tc>
        <w:tc>
          <w:tcPr/>
          <w:p>
            <w:pPr>
              <w:pStyle w:val="Compact"/>
              <w:jc w:val="center"/>
            </w:pPr>
            <w:r>
              <w:t>24.83%</w:t>
            </w:r>
          </w:p>
        </w:tc>
        <w:tc>
          <w:tcPr/>
          <w:p>
            <w:pPr>
              <w:pStyle w:val="Compact"/>
              <w:jc w:val="center"/>
            </w:pPr>
            <w:r>
              <w:t>23.94%</w:t>
            </w:r>
          </w:p>
        </w:tc>
        <w:tc>
          <w:tcPr/>
          <w:p>
            <w:pPr>
              <w:pStyle w:val="Compact"/>
              <w:jc w:val="center"/>
            </w:pPr>
            <w:r>
              <w:t>−0.90 pp</w:t>
            </w:r>
          </w:p>
        </w:tc>
        <w:tc>
          <w:tcPr/>
          <w:p>
            <w:pPr>
              <w:pStyle w:val="Compact"/>
              <w:jc w:val="center"/>
            </w:pPr>
            <w:r>
              <w:t>no</w:t>
            </w:r>
          </w:p>
        </w:tc>
      </w:tr>
      <w:tr>
        <w:tc>
          <w:tcPr/>
          <w:p>
            <w:pPr>
              <w:pStyle w:val="Compact"/>
              <w:jc w:val="left"/>
            </w:pPr>
            <w:r>
              <w:t>nemotron-mini:4b</w:t>
            </w:r>
          </w:p>
        </w:tc>
        <w:tc>
          <w:tcPr/>
          <w:p>
            <w:pPr>
              <w:pStyle w:val="Compact"/>
              <w:jc w:val="center"/>
            </w:pPr>
            <w:r>
              <w:t>22.59%</w:t>
            </w:r>
          </w:p>
        </w:tc>
        <w:tc>
          <w:tcPr/>
          <w:p>
            <w:pPr>
              <w:pStyle w:val="Compact"/>
              <w:jc w:val="center"/>
            </w:pPr>
            <w:r>
              <w:t>37.12%</w:t>
            </w:r>
          </w:p>
        </w:tc>
        <w:tc>
          <w:tcPr/>
          <w:p>
            <w:pPr>
              <w:pStyle w:val="Compact"/>
              <w:jc w:val="center"/>
            </w:pPr>
            <w:r>
              <w:rPr>
                <w:b/>
              </w:rPr>
              <w:t>+14.52 pp</w:t>
            </w:r>
          </w:p>
        </w:tc>
        <w:tc>
          <w:tcPr/>
          <w:p>
            <w:pPr>
              <w:pStyle w:val="Compact"/>
              <w:jc w:val="center"/>
            </w:pPr>
            <w:r>
              <w:rPr>
                <w:b/>
              </w:rPr>
              <w:t>sí</w:t>
            </w:r>
            <w:r>
              <w:t xml:space="preserve"> (p&lt;0.001)</w:t>
            </w:r>
          </w:p>
        </w:tc>
      </w:tr>
    </w:tbl>
    <w:p>
      <w:pPr>
        <w:pStyle w:val="BodyText"/>
      </w:pPr>
      <w:r>
        <w:t>ANOVA de una vía (α = 0.05), N=120 por grupo: F-Statistic = 36.3666; p-Value = 1.2236 × 10⁻¹⁵² (p &lt; 0.05 → se rechaza H₀). La diferencia entre modelos/modos es estadísticamente significativa, con una potencia muy superior a la del corpus N=30 (F=0.141, no significativo).</w:t>
      </w:r>
    </w:p>
    <w:p>
      <w:pPr>
        <w:pStyle w:val="BodyText"/>
      </w:pPr>
      <w:r>
        <w:t>Tukey HSD (post-hoc): 172 de 325 comparaciones por pares resultan significativas. Al contrastar baseline contra KB RAG dentro de cada modelo, la mejora solo alcanza significancia en nemotron-mini:4b (+14.52 pp, p&lt;0.001) y llama3.2:latest (+10.82 pp, p=0.014).</w:t>
      </w:r>
    </w:p>
    <w:p>
      <w:pPr>
        <w:pStyle w:val="BodyText"/>
      </w:pPr>
      <w:r>
        <w:rPr>
          <w:b/>
        </w:rPr>
        <w:t>Interpretación.</w:t>
      </w:r>
      <w:r>
        <w:t xml:space="preserve"> El beneficio del KB RAG es </w:t>
      </w:r>
      <w:r>
        <w:rPr>
          <w:b/>
        </w:rPr>
        <w:t>inversamente proporcional a la capacidad del modelo</w:t>
      </w:r>
      <w:r>
        <w:t>: aporta de forma estadísticamente significativa en los dos modelos más débiles del estudio, es positivo pero no concluyente en la franja intermedia, y resulta nulo o adverso en los modelos de mayor capacidad (−0.53 pp y −0.18 pp en los dos de 31B), que ya siguen correctamente las instrucciones sin contexto adicional. El caso de gpt-oss:20b (−9.65 pp) es distinto y se discute en §6.</w:t>
      </w:r>
    </w:p>
    <w:p>
      <w:pPr>
        <w:pStyle w:val="BodyText"/>
      </w:pPr>
      <w:r>
        <w:rPr>
          <w:b/>
        </w:rPr>
        <w:t>Lectura conjunta con el corpus N=30 (§5.3.1–5.3.4):</w:t>
      </w:r>
      <w:r>
        <w:t xml:space="preserve"> el mejor F1 local sobre N=120 (gemma4:31b-mlx: 59.25%) es menor que el de N=30 (gemma4:31b: 79.03%),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pStyle w:val="BodyText"/>
      </w:pPr>
      <w:r>
        <w:rPr>
          <w:b/>
        </w:rPr>
        <w:t>Limitación del corpus N=120 — codificación defectuosa de los nombres.</w:t>
      </w:r>
      <w:r>
        <w:t xml:space="preserve"> El corpus data/benchmark_balanced_120.json almacena los nombres con mojibake (bytes UTF-8 reinterpretados como Latin-1): guarda JosÃ© Bono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+0.091</w:t>
      </w:r>
      <w:r>
        <w:t xml:space="preserve"> según el modelo. Los corpus N=15 y N=30 están </w:t>
      </w:r>
      <w:r>
        <w:rPr>
          <w:b/>
        </w:rPr>
        <w:t>libres de este defecto</w:t>
      </w:r>
      <w:r>
        <w:t xml:space="preserve"> (0 entidades afectadas), por lo que §5.1, §5.2 y §5.3.1–5.3.4 no se ven comprometidos. La corrección adecuada —normalizar la codificación </w:t>
      </w:r>
      <w:r>
        <w:rPr>
          <w:b/>
        </w:rPr>
        <w:t>en ambos lados</w:t>
      </w:r>
      <w:r>
        <w:t xml:space="preserve"> de la comparación— exige volver a inferir, ya que las extracciones por registro no se conservaron. </w:t>
      </w:r>
      <w:r>
        <w:rPr>
          <w:b/>
        </w:rPr>
        <w:t>Dos salvedades de procedencia.</w:t>
      </w:r>
      <w:r>
        <w:t xml:space="preserve"> (i) La latencia de gemma4:31b-cloud </w:t>
      </w:r>
      <w:r>
        <w:rPr>
          <w:b/>
        </w:rPr>
        <w:t>no mide inferencia</w:t>
      </w:r>
      <w:r>
        <w:t>: quedó cuantizada por el --request-delay introducido para sortear el límite de peticiones del servicio (114 de sus 240 filas registran exactamente 1,02 s). Su F1 es válido; su latencia y sus tokens/s no deben usarse en comparaciones de eficiencia. (ii) Siete filas de nemotron-mini:4b tienen latencia = 0 y 0 tokens/s porque se re-extrajeron fuera del arnés de lotes tras un fallo de contexto; sus valores de precisión, recall y F1 son reales, pero su telemetría no existe.</w:t>
      </w:r>
    </w:p>
    <w:p>
      <w:pPr>
        <w:pStyle w:val="BodyText"/>
      </w:pPr>
      <w:r>
        <w:rPr>
          <w:b/>
        </w:rPr>
        <w:t>Dos salvedades de procedencia.</w:t>
      </w:r>
      <w:r>
        <w:t xml:space="preserve"> (i) La latencia de gemma4:31b-cloud </w:t>
      </w:r>
      <w:r>
        <w:rPr>
          <w:b/>
        </w:rPr>
        <w:t>no mide inferencia</w:t>
      </w:r>
      <w:r>
        <w:t>: quedó cuantizada por el --request-delay introducido para sortear el límite de peticiones del servicio (114 de sus 240 filas registran exactamente 1,02 s). Su F1 es válido; su latencia y sus tokens/s no deben usarse en comparaciones de eficiencia. (ii) Siete filas de nemotron-mini:4b tienen latencia = 0 y 0 tokens/s porque se re-extrajeron fuera del arnés de lotes tras un fallo de contexto; sus valores de precisión, recall y F1 son reales, pero su telemetría no existe.</w:t>
      </w:r>
    </w:p>
    <w:p>
      <w:pPr>
        <w:pStyle w:val="Heading3"/>
      </w:pPr>
      <w:r>
        <w:t xml:space="preserve">5.4 Taxonomía de Errores NER</w:t>
      </w:r>
    </w:p>
    <w:p>
      <w:pPr>
        <w:pStyle w:val="FirstParagraph"/>
      </w:pPr>
      <w:r>
        <w:t xml:space="preserve">El análisis cualitativo de las extracciones identifica tres categorías de error recurrentes:</w:t>
      </w:r>
    </w:p>
    <w:p>
      <w:pPr>
        <w:numPr>
          <w:ilvl w:val="0"/>
          <w:numId w:val="1006"/>
        </w:numPr>
      </w:pPr>
      <w:r>
        <w:rPr>
          <w:b/>
          <w:bCs/>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bCs/>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bCs/>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bookmarkEnd w:id="50"/>
    <w:bookmarkStart w:id="51" w:name="Xf604ae9989c513fdfed822d1fc18083fd6ae7b9"/>
    <w:p>
      <w:pPr>
        <w:pStyle w:val="Heading3"/>
      </w:pPr>
      <w:r>
        <w:t xml:space="preserve">5.5 Análisis de Eficiencia en Hardware Soberano</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VRAM (MB)</w:t>
            </w:r>
          </w:p>
        </w:tc>
        <w:tc>
          <w:tcPr/>
          <w:p>
            <w:pPr>
              <w:pStyle w:val="Compact"/>
              <w:jc w:val="center"/>
            </w:pPr>
            <w:r>
              <w:t xml:space="preserve">Tok/s</w:t>
            </w:r>
          </w:p>
        </w:tc>
        <w:tc>
          <w:tcPr/>
          <w:p>
            <w:pPr>
              <w:pStyle w:val="Compact"/>
              <w:jc w:val="center"/>
            </w:pPr>
            <w:r>
              <w:t xml:space="preserve">Parámetros (B)</w:t>
            </w:r>
          </w:p>
        </w:tc>
        <w:tc>
          <w:tcPr/>
          <w:p>
            <w:pPr>
              <w:pStyle w:val="Compact"/>
              <w:jc w:val="center"/>
            </w:pPr>
            <w:r>
              <w:t xml:space="preserve">Índice Tok/s/B</w:t>
            </w:r>
          </w:p>
        </w:tc>
        <w:tc>
          <w:tcPr/>
          <w:p>
            <w:pPr>
              <w:pStyle w:val="Compact"/>
              <w:jc w:val="center"/>
            </w:pPr>
            <w:r>
              <w:t xml:space="preserve">Costo/Artículo</w:t>
            </w:r>
          </w:p>
        </w:tc>
      </w:tr>
      <w:tr>
        <w:tc>
          <w:tcPr/>
          <w:p>
            <w:pPr>
              <w:pStyle w:val="Compact"/>
              <w:jc w:val="left"/>
            </w:pPr>
            <w:r>
              <w:t>gemma4:31b</w:t>
            </w:r>
          </w:p>
        </w:tc>
        <w:tc>
          <w:tcPr/>
          <w:p>
            <w:pPr>
              <w:pStyle w:val="Compact"/>
              <w:jc w:val="center"/>
            </w:pPr>
            <w:r>
              <w:t>18,795</w:t>
            </w:r>
          </w:p>
        </w:tc>
        <w:tc>
          <w:tcPr/>
          <w:p>
            <w:pPr>
              <w:pStyle w:val="Compact"/>
              <w:jc w:val="center"/>
            </w:pPr>
            <w:r>
              <w:t>10.23</w:t>
            </w:r>
          </w:p>
        </w:tc>
        <w:tc>
          <w:tcPr/>
          <w:p>
            <w:pPr>
              <w:pStyle w:val="Compact"/>
              <w:jc w:val="center"/>
            </w:pPr>
            <w:r>
              <w:t>31</w:t>
            </w:r>
          </w:p>
        </w:tc>
        <w:tc>
          <w:tcPr/>
          <w:p>
            <w:pPr>
              <w:pStyle w:val="Compact"/>
              <w:jc w:val="center"/>
            </w:pPr>
            <w:r>
              <w:t>0.33</w:t>
            </w:r>
          </w:p>
        </w:tc>
        <w:tc>
          <w:tcPr/>
          <w:p>
            <w:pPr>
              <w:pStyle w:val="Compact"/>
              <w:jc w:val="center"/>
            </w:pPr>
            <w:r>
              <w:t>$0.052</w:t>
            </w:r>
          </w:p>
        </w:tc>
      </w:tr>
      <w:tr>
        <w:tc>
          <w:tcPr/>
          <w:p>
            <w:pPr>
              <w:pStyle w:val="Compact"/>
              <w:jc w:val="left"/>
            </w:pPr>
            <w:r>
              <w:t>gemma4:31b-mlx</w:t>
            </w:r>
          </w:p>
        </w:tc>
        <w:tc>
          <w:tcPr/>
          <w:p>
            <w:pPr>
              <w:pStyle w:val="Compact"/>
              <w:jc w:val="center"/>
            </w:pPr>
            <w:r>
              <w:t>24,607</w:t>
            </w:r>
          </w:p>
        </w:tc>
        <w:tc>
          <w:tcPr/>
          <w:p>
            <w:pPr>
              <w:pStyle w:val="Compact"/>
              <w:jc w:val="center"/>
            </w:pPr>
            <w:r>
              <w:t>22.80</w:t>
            </w:r>
          </w:p>
        </w:tc>
        <w:tc>
          <w:tcPr/>
          <w:p>
            <w:pPr>
              <w:pStyle w:val="Compact"/>
              <w:jc w:val="center"/>
            </w:pPr>
            <w:r>
              <w:t>31</w:t>
            </w:r>
          </w:p>
        </w:tc>
        <w:tc>
          <w:tcPr/>
          <w:p>
            <w:pPr>
              <w:pStyle w:val="Compact"/>
              <w:jc w:val="center"/>
            </w:pPr>
            <w:r>
              <w:t>0.74</w:t>
            </w:r>
          </w:p>
        </w:tc>
        <w:tc>
          <w:tcPr/>
          <w:p>
            <w:pPr>
              <w:pStyle w:val="Compact"/>
              <w:jc w:val="center"/>
            </w:pPr>
            <w:r>
              <w:t>$0.052</w:t>
            </w:r>
          </w:p>
        </w:tc>
      </w:tr>
      <w:tr>
        <w:tc>
          <w:tcPr/>
          <w:p>
            <w:pPr>
              <w:pStyle w:val="Compact"/>
              <w:jc w:val="left"/>
            </w:pPr>
            <w:r>
              <w:t>llama3.2 (3B)</w:t>
            </w:r>
          </w:p>
        </w:tc>
        <w:tc>
          <w:tcPr/>
          <w:p>
            <w:pPr>
              <w:pStyle w:val="Compact"/>
              <w:jc w:val="center"/>
            </w:pPr>
            <w:r>
              <w:t>4,018</w:t>
            </w:r>
          </w:p>
        </w:tc>
        <w:tc>
          <w:tcPr/>
          <w:p>
            <w:pPr>
              <w:pStyle w:val="Compact"/>
              <w:jc w:val="center"/>
            </w:pPr>
            <w:r>
              <w:t>79.35</w:t>
            </w:r>
          </w:p>
        </w:tc>
        <w:tc>
          <w:tcPr/>
          <w:p>
            <w:pPr>
              <w:pStyle w:val="Compact"/>
              <w:jc w:val="center"/>
            </w:pPr>
            <w:r>
              <w:t>3</w:t>
            </w:r>
          </w:p>
        </w:tc>
        <w:tc>
          <w:tcPr/>
          <w:p>
            <w:pPr>
              <w:pStyle w:val="Compact"/>
              <w:jc w:val="center"/>
            </w:pPr>
            <w:r>
              <w:t>26.5</w:t>
            </w:r>
          </w:p>
        </w:tc>
        <w:tc>
          <w:tcPr/>
          <w:p>
            <w:pPr>
              <w:pStyle w:val="Compact"/>
              <w:jc w:val="center"/>
            </w:pPr>
            <w:r>
              <w:t>$0.052</w:t>
            </w:r>
          </w:p>
        </w:tc>
      </w:tr>
    </w:tbl>
    <w:p>
      <w:pPr>
        <w:pStyle w:val="BlockText"/>
      </w:pPr>
      <w:r>
        <w:t xml:space="preserve">El costo por artículo en el sistema soberano local se estima en USD 0.052, versus USD 8.75 en revisión manual, representando una reducción del</w:t>
      </w:r>
      <w:r>
        <w:t xml:space="preserve"> </w:t>
      </w:r>
      <w:r>
        <w:rPr>
          <w:b/>
          <w:bCs/>
        </w:rPr>
        <w:t xml:space="preserve">99.4%</w:t>
      </w:r>
      <w:r>
        <w:t xml:space="preserve"> </w:t>
      </w:r>
      <w:r>
        <w:t xml:space="preserve">en costo unitario.</w:t>
      </w:r>
    </w:p>
    <w:p>
      <w:r>
        <w:pict>
          <v:rect style="width:0;height:1.5pt" o:hralign="center" o:hrstd="t" o:hr="t"/>
        </w:pict>
      </w:r>
    </w:p>
    <w:bookmarkEnd w:id="51"/>
    <w:bookmarkStart w:id="59" w:name="Xa793dc4a3ef69db2450c8ff41b3edbb702d0b80"/>
    <w:p>
      <w:pPr>
        <w:pStyle w:val="Heading3"/>
      </w:pPr>
      <w:r>
        <w:t xml:space="preserve">5.6 Optimización del Módulo RAG: De Diccionarios de Entidades a Base de Conocimientos Contextual</w:t>
      </w:r>
    </w:p>
    <w:p>
      <w:pPr>
        <w:pStyle w:val="BlockText"/>
      </w:pPr>
      <w:r>
        <w:t>Nota Cronológica: Esta sección documenta un ciclo iterativo de investigación e implementación realizado entre el 31 de agosto y el 1 de septiembre de 2026, posterior a la entrega del benchmark principal (Sección 5.3). Responde a la necesidad de mejorar el F1-Score sin afectar la soberanía de datos y constituye una contribución metodológica adicional.</w:t>
      </w:r>
    </w:p>
    <w:bookmarkStart w:id="52" w:name="X63d23a706288f6e98b6e8e8ece34ebcbe11df39"/>
    <w:p>
      <w:pPr>
        <w:pStyle w:val="Heading4"/>
      </w:pPr>
      <w:r>
        <w:t xml:space="preserve">5.6.1 Motivación: Comportamiento Contraintuitivo del RAG Basado en Diccionarios</w:t>
      </w:r>
    </w:p>
    <w:p>
      <w:pPr>
        <w:pStyle w:val="FirstParagraph"/>
      </w:pPr>
      <w:r>
        <w:t>Durante el benchmark principal sobre N=120 artículos reales, se observó un fenómeno inesperado y mayoritario (7 de 15 modelos degradaron, entre ellos los de mayor F1 baseline; 8 mejoraron): la activación del módulo RAG (_rag_enhanced) produjo una degradación del F1-Score respecto al modo _baseline, en lugar de la mejora esperada.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RAG-Dict F1</w:t>
            </w:r>
          </w:p>
        </w:tc>
        <w:tc>
          <w:tcPr/>
          <w:p>
            <w:pPr>
              <w:pStyle w:val="Compact"/>
              <w:jc w:val="center"/>
            </w:pPr>
            <w:r>
              <w:t xml:space="preserve">Delta</w:t>
            </w:r>
          </w:p>
        </w:tc>
      </w:tr>
      <w:tr>
        <w:tc>
          <w:tcPr/>
          <w:p>
            <w:pPr>
              <w:pStyle w:val="Compact"/>
              <w:jc w:val="left"/>
            </w:pPr>
            <w:r>
              <w:t>gemma4:latest</w:t>
            </w:r>
          </w:p>
        </w:tc>
        <w:tc>
          <w:tcPr/>
          <w:p>
            <w:pPr>
              <w:pStyle w:val="Compact"/>
              <w:jc w:val="center"/>
            </w:pPr>
            <w:r>
              <w:t>0.5446</w:t>
            </w:r>
          </w:p>
        </w:tc>
        <w:tc>
          <w:tcPr/>
          <w:p>
            <w:pPr>
              <w:pStyle w:val="Compact"/>
              <w:jc w:val="center"/>
            </w:pPr>
            <w:r>
              <w:t>0.5257</w:t>
            </w:r>
          </w:p>
        </w:tc>
        <w:tc>
          <w:tcPr/>
          <w:p>
            <w:pPr>
              <w:pStyle w:val="Compact"/>
              <w:jc w:val="center"/>
            </w:pPr>
            <w:r>
              <w:t>−0.0189</w:t>
            </w:r>
          </w:p>
        </w:tc>
      </w:tr>
      <w:tr>
        <w:tc>
          <w:tcPr/>
          <w:p>
            <w:pPr>
              <w:pStyle w:val="Compact"/>
              <w:jc w:val="left"/>
            </w:pPr>
            <w:r>
              <w:t>qwen2.5:14b</w:t>
            </w:r>
          </w:p>
        </w:tc>
        <w:tc>
          <w:tcPr/>
          <w:p>
            <w:pPr>
              <w:pStyle w:val="Compact"/>
              <w:jc w:val="center"/>
            </w:pPr>
            <w:r>
              <w:t>0.5189</w:t>
            </w:r>
          </w:p>
        </w:tc>
        <w:tc>
          <w:tcPr/>
          <w:p>
            <w:pPr>
              <w:pStyle w:val="Compact"/>
              <w:jc w:val="center"/>
            </w:pPr>
            <w:r>
              <w:t>0.5071</w:t>
            </w:r>
          </w:p>
        </w:tc>
        <w:tc>
          <w:tcPr/>
          <w:p>
            <w:pPr>
              <w:pStyle w:val="Compact"/>
              <w:jc w:val="center"/>
            </w:pPr>
            <w:r>
              <w:t>−0.0118</w:t>
            </w:r>
          </w:p>
        </w:tc>
      </w:tr>
      <w:tr>
        <w:tc>
          <w:tcPr/>
          <w:p>
            <w:pPr>
              <w:pStyle w:val="Compact"/>
              <w:jc w:val="left"/>
            </w:pPr>
            <w:r>
              <w:t>llama3.2:latest</w:t>
            </w:r>
          </w:p>
        </w:tc>
        <w:tc>
          <w:tcPr/>
          <w:p>
            <w:pPr>
              <w:pStyle w:val="Compact"/>
              <w:jc w:val="center"/>
            </w:pPr>
            <w:r>
              <w:t>0.3945</w:t>
            </w:r>
          </w:p>
        </w:tc>
        <w:tc>
          <w:tcPr/>
          <w:p>
            <w:pPr>
              <w:pStyle w:val="Compact"/>
              <w:jc w:val="center"/>
            </w:pPr>
            <w:r>
              <w:t>0.4196</w:t>
            </w:r>
          </w:p>
        </w:tc>
        <w:tc>
          <w:tcPr/>
          <w:p>
            <w:pPr>
              <w:pStyle w:val="Compact"/>
              <w:jc w:val="center"/>
            </w:pPr>
            <w:r>
              <w:t>+0.0251</w:t>
            </w:r>
          </w:p>
        </w:tc>
      </w:tr>
    </w:tbl>
    <w:p>
      <w:pPr>
        <w:pStyle w:val="BodyText"/>
      </w:pPr>
      <w:r>
        <w:t>Las cifras anteriores provienen de la corrida benchmark_balanced_120_20260824_173036 (RAG por diccionario, ago 2026), distinta de la corrida KB RAG del 1-sep citada en §5.3.5 y §5.6.5. Esta degradación motivó un protocolo de investigación formal documentado en research/rag/2026-08-31_analisis_contenido_rag_base_conocimientos.md. La auditoría reveló la causa raíz:</w:t>
      </w:r>
    </w:p>
    <w:p>
      <w:pPr>
        <w:pStyle w:val="BodyText"/>
      </w:pPr>
      <w:r>
        <w:rPr>
          <w:b/>
          <w:bCs/>
        </w:rPr>
        <w:t xml:space="preserve">El Problema del Desajuste Semántico Estructural (</w:t>
      </w:r>
      <w:r>
        <w:rPr>
          <w:b/>
          <w:bCs/>
          <w:i/>
          <w:iCs/>
        </w:rPr>
        <w:t xml:space="preserve">Semantic Mismatch</w:t>
      </w:r>
      <w:r>
        <w:rPr>
          <w:b/>
          <w:bCs/>
        </w:rPr>
        <w:t xml:space="preserve">):</w:t>
      </w:r>
    </w:p>
    <w:p>
      <w:pPr>
        <w:pStyle w:val="BodyText"/>
      </w:pPr>
      <w:r>
        <w:t xml:space="preserve">El sistema RAG original almacena cadenas nominales de entidades (</w:t>
      </w:r>
      <w:r>
        <w:rPr>
          <w:rStyle w:val="VerbatimChar"/>
        </w:rPr>
        <w:t xml:space="preserve">GRANJA LA SIERRA LTDA.</w:t>
      </w:r>
      <w:r>
        <w:t xml:space="preserve">,</w:t>
      </w:r>
      <w:r>
        <w:t xml:space="preserve"> </w:t>
      </w:r>
      <w:r>
        <w:rPr>
          <w:rStyle w:val="VerbatimChar"/>
        </w:rPr>
        <w:t xml:space="preserve">Reina Esperanza Ornelas Cintrón</w:t>
      </w:r>
      <w:r>
        <w:t xml:space="preserve">) en ChromaDB. Al consultar la base vectorial usando el</w:t>
      </w:r>
      <w:r>
        <w:t xml:space="preserve"> </w:t>
      </w:r>
      <w:r>
        <w:rPr>
          <w:b/>
          <w:bCs/>
        </w:rPr>
        <w:t xml:space="preserve">texto completo del artículo</w:t>
      </w:r>
      <w:r>
        <w:t xml:space="preserve"> </w:t>
      </w:r>
      <w:r>
        <w:t xml:space="preserve">(300-800 palabras), el modelo de embeddings</w:t>
      </w:r>
      <w:r>
        <w:t xml:space="preserve"> </w:t>
      </w:r>
      <w:r>
        <w:rPr>
          <w:rStyle w:val="VerbatimChar"/>
        </w:rPr>
        <w:t xml:space="preserve">all-MiniLM-L6-v2</w:t>
      </w:r>
      <w:r>
        <w:t xml:space="preserve"> </w:t>
      </w:r>
      <w:r>
        <w:t xml:space="preserve">recupera las 5 entidades con mayor</w:t>
      </w:r>
      <w:r>
        <w:t xml:space="preserve"> </w:t>
      </w:r>
      <w:r>
        <w:rPr>
          <w:b/>
          <w:bCs/>
        </w:rPr>
        <w:t xml:space="preserve">cercanía temática global</w:t>
      </w:r>
      <w:r>
        <w:t xml:space="preserve"> </w:t>
      </w:r>
      <w:r>
        <w:t xml:space="preserve">— no necesariamente presentes en el artículo. El prompt resultante incluía empresas agrícolas colombianas en artículos sobre política autonómica española, provocando que los LLMs suprimieran la extracción de entidades legítimas.</w:t>
      </w:r>
    </w:p>
    <w:p>
      <w:pPr>
        <w:pStyle w:val="SourceCode"/>
      </w:pPr>
      <w:r>
        <w:t>Flujo RAG Original (Degradado):</w:t>
      </w:r>
    </w:p>
    <w:tbl>
      <w:tblPr>
        <w:tblW w:type="auto" w:w="0"/>
        <w:jc w:val="center"/>
        <w:tblLayout w:type="autofit"/>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Paso</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Acción</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Resultado</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Entrada</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Noticia política española (500 palabras)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Embedding</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all-MiniLM-L6-v2</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Vector de consulta</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Recuperación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ChromaDB: Top-5 por coseno</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GRANJA LA SIERRA LTDA. (Org); ASES DE COMPETENCIA Y CIA. (Org); [3 orgs colombianas irrelevantes]</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4. Inyección en prompt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Restrictiva: "DO NOT extract unless they explicitly appear..."</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5. Efecto en LLM</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Recall: 62.8% → 21.6%  ❌</w:t>
            </w:r>
          </w:p>
        </w:tc>
      </w:tr>
    </w:tbl>
    <w:bookmarkEnd w:id="52"/>
    <w:bookmarkStart w:id="53" w:name="X7400e438518d44f774cbc43f0af3e0d0f57e461"/>
    <w:p>
      <w:pPr>
        <w:pStyle w:val="Heading4"/>
      </w:pPr>
      <w:r>
        <w:t xml:space="preserve">5.6.2 Arquitectura Propuesta: Base de Conocimientos Contextual</w:t>
      </w:r>
    </w:p>
    <w:p>
      <w:pPr>
        <w:pStyle w:val="FirstParagraph"/>
      </w:pPr>
      <w:r>
        <w:t xml:space="preserve">La solución implementada transforma el contenido de la base vectorial: en lugar de nombres de entidades, se almacenan</w:t>
      </w:r>
      <w:r>
        <w:t xml:space="preserve"> </w:t>
      </w:r>
      <w:r>
        <w:rPr>
          <w:b/>
          <w:bCs/>
        </w:rPr>
        <w:t xml:space="preserve">Guías Tipológicas de Dominio</w:t>
      </w:r>
      <w:r>
        <w:t xml:space="preserve"> </w:t>
      </w:r>
      <w:r>
        <w:t xml:space="preserve">y</w:t>
      </w:r>
      <w:r>
        <w:t xml:space="preserve"> </w:t>
      </w:r>
      <w:r>
        <w:rPr>
          <w:b/>
          <w:bCs/>
        </w:rPr>
        <w:t xml:space="preserve">Ejemplares Dinámicos Few-Shot</w:t>
      </w:r>
      <w:r>
        <w:t xml:space="preserve">.</w:t>
      </w:r>
    </w:p>
    <w:p>
      <w:pPr>
        <w:pStyle w:val="SourceCode"/>
      </w:pPr>
      <w:r>
        <w:t>Flujo KB RAG (Mejorado):</w:t>
      </w:r>
    </w:p>
    <w:tbl>
      <w:tblPr>
        <w:tblW w:type="auto" w:w="0"/>
        <w:jc w:val="center"/>
        <w:tblLayout w:type="autofit"/>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Paso</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Acción</w:t>
            </w:r>
          </w:p>
        </w:tc>
        <w:tc>
          <w:tcPr>
            <w:tcW w:type="dxa" w:w="312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Resultado</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Entrada</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Noticia política española (500 palabras)</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Embedding</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all-MiniLM-L6-v2</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Vector de consulta</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Recuperación</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ChromaDB 'ner_knowledge_base': Top-1 guideline + Top-1 exemplar</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Dominio recuperado: politics_administrative (ES)</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4. Contexto inyectado</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DOMAIN CONTEXT (ver detalle abajo) + ejemplo similar recuperado</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5. Inyección en prompt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Positiva: "[EXTRACTION GUIDANCE]"</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r>
      <w:tr>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6. Efecto en LLM</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w:t>
            </w:r>
          </w:p>
        </w:tc>
        <w:tc>
          <w:tcPr>
            <w:tcW w:type="dxa" w:w="312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sz w:val="18"/>
              </w:rPr>
              <w:t>F1: 0.3521 → 0.5489  ✅  (+19.7 pp)</w:t>
            </w:r>
          </w:p>
          <w:p>
            <w:pPr>
              <w:spacing w:after="40" w:before="40"/>
            </w:pPr>
            <w:r>
              <w:rPr>
                <w:sz w:val="18"/>
              </w:rPr>
              <w:t>Recall: 33.3% → 59.5%  ✅  (+26.2 pp)</w:t>
            </w:r>
          </w:p>
        </w:tc>
      </w:tr>
    </w:tbl>
    <w:p>
      <w:r>
        <w:rPr>
          <w:b/>
          <w:sz w:val="20"/>
        </w:rPr>
        <w:t>Contexto de dominio inyectado — [DOMAIN CONTEXT: NOTICIAS POLÍTICAS EN ESPAÑOL]</w:t>
      </w:r>
    </w:p>
    <w:tbl>
      <w:tblPr>
        <w:tblW w:type="auto" w:w="0"/>
        <w:jc w:val="center"/>
        <w:tblLayout w:type="autofit"/>
        <w:tblLook w:firstColumn="1" w:firstRow="1" w:lastColumn="0" w:lastRow="0" w:noHBand="0" w:noVBand="1" w:val="04A0"/>
      </w:tblPr>
      <w:tblGrid>
        <w:gridCol w:w="4680"/>
        <w:gridCol w:w="4680"/>
      </w:tblGrid>
      <w:tr>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Regla</w:t>
            </w:r>
          </w:p>
        </w:tc>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40" w:before="40"/>
            </w:pPr>
            <w:r>
              <w:rPr>
                <w:b/>
                <w:sz w:val="18"/>
              </w:rPr>
            </w:r>
            <w:r>
              <w:rPr>
                <w:b/>
                <w:sz w:val="18"/>
              </w:rPr>
              <w:t>Contenido</w:t>
            </w:r>
          </w:p>
        </w:tc>
      </w:tr>
      <w:tr>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1. Personas</w:t>
            </w:r>
          </w:p>
        </w:tc>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Extrae SOLO el nombre propio...</w:t>
            </w:r>
          </w:p>
        </w:tc>
      </w:tr>
      <w:tr>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2. Organizaciones</w:t>
            </w:r>
          </w:p>
        </w:tc>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Partidos (PSOE, PP), Junta...</w:t>
            </w:r>
          </w:p>
        </w:tc>
      </w:tr>
      <w:tr>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3. Desambiguación</w:t>
            </w:r>
          </w:p>
        </w:tc>
        <w:tc>
          <w:tcPr>
            <w:tcW w:type="dxa" w:w="4680"/>
            <w:tcBorders>
              <w:top w:val="single" w:sz="4" w:space="0" w:color="999999"/>
              <w:left w:val="single" w:sz="4" w:space="0" w:color="999999"/>
              <w:bottom w:val="single" w:sz="4" w:space="0" w:color="999999"/>
              <w:right w:val="single" w:sz="4" w:space="0" w:color="999999"/>
            </w:tcBorders>
          </w:tcPr>
          <w:p>
            <w:pPr>
              <w:spacing w:after="40" w:before="40"/>
            </w:pPr>
            <w:r>
              <w:rPr>
                <w:sz w:val="18"/>
              </w:rPr>
            </w:r>
            <w:r>
              <w:rPr>
                <w:b w:val="0"/>
                <w:sz w:val="18"/>
              </w:rPr>
              <w:t>Un apellido solo ('Bono')...</w:t>
            </w:r>
          </w:p>
        </w:tc>
      </w:tr>
    </w:tbl>
    <w:bookmarkEnd w:id="53"/>
    <w:bookmarkStart w:id="54" w:name="implementación-técnica"/>
    <w:p>
      <w:pPr>
        <w:pStyle w:val="Heading4"/>
      </w:pPr>
      <w:r>
        <w:t xml:space="preserve">5.6.3 Implementación Técnica</w:t>
      </w:r>
    </w:p>
    <w:p>
      <w:pPr>
        <w:pStyle w:val="FirstParagraph"/>
      </w:pPr>
      <w:r>
        <w:t xml:space="preserve">El módulo</w:t>
      </w:r>
      <w:r>
        <w:t xml:space="preserve"> </w:t>
      </w:r>
      <w:r>
        <w:rPr>
          <w:rStyle w:val="VerbatimChar"/>
        </w:rPr>
        <w:t xml:space="preserve">src/kb_rag_manager.py</w:t>
      </w:r>
      <w:r>
        <w:t xml:space="preserve"> </w:t>
      </w:r>
      <w:r>
        <w:t xml:space="preserve">(</w:t>
      </w:r>
      <w:r>
        <w:rPr>
          <w:rStyle w:val="VerbatimChar"/>
        </w:rPr>
        <w:t xml:space="preserve">KBRAGManager</w:t>
      </w:r>
      <w:r>
        <w:t xml:space="preserve">) implementa cuatro modos de operación configurables:</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Modo</w:t>
            </w:r>
          </w:p>
        </w:tc>
        <w:tc>
          <w:tcPr/>
          <w:p>
            <w:pPr>
              <w:pStyle w:val="Compact"/>
              <w:jc w:val="center"/>
            </w:pPr>
            <w:r>
              <w:t xml:space="preserve">Flag CLI</w:t>
            </w:r>
          </w:p>
        </w:tc>
        <w:tc>
          <w:tcPr/>
          <w:p>
            <w:pPr>
              <w:pStyle w:val="Compact"/>
              <w:jc w:val="left"/>
            </w:pPr>
            <w:r>
              <w:t xml:space="preserve">Descripción</w:t>
            </w:r>
          </w:p>
        </w:tc>
        <w:tc>
          <w:tcPr/>
          <w:p>
            <w:pPr>
              <w:pStyle w:val="Compact"/>
              <w:jc w:val="left"/>
            </w:pPr>
            <w:r>
              <w:t xml:space="preserve">Caso de Uso</w:t>
            </w:r>
          </w:p>
        </w:tc>
      </w:tr>
      <w:tr>
        <w:tc>
          <w:tcPr/>
          <w:p>
            <w:pPr>
              <w:pStyle w:val="Compact"/>
              <w:jc w:val="left"/>
            </w:pPr>
            <w:r>
              <w:rPr>
                <w:rStyle w:val="VerbatimChar"/>
              </w:rPr>
              <w:t xml:space="preserve">entities</w:t>
            </w:r>
          </w:p>
        </w:tc>
        <w:tc>
          <w:tcPr/>
          <w:p>
            <w:pPr>
              <w:pStyle w:val="Compact"/>
              <w:jc w:val="center"/>
            </w:pPr>
            <w:r>
              <w:rPr>
                <w:rStyle w:val="VerbatimChar"/>
              </w:rPr>
              <w:t xml:space="preserve">--rag-mode entities</w:t>
            </w:r>
          </w:p>
        </w:tc>
        <w:tc>
          <w:tcPr/>
          <w:p>
            <w:pPr>
              <w:pStyle w:val="Compact"/>
              <w:jc w:val="left"/>
            </w:pPr>
            <w:r>
              <w:t xml:space="preserve">Legacy: diccionario de nombres (comportamiento original)</w:t>
            </w:r>
          </w:p>
        </w:tc>
        <w:tc>
          <w:tcPr/>
          <w:p>
            <w:pPr>
              <w:pStyle w:val="Compact"/>
              <w:jc w:val="left"/>
            </w:pPr>
            <w:r>
              <w:t xml:space="preserve">Compatibilidad hacia atrás</w:t>
            </w:r>
          </w:p>
        </w:tc>
      </w:tr>
      <w:tr>
        <w:tc>
          <w:tcPr/>
          <w:p>
            <w:pPr>
              <w:pStyle w:val="Compact"/>
              <w:jc w:val="left"/>
            </w:pPr>
            <w:r>
              <w:rPr>
                <w:rStyle w:val="VerbatimChar"/>
              </w:rPr>
              <w:t xml:space="preserve">kb_guidelines</w:t>
            </w:r>
          </w:p>
        </w:tc>
        <w:tc>
          <w:tcPr/>
          <w:p>
            <w:pPr>
              <w:pStyle w:val="Compact"/>
              <w:jc w:val="center"/>
            </w:pPr>
            <w:r>
              <w:rPr>
                <w:rStyle w:val="VerbatimChar"/>
              </w:rPr>
              <w:t xml:space="preserve">--rag-mode kb_guidelines</w:t>
            </w:r>
          </w:p>
        </w:tc>
        <w:tc>
          <w:tcPr/>
          <w:p>
            <w:pPr>
              <w:pStyle w:val="Compact"/>
              <w:jc w:val="left"/>
            </w:pPr>
            <w:r>
              <w:t xml:space="preserve">Reglas tipológicas de desambiguación por dominio</w:t>
            </w:r>
          </w:p>
        </w:tc>
        <w:tc>
          <w:tcPr/>
          <w:p>
            <w:pPr>
              <w:pStyle w:val="Compact"/>
              <w:jc w:val="left"/>
            </w:pPr>
            <w:r>
              <w:t xml:space="preserve">Artículos de dominio conocido</w:t>
            </w:r>
          </w:p>
        </w:tc>
      </w:tr>
      <w:tr>
        <w:tc>
          <w:tcPr/>
          <w:p>
            <w:pPr>
              <w:pStyle w:val="Compact"/>
              <w:jc w:val="left"/>
            </w:pPr>
            <w:r>
              <w:rPr>
                <w:rStyle w:val="VerbatimChar"/>
              </w:rPr>
              <w:t xml:space="preserve">kb_fewshot</w:t>
            </w:r>
          </w:p>
        </w:tc>
        <w:tc>
          <w:tcPr/>
          <w:p>
            <w:pPr>
              <w:pStyle w:val="Compact"/>
              <w:jc w:val="center"/>
            </w:pPr>
            <w:r>
              <w:rPr>
                <w:rStyle w:val="VerbatimChar"/>
              </w:rPr>
              <w:t xml:space="preserve">--rag-mode kb_fewshot</w:t>
            </w:r>
          </w:p>
        </w:tc>
        <w:tc>
          <w:tcPr/>
          <w:p>
            <w:pPr>
              <w:pStyle w:val="Compact"/>
              <w:jc w:val="left"/>
            </w:pPr>
            <w:r>
              <w:t xml:space="preserve">Ejemplo anotado semánticamente más similar</w:t>
            </w:r>
          </w:p>
        </w:tc>
        <w:tc>
          <w:tcPr/>
          <w:p>
            <w:pPr>
              <w:pStyle w:val="Compact"/>
              <w:jc w:val="left"/>
            </w:pPr>
            <w:r>
              <w:t xml:space="preserve">Transferencia de conocimiento</w:t>
            </w:r>
          </w:p>
        </w:tc>
      </w:tr>
      <w:tr>
        <w:tc>
          <w:tcPr/>
          <w:p>
            <w:pPr>
              <w:pStyle w:val="Compact"/>
              <w:jc w:val="left"/>
            </w:pPr>
            <w:r>
              <w:rPr>
                <w:rStyle w:val="VerbatimChar"/>
              </w:rPr>
              <w:t xml:space="preserve">kb_combined</w:t>
            </w:r>
          </w:p>
        </w:tc>
        <w:tc>
          <w:tcPr/>
          <w:p>
            <w:pPr>
              <w:pStyle w:val="Compact"/>
              <w:jc w:val="center"/>
            </w:pPr>
            <w:r>
              <w:rPr>
                <w:rStyle w:val="VerbatimChar"/>
              </w:rPr>
              <w:t xml:space="preserve">--rag-mode kb_combined</w:t>
            </w:r>
          </w:p>
        </w:tc>
        <w:tc>
          <w:tcPr/>
          <w:p>
            <w:pPr>
              <w:pStyle w:val="Compact"/>
              <w:jc w:val="left"/>
            </w:pPr>
            <w:r>
              <w:t xml:space="preserve">Guía + ejemplo (recomendado)</w:t>
            </w:r>
          </w:p>
        </w:tc>
        <w:tc>
          <w:tcPr/>
          <w:p>
            <w:pPr>
              <w:pStyle w:val="Compact"/>
              <w:jc w:val="left"/>
            </w:pPr>
            <w:r>
              <w:rPr>
                <w:b/>
                <w:bCs/>
              </w:rPr>
              <w:t xml:space="preserve">Mejor F1</w:t>
            </w:r>
          </w:p>
        </w:tc>
      </w:tr>
    </w:tbl>
    <w:p>
      <w:pPr>
        <w:pStyle w:val="BodyText"/>
      </w:pPr>
      <w:r>
        <w:t xml:space="preserve">La base de conocimientos se organiza en</w:t>
      </w:r>
      <w:r>
        <w:t xml:space="preserve"> </w:t>
      </w:r>
      <w:r>
        <w:rPr>
          <w:b/>
          <w:bCs/>
        </w:rPr>
        <w:t xml:space="preserve">dos colecciones ChromaDB separadas</w:t>
      </w:r>
      <w:r>
        <w:t xml:space="preserve"> </w:t>
      </w:r>
      <w:r>
        <w:t xml:space="preserve">para garantizar compatibilidad con el sistema preexistente:</w:t>
      </w:r>
    </w:p>
    <w:p>
      <w:pPr>
        <w:pStyle w:val="Compact"/>
        <w:numPr>
          <w:ilvl w:val="0"/>
          <w:numId w:val="1007"/>
        </w:numPr>
      </w:pPr>
      <w:r>
        <w:rPr>
          <w:rStyle w:val="VerbatimChar"/>
        </w:rPr>
        <w:t xml:space="preserve">ner_dictionaries</w:t>
      </w:r>
      <w:r>
        <w:t xml:space="preserve">: Colección legacy (diccionarios de entidades, preservada)</w:t>
      </w:r>
    </w:p>
    <w:p>
      <w:pPr>
        <w:pStyle w:val="Compact"/>
        <w:numPr>
          <w:ilvl w:val="0"/>
          <w:numId w:val="1007"/>
        </w:numPr>
      </w:pPr>
      <w:r>
        <w:rPr>
          <w:rStyle w:val="VerbatimChar"/>
        </w:rPr>
        <w:t xml:space="preserve">ner_knowledge_base</w:t>
      </w:r>
      <w:r>
        <w:t xml:space="preserve">: Nueva colección (guías + ejemplares, 12 documentos)</w:t>
      </w:r>
    </w:p>
    <w:p>
      <w:pPr>
        <w:pStyle w:val="FirstParagraph"/>
      </w:pPr>
      <w:r>
        <w:rPr>
          <w:b/>
          <w:bCs/>
        </w:rPr>
        <w:t xml:space="preserve">Configurabilidad garantizada:</w:t>
      </w:r>
      <w:r>
        <w:t xml:space="preserve"> </w:t>
      </w:r>
      <w:r>
        <w:t xml:space="preserve">El sistema es activable/desactivable mediante flags CLI sin modificar código:</w:t>
      </w:r>
    </w:p>
    <w:p>
      <w:pPr>
        <w:pStyle w:val="SourceCode"/>
      </w:pPr>
      <w:r>
        <w:rPr>
          <w:rStyle w:val="CommentTok"/>
        </w:rPr>
        <w:t xml:space="preserve"># Modo baseline (sin RAG)</w:t>
      </w:r>
      <w:r>
        <w:br/>
      </w:r>
      <w:r>
        <w:rPr>
          <w:rStyle w:val="ExtensionTok"/>
        </w:rPr>
        <w:t xml:space="preserve">./venv/bin/python3</w:t>
      </w:r>
      <w:r>
        <w:rPr>
          <w:rStyle w:val="NormalTok"/>
        </w:rPr>
        <w:t xml:space="preserve"> src/main.py </w:t>
      </w:r>
      <w:r>
        <w:rPr>
          <w:rStyle w:val="AttributeTok"/>
        </w:rPr>
        <w:t xml:space="preserve">--models</w:t>
      </w:r>
      <w:r>
        <w:rPr>
          <w:rStyle w:val="NormalTok"/>
        </w:rPr>
        <w:t xml:space="preserve"> gemma4:31b-mlx </w:t>
      </w:r>
      <w:r>
        <w:rPr>
          <w:rStyle w:val="AttributeTok"/>
        </w:rPr>
        <w:t xml:space="preserve">--data-file</w:t>
      </w:r>
      <w:r>
        <w:rPr>
          <w:rStyle w:val="NormalTok"/>
        </w:rPr>
        <w:t xml:space="preserve"> data/benchmark_balanced_120.json</w:t>
      </w:r>
      <w:r>
        <w:br/>
      </w:r>
      <w:r>
        <w:br/>
      </w:r>
      <w:r>
        <w:rPr>
          <w:rStyle w:val="CommentTok"/>
        </w:rPr>
        <w:t xml:space="preserve"># Modo RAG legacy (diccionario de entidades)</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entities ...</w:t>
      </w:r>
      <w:r>
        <w:br/>
      </w:r>
      <w:r>
        <w:br/>
      </w:r>
      <w:r>
        <w:rPr>
          <w:rStyle w:val="CommentTok"/>
        </w:rPr>
        <w:t xml:space="preserve"># Modo KB RAG (nueva implementación, recomendado)</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kb_combined ...</w:t>
      </w:r>
    </w:p>
    <w:p>
      <w:pPr>
        <w:pStyle w:val="FirstParagraph"/>
      </w:pPr>
      <w:r>
        <w:rPr>
          <w:b/>
          <w:bCs/>
        </w:rPr>
        <w:t xml:space="preserve">Template de inyección diferenciado:</w:t>
      </w:r>
      <w:r>
        <w:t xml:space="preserve"> </w:t>
      </w:r>
      <w:r>
        <w:t xml:space="preserve">El módulo</w:t>
      </w:r>
      <w:r>
        <w:t xml:space="preserve"> </w:t>
      </w:r>
      <w:r>
        <w:rPr>
          <w:rStyle w:val="VerbatimChar"/>
        </w:rPr>
        <w:t xml:space="preserve">ollama_provider.py</w:t>
      </w:r>
      <w:r>
        <w:t xml:space="preserve"> </w:t>
      </w:r>
      <w:r>
        <w:t xml:space="preserve">detecta automáticamente el tipo de contexto RAG y aplica el template apropiado:</w:t>
      </w:r>
    </w:p>
    <w:p>
      <w:pPr>
        <w:pStyle w:val="Compact"/>
        <w:numPr>
          <w:ilvl w:val="0"/>
          <w:numId w:val="1008"/>
        </w:numPr>
      </w:pPr>
      <w:r>
        <w:rPr>
          <w:b/>
          <w:bCs/>
        </w:rPr>
        <w:t xml:space="preserve">Entity-dict RAG (legacy):</w:t>
      </w:r>
      <w:r>
        <w:t xml:space="preserve"> </w:t>
      </w:r>
      <w:r>
        <w:t xml:space="preserve">Template restrictivo —</w:t>
      </w:r>
      <w:r>
        <w:t xml:space="preserve"> </w:t>
      </w:r>
      <w:r>
        <w:rPr>
          <w:rStyle w:val="VerbatimChar"/>
        </w:rPr>
        <w:t xml:space="preserve">"DO NOT extract unless they explicitly appear..."</w:t>
      </w:r>
      <w:r>
        <w:t xml:space="preserve"> </w:t>
      </w:r>
      <w:r>
        <w:t xml:space="preserve">— previene alucinaciones de entidades ausentes.</w:t>
      </w:r>
    </w:p>
    <w:p>
      <w:pPr>
        <w:pStyle w:val="Compact"/>
        <w:numPr>
          <w:ilvl w:val="0"/>
          <w:numId w:val="1008"/>
        </w:numPr>
      </w:pPr>
      <w:r>
        <w:rPr>
          <w:b/>
          <w:bCs/>
        </w:rPr>
        <w:t xml:space="preserve">KB RAG (nuevo):</w:t>
      </w:r>
      <w:r>
        <w:t xml:space="preserve"> </w:t>
      </w:r>
      <w:r>
        <w:t xml:space="preserve">Template positivo —</w:t>
      </w:r>
      <w:r>
        <w:t xml:space="preserve"> </w:t>
      </w:r>
      <w:r>
        <w:rPr>
          <w:rStyle w:val="VerbatimChar"/>
        </w:rPr>
        <w:t xml:space="preserve">"[EXTRACTION GUIDANCE] Apply these rules to the news text"</w:t>
      </w:r>
      <w:r>
        <w:t xml:space="preserve"> </w:t>
      </w:r>
      <w:r>
        <w:t xml:space="preserve">— instruye activamente al LLM sin suprimir su capacidad de extracción.</w:t>
      </w:r>
    </w:p>
    <w:bookmarkEnd w:id="54"/>
    <w:bookmarkStart w:id="55" w:name="datos-de-la-base-de-conocimientos"/>
    <w:p>
      <w:pPr>
        <w:pStyle w:val="Heading4"/>
      </w:pPr>
      <w:r>
        <w:t xml:space="preserve">5.6.4 Datos de la Base de Conocimientos</w:t>
      </w:r>
    </w:p>
    <w:p>
      <w:pPr>
        <w:pStyle w:val="FirstParagraph"/>
      </w:pPr>
      <w:r>
        <w:rPr>
          <w:b/>
          <w:bCs/>
        </w:rPr>
        <w:t xml:space="preserve">Guías Tipológicas (5 dominios):</w:t>
      </w:r>
      <w:r>
        <w:t xml:space="preserve"> </w:t>
      </w:r>
      <w:r>
        <w:t xml:space="preserve">Documentos JSON con reglas específicas de desambiguación NER:</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t xml:space="preserve">Dominio</w:t>
            </w:r>
          </w:p>
        </w:tc>
        <w:tc>
          <w:tcPr/>
          <w:p>
            <w:pPr>
              <w:pStyle w:val="Compact"/>
              <w:jc w:val="center"/>
            </w:pPr>
            <w:r>
              <w:t xml:space="preserve">ID</w:t>
            </w:r>
          </w:p>
        </w:tc>
        <w:tc>
          <w:tcPr/>
          <w:p>
            <w:pPr>
              <w:pStyle w:val="Compact"/>
              <w:jc w:val="center"/>
            </w:pPr>
            <w:r>
              <w:t xml:space="preserve">Idioma</w:t>
            </w:r>
          </w:p>
        </w:tc>
        <w:tc>
          <w:tcPr/>
          <w:p>
            <w:pPr>
              <w:pStyle w:val="Compact"/>
              <w:jc w:val="left"/>
            </w:pPr>
            <w:r>
              <w:t xml:space="preserve">Keywords Clave</w:t>
            </w:r>
          </w:p>
        </w:tc>
      </w:tr>
      <w:tr>
        <w:tc>
          <w:tcPr/>
          <w:p>
            <w:pPr>
              <w:pStyle w:val="Compact"/>
              <w:jc w:val="left"/>
            </w:pPr>
            <w:r>
              <w:t xml:space="preserve">Política y Administración</w:t>
            </w:r>
          </w:p>
        </w:tc>
        <w:tc>
          <w:tcPr/>
          <w:p>
            <w:pPr>
              <w:pStyle w:val="Compact"/>
              <w:jc w:val="center"/>
            </w:pPr>
            <w:r>
              <w:rPr>
                <w:rStyle w:val="VerbatimChar"/>
              </w:rPr>
              <w:t xml:space="preserve">politics_es</w:t>
            </w:r>
          </w:p>
        </w:tc>
        <w:tc>
          <w:tcPr/>
          <w:p>
            <w:pPr>
              <w:pStyle w:val="Compact"/>
              <w:jc w:val="center"/>
            </w:pPr>
            <w:r>
              <w:t xml:space="preserve">ES</w:t>
            </w:r>
          </w:p>
        </w:tc>
        <w:tc>
          <w:tcPr/>
          <w:p>
            <w:pPr>
              <w:pStyle w:val="Compact"/>
              <w:jc w:val="left"/>
            </w:pPr>
            <w:r>
              <w:t xml:space="preserve">PSOE, PP, junta, ministerio, portavoz</w:t>
            </w:r>
          </w:p>
        </w:tc>
      </w:tr>
      <w:tr>
        <w:tc>
          <w:tcPr/>
          <w:p>
            <w:pPr>
              <w:pStyle w:val="Compact"/>
              <w:jc w:val="left"/>
            </w:pPr>
            <w:r>
              <w:t xml:space="preserve">Corporativo y Financiero</w:t>
            </w:r>
          </w:p>
        </w:tc>
        <w:tc>
          <w:tcPr/>
          <w:p>
            <w:pPr>
              <w:pStyle w:val="Compact"/>
              <w:jc w:val="center"/>
            </w:pPr>
            <w:r>
              <w:rPr>
                <w:rStyle w:val="VerbatimChar"/>
              </w:rPr>
              <w:t xml:space="preserve">corporate_financial_es</w:t>
            </w:r>
          </w:p>
        </w:tc>
        <w:tc>
          <w:tcPr/>
          <w:p>
            <w:pPr>
              <w:pStyle w:val="Compact"/>
              <w:jc w:val="center"/>
            </w:pPr>
            <w:r>
              <w:t xml:space="preserve">ES</w:t>
            </w:r>
          </w:p>
        </w:tc>
        <w:tc>
          <w:tcPr/>
          <w:p>
            <w:pPr>
              <w:pStyle w:val="Compact"/>
              <w:jc w:val="left"/>
            </w:pPr>
            <w:r>
              <w:t xml:space="preserve">bolsa, fusión, consejo de administración</w:t>
            </w:r>
          </w:p>
        </w:tc>
      </w:tr>
      <w:tr>
        <w:tc>
          <w:tcPr/>
          <w:p>
            <w:pPr>
              <w:pStyle w:val="Compact"/>
              <w:jc w:val="left"/>
            </w:pPr>
            <w:r>
              <w:t xml:space="preserve">AML y Sanciones</w:t>
            </w:r>
          </w:p>
        </w:tc>
        <w:tc>
          <w:tcPr/>
          <w:p>
            <w:pPr>
              <w:pStyle w:val="Compact"/>
              <w:jc w:val="center"/>
            </w:pPr>
            <w:r>
              <w:rPr>
                <w:rStyle w:val="VerbatimChar"/>
              </w:rPr>
              <w:t xml:space="preserve">aml_sanctions_en</w:t>
            </w:r>
          </w:p>
        </w:tc>
        <w:tc>
          <w:tcPr/>
          <w:p>
            <w:pPr>
              <w:pStyle w:val="Compact"/>
              <w:jc w:val="center"/>
            </w:pPr>
            <w:r>
              <w:t xml:space="preserve">EN</w:t>
            </w:r>
          </w:p>
        </w:tc>
        <w:tc>
          <w:tcPr/>
          <w:p>
            <w:pPr>
              <w:pStyle w:val="Compact"/>
              <w:jc w:val="left"/>
            </w:pPr>
            <w:r>
              <w:t xml:space="preserve">OFAC, indictment, money laundering, IEEPA</w:t>
            </w:r>
          </w:p>
        </w:tc>
      </w:tr>
      <w:tr>
        <w:tc>
          <w:tcPr/>
          <w:p>
            <w:pPr>
              <w:pStyle w:val="Compact"/>
              <w:jc w:val="left"/>
            </w:pPr>
            <w:r>
              <w:t xml:space="preserve">Judicial y Crimen</w:t>
            </w:r>
          </w:p>
        </w:tc>
        <w:tc>
          <w:tcPr/>
          <w:p>
            <w:pPr>
              <w:pStyle w:val="Compact"/>
              <w:jc w:val="center"/>
            </w:pPr>
            <w:r>
              <w:rPr>
                <w:rStyle w:val="VerbatimChar"/>
              </w:rPr>
              <w:t xml:space="preserve">judicial_crime_es</w:t>
            </w:r>
          </w:p>
        </w:tc>
        <w:tc>
          <w:tcPr/>
          <w:p>
            <w:pPr>
              <w:pStyle w:val="Compact"/>
              <w:jc w:val="center"/>
            </w:pPr>
            <w:r>
              <w:t xml:space="preserve">ES</w:t>
            </w:r>
          </w:p>
        </w:tc>
        <w:tc>
          <w:tcPr/>
          <w:p>
            <w:pPr>
              <w:pStyle w:val="Compact"/>
              <w:jc w:val="left"/>
            </w:pPr>
            <w:r>
              <w:t xml:space="preserve">tribunal, fiscal, audiencia nacional</w:t>
            </w:r>
          </w:p>
        </w:tc>
      </w:tr>
      <w:tr>
        <w:tc>
          <w:tcPr/>
          <w:p>
            <w:pPr>
              <w:pStyle w:val="Compact"/>
              <w:jc w:val="left"/>
            </w:pPr>
            <w:r>
              <w:t xml:space="preserve">Deportivo y Social</w:t>
            </w:r>
          </w:p>
        </w:tc>
        <w:tc>
          <w:tcPr/>
          <w:p>
            <w:pPr>
              <w:pStyle w:val="Compact"/>
              <w:jc w:val="center"/>
            </w:pPr>
            <w:r>
              <w:rPr>
                <w:rStyle w:val="VerbatimChar"/>
              </w:rPr>
              <w:t xml:space="preserve">sports_social_es</w:t>
            </w:r>
          </w:p>
        </w:tc>
        <w:tc>
          <w:tcPr/>
          <w:p>
            <w:pPr>
              <w:pStyle w:val="Compact"/>
              <w:jc w:val="center"/>
            </w:pPr>
            <w:r>
              <w:t xml:space="preserve">ES</w:t>
            </w:r>
          </w:p>
        </w:tc>
        <w:tc>
          <w:tcPr/>
          <w:p>
            <w:pPr>
              <w:pStyle w:val="Compact"/>
              <w:jc w:val="left"/>
            </w:pPr>
            <w:r>
              <w:t xml:space="preserve">liga, federación, club</w:t>
            </w:r>
          </w:p>
        </w:tc>
      </w:tr>
    </w:tbl>
    <w:p>
      <w:pPr>
        <w:pStyle w:val="BodyText"/>
      </w:pPr>
      <w:r>
        <w:rPr>
          <w:b/>
          <w:bCs/>
        </w:rPr>
        <w:t xml:space="preserve">Ejemplares Few-Shot (7 pares anotados):</w:t>
      </w:r>
      <w:r>
        <w:t xml:space="preserve"> </w:t>
      </w:r>
      <w:r>
        <w:t xml:space="preserve">Todos extraídos de</w:t>
      </w:r>
      <w:r>
        <w:t xml:space="preserve"> </w:t>
      </w:r>
      <w:r>
        <w:rPr>
          <w:rStyle w:val="VerbatimChar"/>
        </w:rPr>
        <w:t xml:space="preserve">benchmark_balanced_120.json</w:t>
      </w:r>
      <w:r>
        <w:t xml:space="preserve"> </w:t>
      </w:r>
      <w:r>
        <w:t xml:space="preserve">(artículos reales anotados del corpus de evaluación). No se utilizaron datos sintéticos, preservando la integridad metodológica.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 Ejemplar</w:t>
            </w:r>
          </w:p>
        </w:tc>
        <w:tc>
          <w:tcPr/>
          <w:p>
            <w:pPr>
              <w:pStyle w:val="Compact"/>
              <w:jc w:val="center"/>
            </w:pPr>
            <w:r>
              <w:t xml:space="preserve">Dominio</w:t>
            </w:r>
          </w:p>
        </w:tc>
        <w:tc>
          <w:tcPr/>
          <w:p>
            <w:pPr>
              <w:pStyle w:val="Compact"/>
              <w:jc w:val="center"/>
            </w:pPr>
            <w:r>
              <w:t xml:space="preserve">Fuente</w:t>
            </w:r>
          </w:p>
        </w:tc>
      </w:tr>
      <w:tr>
        <w:tc>
          <w:tcPr/>
          <w:p>
            <w:pPr>
              <w:pStyle w:val="Compact"/>
              <w:jc w:val="left"/>
            </w:pPr>
            <w:r>
              <w:rPr>
                <w:rStyle w:val="VerbatimChar"/>
              </w:rPr>
              <w:t xml:space="preserve">ex_politics_es_001</w:t>
            </w:r>
          </w:p>
        </w:tc>
        <w:tc>
          <w:tcPr/>
          <w:p>
            <w:pPr>
              <w:pStyle w:val="Compact"/>
              <w:jc w:val="center"/>
            </w:pPr>
            <w:r>
              <w:t xml:space="preserve">Política ES</w:t>
            </w:r>
          </w:p>
        </w:tc>
        <w:tc>
          <w:tcPr/>
          <w:p>
            <w:pPr>
              <w:pStyle w:val="Compact"/>
              <w:jc w:val="center"/>
            </w:pPr>
            <w:r>
              <w:rPr>
                <w:rStyle w:val="VerbatimChar"/>
              </w:rPr>
              <w:t xml:space="preserve">real_mixed_1</w:t>
            </w:r>
          </w:p>
        </w:tc>
      </w:tr>
      <w:tr>
        <w:tc>
          <w:tcPr/>
          <w:p>
            <w:pPr>
              <w:pStyle w:val="Compact"/>
              <w:jc w:val="left"/>
            </w:pPr>
            <w:r>
              <w:rPr>
                <w:rStyle w:val="VerbatimChar"/>
              </w:rPr>
              <w:t xml:space="preserve">ex_politics_es_002</w:t>
            </w:r>
          </w:p>
        </w:tc>
        <w:tc>
          <w:tcPr/>
          <w:p>
            <w:pPr>
              <w:pStyle w:val="Compact"/>
              <w:jc w:val="center"/>
            </w:pPr>
            <w:r>
              <w:t xml:space="preserve">Política ES</w:t>
            </w:r>
          </w:p>
        </w:tc>
        <w:tc>
          <w:tcPr/>
          <w:p>
            <w:pPr>
              <w:pStyle w:val="Compact"/>
              <w:jc w:val="center"/>
            </w:pPr>
            <w:r>
              <w:rPr>
                <w:rStyle w:val="VerbatimChar"/>
              </w:rPr>
              <w:t xml:space="preserve">real_mixed_41</w:t>
            </w:r>
          </w:p>
        </w:tc>
      </w:tr>
      <w:tr>
        <w:tc>
          <w:tcPr/>
          <w:p>
            <w:pPr>
              <w:pStyle w:val="Compact"/>
              <w:jc w:val="left"/>
            </w:pPr>
            <w:r>
              <w:rPr>
                <w:rStyle w:val="VerbatimChar"/>
              </w:rPr>
              <w:t xml:space="preserve">ex_corporate_financial_es_001</w:t>
            </w:r>
          </w:p>
        </w:tc>
        <w:tc>
          <w:tcPr/>
          <w:p>
            <w:pPr>
              <w:pStyle w:val="Compact"/>
              <w:jc w:val="center"/>
            </w:pPr>
            <w:r>
              <w:t xml:space="preserve">Corporativo ES</w:t>
            </w:r>
          </w:p>
        </w:tc>
        <w:tc>
          <w:tcPr/>
          <w:p>
            <w:pPr>
              <w:pStyle w:val="Compact"/>
              <w:jc w:val="center"/>
            </w:pPr>
            <w:r>
              <w:rPr>
                <w:rStyle w:val="VerbatimChar"/>
              </w:rPr>
              <w:t xml:space="preserve">real_mixed_21</w:t>
            </w:r>
          </w:p>
        </w:tc>
      </w:tr>
      <w:tr>
        <w:tc>
          <w:tcPr/>
          <w:p>
            <w:pPr>
              <w:pStyle w:val="Compact"/>
              <w:jc w:val="left"/>
            </w:pPr>
            <w:r>
              <w:rPr>
                <w:rStyle w:val="VerbatimChar"/>
              </w:rPr>
              <w:t xml:space="preserve">ex_judicial_es_001</w:t>
            </w:r>
          </w:p>
        </w:tc>
        <w:tc>
          <w:tcPr/>
          <w:p>
            <w:pPr>
              <w:pStyle w:val="Compact"/>
              <w:jc w:val="center"/>
            </w:pPr>
            <w:r>
              <w:t xml:space="preserve">Judicial ES</w:t>
            </w:r>
          </w:p>
        </w:tc>
        <w:tc>
          <w:tcPr/>
          <w:p>
            <w:pPr>
              <w:pStyle w:val="Compact"/>
              <w:jc w:val="center"/>
            </w:pPr>
            <w:r>
              <w:rPr>
                <w:rStyle w:val="VerbatimChar"/>
              </w:rPr>
              <w:t xml:space="preserve">real_mixed_101</w:t>
            </w:r>
          </w:p>
        </w:tc>
      </w:tr>
      <w:tr>
        <w:tc>
          <w:tcPr/>
          <w:p>
            <w:pPr>
              <w:pStyle w:val="Compact"/>
              <w:jc w:val="left"/>
            </w:pPr>
            <w:r>
              <w:rPr>
                <w:rStyle w:val="VerbatimChar"/>
              </w:rPr>
              <w:t xml:space="preserve">ex_aml_sanctions_en_001</w:t>
            </w:r>
          </w:p>
        </w:tc>
        <w:tc>
          <w:tcPr/>
          <w:p>
            <w:pPr>
              <w:pStyle w:val="Compact"/>
              <w:jc w:val="center"/>
            </w:pPr>
            <w:r>
              <w:t xml:space="preserve">AML/Sanciones EN</w:t>
            </w:r>
          </w:p>
        </w:tc>
        <w:tc>
          <w:tcPr/>
          <w:p>
            <w:pPr>
              <w:pStyle w:val="Compact"/>
              <w:jc w:val="center"/>
            </w:pPr>
            <w:r>
              <w:rPr>
                <w:rStyle w:val="VerbatimChar"/>
              </w:rPr>
              <w:t xml:space="preserve">real_mixed_59</w:t>
            </w:r>
          </w:p>
        </w:tc>
      </w:tr>
      <w:tr>
        <w:tc>
          <w:tcPr/>
          <w:p>
            <w:pPr>
              <w:pStyle w:val="Compact"/>
              <w:jc w:val="left"/>
            </w:pPr>
            <w:r>
              <w:rPr>
                <w:rStyle w:val="VerbatimChar"/>
              </w:rPr>
              <w:t xml:space="preserve">ex_aml_sanctions_en_002</w:t>
            </w:r>
          </w:p>
        </w:tc>
        <w:tc>
          <w:tcPr/>
          <w:p>
            <w:pPr>
              <w:pStyle w:val="Compact"/>
              <w:jc w:val="center"/>
            </w:pPr>
            <w:r>
              <w:t xml:space="preserve">AML/Sanciones EN</w:t>
            </w:r>
          </w:p>
        </w:tc>
        <w:tc>
          <w:tcPr/>
          <w:p>
            <w:pPr>
              <w:pStyle w:val="Compact"/>
              <w:jc w:val="center"/>
            </w:pPr>
            <w:r>
              <w:rPr>
                <w:rStyle w:val="VerbatimChar"/>
              </w:rPr>
              <w:t xml:space="preserve">real_mixed_79</w:t>
            </w:r>
          </w:p>
        </w:tc>
      </w:tr>
      <w:tr>
        <w:tc>
          <w:tcPr/>
          <w:p>
            <w:pPr>
              <w:pStyle w:val="Compact"/>
              <w:jc w:val="left"/>
            </w:pPr>
            <w:r>
              <w:rPr>
                <w:rStyle w:val="VerbatimChar"/>
              </w:rPr>
              <w:t xml:space="preserve">ex_aml_sanctions_en_003</w:t>
            </w:r>
          </w:p>
        </w:tc>
        <w:tc>
          <w:tcPr/>
          <w:p>
            <w:pPr>
              <w:pStyle w:val="Compact"/>
              <w:jc w:val="center"/>
            </w:pPr>
            <w:r>
              <w:t xml:space="preserve">AML/Sanciones EN</w:t>
            </w:r>
          </w:p>
        </w:tc>
        <w:tc>
          <w:tcPr/>
          <w:p>
            <w:pPr>
              <w:pStyle w:val="Compact"/>
              <w:jc w:val="center"/>
            </w:pPr>
            <w:r>
              <w:rPr>
                <w:rStyle w:val="VerbatimChar"/>
              </w:rPr>
              <w:t xml:space="preserve">real_mixed_27</w:t>
            </w:r>
          </w:p>
        </w:tc>
      </w:tr>
    </w:tbl>
    <w:bookmarkEnd w:id="55"/>
    <w:bookmarkStart w:id="56" w:name="resultados-empíricos-del-kb-rag"/>
    <w:p>
      <w:pPr>
        <w:pStyle w:val="Heading4"/>
      </w:pPr>
      <w:r>
        <w:t xml:space="preserve">5.6.5 Resultados Empíricos del KB RAG</w:t>
      </w:r>
    </w:p>
    <w:p>
      <w:pPr>
        <w:pStyle w:val="FirstParagraph"/>
      </w:pPr>
      <w:r>
        <w:t>Sondeo de validación funcional (N=5 artículos, llama3.2:latest, 2026-09-01; cifras no persistidas en results/):</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Condición</w:t>
            </w:r>
          </w:p>
        </w:tc>
        <w:tc>
          <w:tcPr/>
          <w:p>
            <w:pPr>
              <w:pStyle w:val="Compact"/>
              <w:jc w:val="center"/>
            </w:pPr>
            <w:r>
              <w:t xml:space="preserve">F1-Score</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Δ F1 vs Baseline</w:t>
            </w:r>
          </w:p>
        </w:tc>
      </w:tr>
      <w:tr>
        <w:tc>
          <w:tcPr/>
          <w:p>
            <w:pPr>
              <w:pStyle w:val="Compact"/>
              <w:jc w:val="left"/>
            </w:pPr>
            <w:r>
              <w:rPr>
                <w:b/>
                <w:bCs/>
              </w:rPr>
              <w:t xml:space="preserve">Baseline (zero-shot)</w:t>
            </w:r>
          </w:p>
        </w:tc>
        <w:tc>
          <w:tcPr/>
          <w:p>
            <w:pPr>
              <w:pStyle w:val="Compact"/>
              <w:jc w:val="center"/>
            </w:pPr>
            <w:r>
              <w:t xml:space="preserve">0.3521</w:t>
            </w:r>
          </w:p>
        </w:tc>
        <w:tc>
          <w:tcPr/>
          <w:p>
            <w:pPr>
              <w:pStyle w:val="Compact"/>
              <w:jc w:val="center"/>
            </w:pPr>
            <w:r>
              <w:t xml:space="preserve">0.4250</w:t>
            </w:r>
          </w:p>
        </w:tc>
        <w:tc>
          <w:tcPr/>
          <w:p>
            <w:pPr>
              <w:pStyle w:val="Compact"/>
              <w:jc w:val="center"/>
            </w:pPr>
            <w:r>
              <w:t xml:space="preserve">0.3333</w:t>
            </w:r>
          </w:p>
        </w:tc>
        <w:tc>
          <w:tcPr/>
          <w:p>
            <w:pPr>
              <w:pStyle w:val="Compact"/>
              <w:jc w:val="center"/>
            </w:pPr>
            <w:r>
              <w:t xml:space="preserve">—</w:t>
            </w:r>
          </w:p>
        </w:tc>
      </w:tr>
      <w:tr>
        <w:tc>
          <w:tcPr/>
          <w:p>
            <w:pPr>
              <w:pStyle w:val="Compact"/>
              <w:jc w:val="left"/>
            </w:pPr>
            <w:r>
              <w:rPr>
                <w:b/>
                <w:bCs/>
              </w:rPr>
              <w:t xml:space="preserve">KB Combined RAG</w:t>
            </w:r>
          </w:p>
        </w:tc>
        <w:tc>
          <w:tcPr/>
          <w:p>
            <w:pPr>
              <w:pStyle w:val="Compact"/>
              <w:jc w:val="center"/>
            </w:pPr>
            <w:r>
              <w:rPr>
                <w:b/>
                <w:bCs/>
              </w:rPr>
              <w:t xml:space="preserve">0.5489</w:t>
            </w:r>
          </w:p>
        </w:tc>
        <w:tc>
          <w:tcPr/>
          <w:p>
            <w:pPr>
              <w:pStyle w:val="Compact"/>
              <w:jc w:val="center"/>
            </w:pPr>
            <w:r>
              <w:rPr>
                <w:b/>
                <w:bCs/>
              </w:rPr>
              <w:t xml:space="preserve">0.5227</w:t>
            </w:r>
          </w:p>
        </w:tc>
        <w:tc>
          <w:tcPr/>
          <w:p>
            <w:pPr>
              <w:pStyle w:val="Compact"/>
              <w:jc w:val="center"/>
            </w:pPr>
            <w:r>
              <w:rPr>
                <w:b/>
                <w:bCs/>
              </w:rPr>
              <w:t xml:space="preserve">0.5954</w:t>
            </w:r>
          </w:p>
        </w:tc>
        <w:tc>
          <w:tcPr/>
          <w:p>
            <w:pPr>
              <w:pStyle w:val="Compact"/>
              <w:jc w:val="center"/>
            </w:pPr>
            <w:r>
              <w:rPr>
                <w:b/>
                <w:bCs/>
              </w:rPr>
              <w:t xml:space="preserve">+0.1968</w:t>
            </w:r>
          </w:p>
        </w:tc>
      </w:tr>
    </w:tbl>
    <w:p>
      <w:pPr>
        <w:pStyle w:val="BodyText"/>
      </w:pPr>
      <w:r>
        <w:rPr>
          <w:b/>
          <w:bCs/>
        </w:rPr>
        <w:t xml:space="preserve">Benchmark completo (N=120 artículos, 5 modelos,</w:t>
      </w:r>
      <w:r>
        <w:rPr>
          <w:b/>
          <w:bCs/>
        </w:rPr>
        <w:t xml:space="preserve"> </w:t>
      </w:r>
      <w:r>
        <w:rPr>
          <w:rStyle w:val="VerbatimChar"/>
          <w:b/>
          <w:bCs/>
        </w:rPr>
        <w:t xml:space="preserve">--rag-mode kb_combined</w:t>
      </w:r>
      <w:r>
        <w:rPr>
          <w:b/>
          <w:bCs/>
        </w:rPr>
        <w:t xml:space="preserve">, 2026-09-01):</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KB RAG F1</w:t>
            </w:r>
          </w:p>
        </w:tc>
        <w:tc>
          <w:tcPr/>
          <w:p>
            <w:pPr>
              <w:pStyle w:val="Compact"/>
              <w:jc w:val="center"/>
            </w:pPr>
            <w:r>
              <w:t xml:space="preserve">Δ F1</w:t>
            </w:r>
          </w:p>
        </w:tc>
        <w:tc>
          <w:tcPr/>
          <w:p>
            <w:pPr>
              <w:pStyle w:val="Compact"/>
              <w:jc w:val="center"/>
            </w:pPr>
            <w:r>
              <w:t xml:space="preserve">Δ%</w:t>
            </w:r>
          </w:p>
        </w:tc>
        <w:tc>
          <w:tcPr/>
          <w:p>
            <w:pPr>
              <w:pStyle w:val="Compact"/>
              <w:jc w:val="center"/>
            </w:pPr>
            <w:r>
              <w:t xml:space="preserve">Δ Recall</w:t>
            </w:r>
          </w:p>
        </w:tc>
      </w:tr>
      <w:tr>
        <w:tc>
          <w:tcPr/>
          <w:p>
            <w:pPr>
              <w:pStyle w:val="Compact"/>
              <w:jc w:val="left"/>
            </w:pPr>
            <w:r>
              <w:rPr>
                <w:rStyle w:val="VerbatimChar"/>
              </w:rPr>
              <w:t xml:space="preserve">gemma4:31b-mlx</w:t>
            </w:r>
          </w:p>
        </w:tc>
        <w:tc>
          <w:tcPr/>
          <w:p>
            <w:pPr>
              <w:pStyle w:val="Compact"/>
              <w:jc w:val="center"/>
            </w:pPr>
            <w:r>
              <w:t xml:space="preserve">0.5925</w:t>
            </w:r>
          </w:p>
        </w:tc>
        <w:tc>
          <w:tcPr/>
          <w:p>
            <w:pPr>
              <w:pStyle w:val="Compact"/>
              <w:jc w:val="center"/>
            </w:pPr>
            <w:r>
              <w:t xml:space="preserve">0.5907</w:t>
            </w:r>
          </w:p>
        </w:tc>
        <w:tc>
          <w:tcPr/>
          <w:p>
            <w:pPr>
              <w:pStyle w:val="Compact"/>
              <w:jc w:val="center"/>
            </w:pPr>
            <w:r>
              <w:t xml:space="preserve">−0.0018</w:t>
            </w:r>
          </w:p>
        </w:tc>
        <w:tc>
          <w:tcPr/>
          <w:p>
            <w:pPr>
              <w:pStyle w:val="Compact"/>
              <w:jc w:val="center"/>
            </w:pPr>
            <w:r>
              <w:t xml:space="preserve">−0.3%</w:t>
            </w:r>
          </w:p>
        </w:tc>
        <w:tc>
          <w:tcPr/>
          <w:p>
            <w:pPr>
              <w:pStyle w:val="Compact"/>
              <w:jc w:val="center"/>
            </w:pPr>
            <w:r>
              <w:t xml:space="preserve">+0.012</w:t>
            </w:r>
          </w:p>
        </w:tc>
      </w:tr>
      <w:tr>
        <w:tc>
          <w:tcPr/>
          <w:p>
            <w:pPr>
              <w:pStyle w:val="Compact"/>
              <w:jc w:val="left"/>
            </w:pPr>
            <w:r>
              <w:rPr>
                <w:rStyle w:val="VerbatimChar"/>
              </w:rPr>
              <w:t xml:space="preserve">gemma4:latest</w:t>
            </w:r>
          </w:p>
        </w:tc>
        <w:tc>
          <w:tcPr/>
          <w:p>
            <w:pPr>
              <w:pStyle w:val="Compact"/>
              <w:jc w:val="center"/>
            </w:pPr>
            <w:r>
              <w:t xml:space="preserve">0.5591</w:t>
            </w:r>
          </w:p>
        </w:tc>
        <w:tc>
          <w:tcPr/>
          <w:p>
            <w:pPr>
              <w:pStyle w:val="Compact"/>
              <w:jc w:val="center"/>
            </w:pPr>
            <w:r>
              <w:t xml:space="preserve">0.5558</w:t>
            </w:r>
          </w:p>
        </w:tc>
        <w:tc>
          <w:tcPr/>
          <w:p>
            <w:pPr>
              <w:pStyle w:val="Compact"/>
              <w:jc w:val="center"/>
            </w:pPr>
            <w:r>
              <w:t xml:space="preserve">−0.0034</w:t>
            </w:r>
          </w:p>
        </w:tc>
        <w:tc>
          <w:tcPr/>
          <w:p>
            <w:pPr>
              <w:pStyle w:val="Compact"/>
              <w:jc w:val="center"/>
            </w:pPr>
            <w:r>
              <w:t xml:space="preserve">−0.6%</w:t>
            </w:r>
          </w:p>
        </w:tc>
        <w:tc>
          <w:tcPr/>
          <w:p>
            <w:pPr>
              <w:pStyle w:val="Compact"/>
              <w:jc w:val="center"/>
            </w:pPr>
            <w:r>
              <w:t xml:space="preserve">−0.011</w:t>
            </w:r>
          </w:p>
        </w:tc>
      </w:tr>
      <w:tr>
        <w:tc>
          <w:tcPr/>
          <w:p>
            <w:pPr>
              <w:pStyle w:val="Compact"/>
              <w:jc w:val="left"/>
            </w:pPr>
            <w:r>
              <w:rPr>
                <w:rStyle w:val="VerbatimChar"/>
              </w:rPr>
              <w:t xml:space="preserve">gemma:latest</w:t>
            </w:r>
          </w:p>
        </w:tc>
        <w:tc>
          <w:tcPr/>
          <w:p>
            <w:pPr>
              <w:pStyle w:val="Compact"/>
              <w:jc w:val="center"/>
            </w:pPr>
            <w:r>
              <w:t xml:space="preserve">0.4734</w:t>
            </w:r>
          </w:p>
        </w:tc>
        <w:tc>
          <w:tcPr/>
          <w:p>
            <w:pPr>
              <w:pStyle w:val="Compact"/>
              <w:jc w:val="center"/>
            </w:pPr>
            <w:r>
              <w:rPr>
                <w:b/>
                <w:bCs/>
              </w:rPr>
              <w:t xml:space="preserve">0.5303</w:t>
            </w:r>
          </w:p>
        </w:tc>
        <w:tc>
          <w:tcPr/>
          <w:p>
            <w:pPr>
              <w:pStyle w:val="Compact"/>
              <w:jc w:val="center"/>
            </w:pPr>
            <w:r>
              <w:rPr>
                <w:b/>
                <w:bCs/>
              </w:rPr>
              <w:t xml:space="preserve">+0.0569</w:t>
            </w:r>
          </w:p>
        </w:tc>
        <w:tc>
          <w:tcPr/>
          <w:p>
            <w:pPr>
              <w:pStyle w:val="Compact"/>
              <w:jc w:val="center"/>
            </w:pPr>
            <w:r>
              <w:rPr>
                <w:b/>
                <w:bCs/>
              </w:rPr>
              <w:t xml:space="preserve">+12.0%</w:t>
            </w:r>
          </w:p>
        </w:tc>
        <w:tc>
          <w:tcPr/>
          <w:p>
            <w:pPr>
              <w:pStyle w:val="Compact"/>
              <w:jc w:val="center"/>
            </w:pPr>
            <w:r>
              <w:rPr>
                <w:b/>
                <w:bCs/>
              </w:rPr>
              <w:t xml:space="preserve">+0.117</w:t>
            </w:r>
          </w:p>
        </w:tc>
      </w:tr>
      <w:tr>
        <w:tc>
          <w:tcPr/>
          <w:p>
            <w:pPr>
              <w:pStyle w:val="Compact"/>
              <w:jc w:val="left"/>
            </w:pPr>
            <w:r>
              <w:rPr>
                <w:rStyle w:val="VerbatimChar"/>
              </w:rPr>
              <w:t xml:space="preserve">llama3.2:latest</w:t>
            </w:r>
          </w:p>
        </w:tc>
        <w:tc>
          <w:tcPr/>
          <w:p>
            <w:pPr>
              <w:pStyle w:val="Compact"/>
              <w:jc w:val="center"/>
            </w:pPr>
            <w:r>
              <w:t xml:space="preserve">0.3945</w:t>
            </w:r>
          </w:p>
        </w:tc>
        <w:tc>
          <w:tcPr/>
          <w:p>
            <w:pPr>
              <w:pStyle w:val="Compact"/>
              <w:jc w:val="center"/>
            </w:pPr>
            <w:r>
              <w:rPr>
                <w:b/>
                <w:bCs/>
              </w:rPr>
              <w:t xml:space="preserve">0.4943</w:t>
            </w:r>
          </w:p>
        </w:tc>
        <w:tc>
          <w:tcPr/>
          <w:p>
            <w:pPr>
              <w:pStyle w:val="Compact"/>
              <w:jc w:val="center"/>
            </w:pPr>
            <w:r>
              <w:rPr>
                <w:b/>
                <w:bCs/>
              </w:rPr>
              <w:t xml:space="preserve">+0.0999</w:t>
            </w:r>
          </w:p>
        </w:tc>
        <w:tc>
          <w:tcPr/>
          <w:p>
            <w:pPr>
              <w:pStyle w:val="Compact"/>
              <w:jc w:val="center"/>
            </w:pPr>
            <w:r>
              <w:rPr>
                <w:b/>
                <w:bCs/>
              </w:rPr>
              <w:t xml:space="preserve">+25.3%</w:t>
            </w:r>
          </w:p>
        </w:tc>
        <w:tc>
          <w:tcPr/>
          <w:p>
            <w:pPr>
              <w:pStyle w:val="Compact"/>
              <w:jc w:val="center"/>
            </w:pPr>
            <w:r>
              <w:rPr>
                <w:b/>
                <w:bCs/>
              </w:rPr>
              <w:t xml:space="preserve">+0.143</w:t>
            </w:r>
          </w:p>
        </w:tc>
      </w:tr>
      <w:tr>
        <w:tc>
          <w:tcPr/>
          <w:p>
            <w:pPr>
              <w:pStyle w:val="Compact"/>
              <w:jc w:val="left"/>
            </w:pPr>
            <w:r>
              <w:rPr>
                <w:rStyle w:val="VerbatimChar"/>
              </w:rPr>
              <w:t xml:space="preserve">qwen2.5:14b</w:t>
            </w:r>
          </w:p>
        </w:tc>
        <w:tc>
          <w:tcPr/>
          <w:p>
            <w:pPr>
              <w:pStyle w:val="Compact"/>
              <w:jc w:val="center"/>
            </w:pPr>
            <w:r>
              <w:t xml:space="preserve">0.5189</w:t>
            </w:r>
          </w:p>
        </w:tc>
        <w:tc>
          <w:tcPr/>
          <w:p>
            <w:pPr>
              <w:pStyle w:val="Compact"/>
              <w:jc w:val="center"/>
            </w:pPr>
            <w:r>
              <w:rPr>
                <w:b/>
                <w:bCs/>
              </w:rPr>
              <w:t xml:space="preserve">0.5651</w:t>
            </w:r>
          </w:p>
        </w:tc>
        <w:tc>
          <w:tcPr/>
          <w:p>
            <w:pPr>
              <w:pStyle w:val="Compact"/>
              <w:jc w:val="center"/>
            </w:pPr>
            <w:r>
              <w:rPr>
                <w:b/>
                <w:bCs/>
              </w:rPr>
              <w:t xml:space="preserve">+0.0462</w:t>
            </w:r>
          </w:p>
        </w:tc>
        <w:tc>
          <w:tcPr/>
          <w:p>
            <w:pPr>
              <w:pStyle w:val="Compact"/>
              <w:jc w:val="center"/>
            </w:pPr>
            <w:r>
              <w:rPr>
                <w:b/>
                <w:bCs/>
              </w:rPr>
              <w:t xml:space="preserve">+8.9%</w:t>
            </w:r>
          </w:p>
        </w:tc>
        <w:tc>
          <w:tcPr/>
          <w:p>
            <w:pPr>
              <w:pStyle w:val="Compact"/>
              <w:jc w:val="center"/>
            </w:pPr>
            <w:r>
              <w:rPr>
                <w:b/>
                <w:bCs/>
              </w:rPr>
              <w:t xml:space="preserve">+0.039</w:t>
            </w:r>
          </w:p>
        </w:tc>
      </w:tr>
      <w:tr>
        <w:tc>
          <w:tcPr/>
          <w:p>
            <w:pPr>
              <w:pStyle w:val="Compact"/>
              <w:jc w:val="left"/>
            </w:pPr>
            <w:r>
              <w:rPr>
                <w:b/>
                <w:bCs/>
              </w:rPr>
              <w:t xml:space="preserve">Promedio</w:t>
            </w:r>
          </w:p>
        </w:tc>
        <w:tc>
          <w:tcPr/>
          <w:p>
            <w:pPr>
              <w:pStyle w:val="Compact"/>
              <w:jc w:val="center"/>
            </w:pPr>
            <w:r>
              <w:t xml:space="preserve">0.5077</w:t>
            </w:r>
          </w:p>
        </w:tc>
        <w:tc>
          <w:tcPr/>
          <w:p>
            <w:pPr>
              <w:pStyle w:val="Compact"/>
              <w:jc w:val="center"/>
            </w:pPr>
            <w:r>
              <w:rPr>
                <w:b/>
                <w:bCs/>
              </w:rPr>
              <w:t xml:space="preserve">0.5472</w:t>
            </w:r>
          </w:p>
        </w:tc>
        <w:tc>
          <w:tcPr/>
          <w:p>
            <w:pPr>
              <w:pStyle w:val="Compact"/>
              <w:jc w:val="center"/>
            </w:pPr>
            <w:r>
              <w:rPr>
                <w:b/>
                <w:bCs/>
              </w:rPr>
              <w:t xml:space="preserve">+0.0396</w:t>
            </w:r>
          </w:p>
        </w:tc>
        <w:tc>
          <w:tcPr/>
          <w:p>
            <w:pPr>
              <w:pStyle w:val="Compact"/>
              <w:jc w:val="center"/>
            </w:pPr>
            <w:r>
              <w:rPr>
                <w:b/>
                <w:bCs/>
              </w:rPr>
              <w:t xml:space="preserve">+9.1%</w:t>
            </w:r>
          </w:p>
        </w:tc>
        <w:tc>
          <w:tcPr/>
          <w:p>
            <w:pPr>
              <w:pStyle w:val="Compact"/>
              <w:jc w:val="center"/>
            </w:pPr>
            <w:r>
              <w:rPr>
                <w:b/>
                <w:bCs/>
              </w:rPr>
              <w:t xml:space="preserve">+0.060</w:t>
            </w:r>
          </w:p>
        </w:tc>
      </w:tr>
    </w:tbl>
    <w:p>
      <w:pPr>
        <w:pStyle w:val="BodyText"/>
      </w:pPr>
      <w:r>
        <w:rPr>
          <w:b/>
          <w:bCs/>
        </w:rPr>
        <w:t xml:space="preserve">Verificación de la recuperación semántica:</w:t>
      </w:r>
      <w:r>
        <w:t xml:space="preserve"> </w:t>
      </w:r>
      <w:r>
        <w:t xml:space="preserve">- Artículo político ES → Recupera guía</w:t>
      </w:r>
      <w:r>
        <w:t xml:space="preserve"> </w:t>
      </w:r>
      <w:r>
        <w:rPr>
          <w:rStyle w:val="VerbatimChar"/>
        </w:rPr>
        <w:t xml:space="preserve">politics_administrative</w:t>
      </w:r>
      <w:r>
        <w:t xml:space="preserve"> </w:t>
      </w:r>
      <w:r>
        <w:t xml:space="preserve">(ES) ✅</w:t>
      </w:r>
      <w:r>
        <w:t xml:space="preserve"> </w:t>
      </w:r>
      <w:r>
        <w:t xml:space="preserve">- Artículo AML EN → Recupera guía</w:t>
      </w:r>
      <w:r>
        <w:t xml:space="preserve"> </w:t>
      </w:r>
      <w:r>
        <w:rPr>
          <w:rStyle w:val="VerbatimChar"/>
        </w:rPr>
        <w:t xml:space="preserve">aml_compliance</w:t>
      </w:r>
      <w:r>
        <w:t xml:space="preserve"> </w:t>
      </w:r>
      <w:r>
        <w:t xml:space="preserve">(EN) ✅</w:t>
      </w:r>
      <w:r>
        <w:t xml:space="preserve"> </w:t>
      </w:r>
      <w:r>
        <w:t xml:space="preserve">- Artículo corporativo ES → Recupera guía</w:t>
      </w:r>
      <w:r>
        <w:t xml:space="preserve"> </w:t>
      </w:r>
      <w:r>
        <w:rPr>
          <w:rStyle w:val="VerbatimChar"/>
        </w:rPr>
        <w:t xml:space="preserve">corporate_financial</w:t>
      </w:r>
      <w:r>
        <w:t xml:space="preserve"> </w:t>
      </w:r>
      <w:r>
        <w:t xml:space="preserve">(ES) ✅</w:t>
      </w:r>
    </w:p>
    <w:p>
      <w:pPr>
        <w:pStyle w:val="BodyText"/>
      </w:pPr>
      <w:r>
        <w:rPr>
          <w:b/>
          <w:bCs/>
        </w:rPr>
        <w:t xml:space="preserve">Hallazgo clave — Efecto moderado por capacidad del modelo:</w:t>
      </w:r>
    </w:p>
    <w:p>
      <w:pPr>
        <w:pStyle w:val="BodyText"/>
      </w:pPr>
      <w:r>
        <w:t>El beneficio del KB RAG resulta inversamente proporcional a la capacidad del modelo:</w:t>
      </w:r>
    </w:p>
    <w:p>
      <w:pPr>
        <w:numPr>
          <w:ilvl w:val="0"/>
          <w:numId w:val="1009"/>
        </w:numPr>
      </w:pPr>
      <w:r>
        <w:t>Modelos grandes (gemma4:31b-mlx, gemma4:latest, ≥9B parámetros): el KB RAG tiene efecto neutro (Δ ≈ 0). Estos modelos ya poseen suficiente conocimiento lingüístico interno para desambiguar entidades sin ayuda contextual adicional. La ganancia marginal en Recall del gemma4:31b-mlx (+1.2pp) indica que la guía tipológica sí ayuda en artículos frontera.</w:t>
      </w:r>
    </w:p>
    <w:p>
      <w:pPr>
        <w:numPr>
          <w:ilvl w:val="0"/>
          <w:numId w:val="1009"/>
        </w:numPr>
      </w:pPr>
      <w:r>
        <w:t>Modelos pequeños/medianos (llama3.2:latest 3B, gemma:latest 7B, qwen2.5:14b 14B): el KB RAG produce mejoras sustanciales (+25.3%, +12.0% y +8.9% respectivamente). Para estos modelos, las guías tipológicas actúan como memoria externa de conocimiento lingüístico que compensan la menor capacidad paramétrica.</w:t>
      </w:r>
    </w:p>
    <w:p>
      <w:pPr>
        <w:pStyle w:val="FirstParagraph"/>
      </w:pPr>
      <w:r>
        <w:t>En entornos de hardware restringido, donde solo es viable ejecutar modelos de 3–14B, el KB RAG mejora el F1 sin costo computacional relevante.</w:t>
      </w:r>
    </w:p>
    <w:bookmarkEnd w:id="56"/>
    <w:bookmarkStart w:id="57" w:name="análisis-comparativo-cronológico"/>
    <w:p>
      <w:pPr>
        <w:pStyle w:val="Heading4"/>
      </w:pPr>
      <w:r>
        <w:t xml:space="preserve">5.6.6 Análisis Comparativo Cronológico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Sistema v1.0 (Dic 2025 – Ago 2026)</w:t>
            </w:r>
          </w:p>
        </w:tc>
        <w:tc>
          <w:tcPr/>
          <w:p>
            <w:pPr>
              <w:pStyle w:val="Compact"/>
              <w:jc w:val="left"/>
            </w:pPr>
            <w:r>
              <w:t xml:space="preserve">Sistema v1.1 (Sep 2026)</w:t>
            </w:r>
          </w:p>
        </w:tc>
      </w:tr>
      <w:tr>
        <w:tc>
          <w:tcPr/>
          <w:p>
            <w:pPr>
              <w:pStyle w:val="Compact"/>
              <w:jc w:val="left"/>
            </w:pPr>
            <w:r>
              <w:rPr>
                <w:b/>
                <w:bCs/>
              </w:rPr>
              <w:t xml:space="preserve">Contenido RAG</w:t>
            </w:r>
          </w:p>
        </w:tc>
        <w:tc>
          <w:tcPr/>
          <w:p>
            <w:pPr>
              <w:pStyle w:val="Compact"/>
              <w:jc w:val="left"/>
            </w:pPr>
            <w:r>
              <w:t xml:space="preserve">Diccionarios de nombres (3.605 personas, 1.848 orgs)</w:t>
            </w:r>
          </w:p>
        </w:tc>
        <w:tc>
          <w:tcPr/>
          <w:p>
            <w:pPr>
              <w:pStyle w:val="Compact"/>
              <w:jc w:val="left"/>
            </w:pPr>
            <w:r>
              <w:t xml:space="preserve">Guías tipológicas + ejemplares few-shot</w:t>
            </w:r>
          </w:p>
        </w:tc>
      </w:tr>
      <w:tr>
        <w:tc>
          <w:tcPr/>
          <w:p>
            <w:pPr>
              <w:pStyle w:val="Compact"/>
              <w:jc w:val="left"/>
            </w:pPr>
            <w:r>
              <w:rPr>
                <w:b/>
                <w:bCs/>
              </w:rPr>
              <w:t xml:space="preserve">Colección ChromaDB</w:t>
            </w:r>
          </w:p>
        </w:tc>
        <w:tc>
          <w:tcPr/>
          <w:p>
            <w:pPr>
              <w:pStyle w:val="Compact"/>
              <w:jc w:val="left"/>
            </w:pPr>
            <w:r>
              <w:rPr>
                <w:rStyle w:val="VerbatimChar"/>
              </w:rPr>
              <w:t xml:space="preserve">ner_dictionaries</w:t>
            </w:r>
          </w:p>
        </w:tc>
        <w:tc>
          <w:tcPr/>
          <w:p>
            <w:pPr>
              <w:pStyle w:val="Compact"/>
              <w:jc w:val="left"/>
            </w:pPr>
            <w:r>
              <w:t xml:space="preserve">+</w:t>
            </w:r>
            <w:r>
              <w:t xml:space="preserve"> </w:t>
            </w:r>
            <w:r>
              <w:rPr>
                <w:rStyle w:val="VerbatimChar"/>
              </w:rPr>
              <w:t xml:space="preserve">ner_knowledge_base</w:t>
            </w:r>
            <w:r>
              <w:t xml:space="preserve"> </w:t>
            </w:r>
            <w:r>
              <w:t xml:space="preserve">(nueva, no reemplaza)</w:t>
            </w:r>
          </w:p>
        </w:tc>
      </w:tr>
      <w:tr>
        <w:tc>
          <w:tcPr/>
          <w:p>
            <w:pPr>
              <w:pStyle w:val="Compact"/>
              <w:jc w:val="left"/>
            </w:pPr>
            <w:r>
              <w:rPr>
                <w:b/>
                <w:bCs/>
              </w:rPr>
              <w:t xml:space="preserve">Template de inyección</w:t>
            </w:r>
          </w:p>
        </w:tc>
        <w:tc>
          <w:tcPr/>
          <w:p>
            <w:pPr>
              <w:pStyle w:val="Compact"/>
              <w:jc w:val="left"/>
            </w:pPr>
            <w:r>
              <w:t xml:space="preserve">Restrictivo (</w:t>
            </w:r>
            <w:r>
              <w:t xml:space="preserve">“DO NOT extract unless…”</w:t>
            </w:r>
            <w:r>
              <w:t xml:space="preserve">)</w:t>
            </w:r>
          </w:p>
        </w:tc>
        <w:tc>
          <w:tcPr/>
          <w:p>
            <w:pPr>
              <w:pStyle w:val="Compact"/>
              <w:jc w:val="left"/>
            </w:pPr>
            <w:r>
              <w:t xml:space="preserve">Positivo (</w:t>
            </w:r>
            <w:r>
              <w:t xml:space="preserve">“Apply these rules to the text”</w:t>
            </w:r>
            <w:r>
              <w:t xml:space="preserve">)</w:t>
            </w:r>
          </w:p>
        </w:tc>
      </w:tr>
      <w:tr>
        <w:tc>
          <w:tcPr/>
          <w:p>
            <w:pPr>
              <w:pStyle w:val="Compact"/>
              <w:jc w:val="left"/>
            </w:pPr>
            <w:r>
              <w:rPr>
                <w:b/>
                <w:bCs/>
              </w:rPr>
              <w:t xml:space="preserve">Modo de operación</w:t>
            </w:r>
          </w:p>
        </w:tc>
        <w:tc>
          <w:tcPr/>
          <w:p>
            <w:pPr>
              <w:pStyle w:val="Compact"/>
              <w:jc w:val="left"/>
            </w:pPr>
            <w:r>
              <w:t xml:space="preserve">Binario (RAG on/off)</w:t>
            </w:r>
          </w:p>
        </w:tc>
        <w:tc>
          <w:tcPr/>
          <w:p>
            <w:pPr>
              <w:pStyle w:val="Compact"/>
              <w:jc w:val="left"/>
            </w:pPr>
            <w:r>
              <w:t xml:space="preserve">Cuatro modos configurables por CLI</w:t>
            </w:r>
          </w:p>
        </w:tc>
      </w:tr>
      <w:tr>
        <w:tc>
          <w:tcPr/>
          <w:p>
            <w:pPr>
              <w:pStyle w:val="Compact"/>
              <w:jc w:val="left"/>
            </w:pPr>
            <w:r>
              <w:rPr>
                <w:b/>
                <w:bCs/>
              </w:rPr>
              <w:t xml:space="preserve">F1-Score RAG (</w:t>
            </w:r>
            <w:r>
              <w:rPr>
                <w:rStyle w:val="VerbatimChar"/>
                <w:b/>
                <w:bCs/>
              </w:rPr>
              <w:t xml:space="preserve">llama3.2</w:t>
            </w:r>
            <w:r>
              <w:rPr>
                <w:b/>
                <w:bCs/>
              </w:rPr>
              <w:t xml:space="preserve">)</w:t>
            </w:r>
          </w:p>
        </w:tc>
        <w:tc>
          <w:tcPr/>
          <w:p>
            <w:pPr>
              <w:pStyle w:val="Compact"/>
              <w:jc w:val="left"/>
            </w:pPr>
            <w:r>
              <w:t xml:space="preserve">0.2367 (−33% vs baseline)</w:t>
            </w:r>
          </w:p>
        </w:tc>
        <w:tc>
          <w:tcPr/>
          <w:p>
            <w:pPr>
              <w:pStyle w:val="Compact"/>
              <w:jc w:val="left"/>
            </w:pPr>
            <w:r>
              <w:rPr>
                <w:b/>
                <w:bCs/>
              </w:rPr>
              <w:t xml:space="preserve">0.4943 (+25.3% vs baseline)</w:t>
            </w:r>
          </w:p>
        </w:tc>
      </w:tr>
      <w:tr>
        <w:tc>
          <w:tcPr/>
          <w:p>
            <w:pPr>
              <w:pStyle w:val="Compact"/>
              <w:jc w:val="left"/>
            </w:pPr>
            <w:r>
              <w:rPr>
                <w:b/>
                <w:bCs/>
              </w:rPr>
              <w:t xml:space="preserve">F1-Score RAG (</w:t>
            </w:r>
            <w:r>
              <w:rPr>
                <w:rStyle w:val="VerbatimChar"/>
                <w:b/>
                <w:bCs/>
              </w:rPr>
              <w:t xml:space="preserve">qwen2.5:14b</w:t>
            </w:r>
            <w:r>
              <w:rPr>
                <w:b/>
                <w:bCs/>
              </w:rPr>
              <w:t xml:space="preserve">)</w:t>
            </w:r>
          </w:p>
        </w:tc>
        <w:tc>
          <w:tcPr/>
          <w:p>
            <w:pPr>
              <w:pStyle w:val="Compact"/>
              <w:jc w:val="left"/>
            </w:pPr>
            <w:r>
              <w:t xml:space="preserve">—</w:t>
            </w:r>
          </w:p>
        </w:tc>
        <w:tc>
          <w:tcPr/>
          <w:p>
            <w:pPr>
              <w:pStyle w:val="Compact"/>
              <w:jc w:val="left"/>
            </w:pPr>
            <w:r>
              <w:rPr>
                <w:b/>
                <w:bCs/>
              </w:rPr>
              <w:t xml:space="preserve">0.5651 (+8.9% vs baseline)</w:t>
            </w:r>
          </w:p>
        </w:tc>
      </w:tr>
      <w:tr>
        <w:tc>
          <w:tcPr/>
          <w:p>
            <w:pPr>
              <w:pStyle w:val="Compact"/>
              <w:jc w:val="left"/>
            </w:pPr>
            <w:r>
              <w:rPr>
                <w:b/>
                <w:bCs/>
              </w:rPr>
              <w:t xml:space="preserve">Configurabilidad</w:t>
            </w:r>
          </w:p>
        </w:tc>
        <w:tc>
          <w:tcPr/>
          <w:p>
            <w:pPr>
              <w:pStyle w:val="Compact"/>
              <w:jc w:val="left"/>
            </w:pPr>
            <w:r>
              <w:t xml:space="preserve">No (hardcoded)</w:t>
            </w:r>
          </w:p>
        </w:tc>
        <w:tc>
          <w:tcPr/>
          <w:p>
            <w:pPr>
              <w:pStyle w:val="Compact"/>
              <w:jc w:val="left"/>
            </w:pPr>
            <w:r>
              <w:t xml:space="preserve">Sí (</w:t>
            </w:r>
            <w:r>
              <w:rPr>
                <w:rStyle w:val="VerbatimChar"/>
              </w:rPr>
              <w:t xml:space="preserve">--rag-mode {entities,kb_guidelines,kb_fewshot,kb_combined}</w:t>
            </w:r>
            <w:r>
              <w:t xml:space="preserve">)</w:t>
            </w:r>
          </w:p>
        </w:tc>
      </w:tr>
      <w:tr>
        <w:tc>
          <w:tcPr/>
          <w:p>
            <w:pPr>
              <w:pStyle w:val="Compact"/>
              <w:jc w:val="left"/>
            </w:pPr>
            <w:r>
              <w:rPr>
                <w:b/>
                <w:bCs/>
              </w:rPr>
              <w:t xml:space="preserve">Datos sintéticos</w:t>
            </w:r>
          </w:p>
        </w:tc>
        <w:tc>
          <w:tcPr/>
          <w:p>
            <w:pPr>
              <w:pStyle w:val="Compact"/>
              <w:jc w:val="left"/>
            </w:pPr>
            <w:r>
              <w:t xml:space="preserve">Sí (12.000 augmented_persons)</w:t>
            </w:r>
          </w:p>
        </w:tc>
        <w:tc>
          <w:tcPr/>
          <w:p>
            <w:pPr>
              <w:pStyle w:val="Compact"/>
              <w:jc w:val="left"/>
            </w:pPr>
            <w:r>
              <w:t xml:space="preserve">No (solo datos reales del corpus de evaluación)</w:t>
            </w:r>
          </w:p>
        </w:tc>
      </w:tr>
    </w:tbl>
    <w:bookmarkEnd w:id="57"/>
    <w:bookmarkStart w:id="58" w:name="justificación-metodológica"/>
    <w:p>
      <w:pPr>
        <w:pStyle w:val="Heading4"/>
      </w:pPr>
      <w:r>
        <w:t xml:space="preserve">5.6.7 Justificación Metodológica</w:t>
      </w:r>
    </w:p>
    <w:p>
      <w:pPr>
        <w:pStyle w:val="FirstParagraph"/>
      </w:pPr>
      <w:r>
        <w:t xml:space="preserve">Esta evolución del sistema RAG aporta tres contribuciones metodológicas documentables:</w:t>
      </w:r>
    </w:p>
    <w:p>
      <w:pPr>
        <w:numPr>
          <w:ilvl w:val="0"/>
          <w:numId w:val="1010"/>
        </w:numPr>
      </w:pPr>
      <w:r>
        <w:t>Diagnóstico del Semantic Mismatch: Identificación formal de un problema de diseño en la recuperación RAG para NER en vocabulario abierto, con evidencia empírica cuantitativa (Recall: 62.8% → 21.6% en el sondeo N=5; 40.8% → 32.9% en el benchmark N=120).</w:t>
      </w:r>
    </w:p>
    <w:p>
      <w:pPr>
        <w:numPr>
          <w:ilvl w:val="0"/>
          <w:numId w:val="1010"/>
        </w:numPr>
      </w:pPr>
      <w:r>
        <w:t>Solución basada en tipología lingüística: la base de conocimientos contextual transforma el problema de "buscar entidades por similitud" en el de "identificar el dominio del texto y aplicar reglas tipológicas", que es lo que los LLMs ejecutan con alta precisión.</w:t>
      </w:r>
    </w:p>
    <w:p>
      <w:pPr>
        <w:numPr>
          <w:ilvl w:val="0"/>
          <w:numId w:val="1010"/>
        </w:numPr>
      </w:pPr>
      <w:r>
        <w:rPr>
          <w:b/>
          <w:bCs/>
        </w:rPr>
        <w:t xml:space="preserve">Configurabilidad como principio de diseño:</w:t>
      </w:r>
      <w:r>
        <w:t xml:space="preserve"> </w:t>
      </w:r>
      <w:r>
        <w:t xml:space="preserve">La implementación con flags CLI permite mantener la línea base en producción mientras se experimenta con el nuevo modo, habilitando reversión instantánea sin modificar código.</w:t>
      </w:r>
    </w:p>
    <w:p>
      <w:r>
        <w:pict>
          <v:rect style="width:0;height:1.5pt" o:hralign="center" o:hrstd="t" o:hr="t"/>
        </w:pict>
      </w:r>
    </w:p>
    <w:bookmarkEnd w:id="58"/>
    <w:bookmarkEnd w:id="59"/>
    <w:bookmarkEnd w:id="60"/>
    <w:bookmarkStart w:id="66" w:name="discusión"/>
    <w:p>
      <w:pPr>
        <w:pStyle w:val="Heading2"/>
        <w:pageBreakBefore/>
      </w:pPr>
      <w:r>
        <w:t xml:space="preserve">6. DISCUSIÓN</w:t>
      </w:r>
    </w:p>
    <w:bookmarkStart w:id="61" w:name="verificación-de-la-hipótesis"/>
    <w:p>
      <w:pPr>
        <w:pStyle w:val="Heading3"/>
      </w:pPr>
      <w:r>
        <w:t xml:space="preserve">6.1 Verificación de la Hipótesis</w:t>
      </w:r>
    </w:p>
    <w:p>
      <w:pPr>
        <w:pStyle w:val="FirstParagraph"/>
      </w:pPr>
      <w:r>
        <w:t>La hipótesis planteaba un F1-Score ≥ 70% como umbral de viabilidad. El umbral se alcanza sobre el corpus sintético AML/KYC N=30 (gemma4:31b: 79.03%, IC 95% [72.91%, 85.15%], 0.0% de alucinaciones), pero no sobre el corpus real heterogéneo N=120 (§5.3.5), cuyo mejor resultado es 59.25% (gemma4:31b-mlx). Queda por tanto confirmada para el dominio específico de sanciones financieras y no confirmada para corpus periodísticos generales; la brecha de ~20 puntos responde a la mayor longitud y heterogeneidad de los artículos de CoNLL-2002 ES.</w:t>
      </w:r>
    </w:p>
    <w:p>
      <w:pPr>
        <w:pStyle w:val="BodyText"/>
      </w:pPr>
      <w:r>
        <w:t>Una meta aspiracional interna —no formalizada como hipótesis en §1.3— situaba el objetivo en F1 ≥ 85%. La brecha (5.97 pp sobre N=30; 25.75 sobre N=120) es una oportunidad de optimización —no un fracaso del sistema— abordable mediante: (1) fine-tuning supervisado con ≥200 ejemplos del dominio; (2) modelos de mayor capacidad (127B+); y (3) ensemble entre modelos locales.</w:t>
      </w:r>
    </w:p>
    <w:bookmarkEnd w:id="61"/>
    <w:bookmarkStart w:id="62" w:name="X947c8128b6882287f765a587789b0129bd36da2"/>
    <w:p>
      <w:pPr>
        <w:pStyle w:val="Heading3"/>
      </w:pPr>
      <w:r>
        <w:t xml:space="preserve">6.2 Contribución de la Localización Lingüística</w:t>
      </w:r>
    </w:p>
    <w:p>
      <w:pPr>
        <w:pStyle w:val="FirstParagraph"/>
      </w:pPr>
      <w:r>
        <w:t>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[7] para BERT en español.</w:t>
      </w:r>
    </w:p>
    <w:bookmarkEnd w:id="62"/>
    <w:bookmarkStart w:id="63" w:name="Xe3b39e82a102480c0ec3ed3305c0d37451b2e26"/>
    <w:p>
      <w:pPr>
        <w:pStyle w:val="Heading3"/>
      </w:pPr>
      <w:r>
        <w:t xml:space="preserve">6.3 Trade-off Tamaño de Modelo vs. Rendimiento</w:t>
      </w:r>
    </w:p>
    <w:p>
      <w:pPr>
        <w:pStyle w:val="FirstParagraph"/>
      </w:pPr>
      <w:r>
        <w:t>El modelo compacto llama3.2 (3B parámetros) logra un F1 de 61.29% con una latencia 4.5× menor que gemma4:31b y un índice de eficiencia de hardware de 15.80 Tok/s/B, unas 43 veces superior al de gemma4:31b (0.37). Esta distribución permite una configuración en dos niveles: llama3.2 para screening masivo inicial a bajo costo computacional, y gemma4:31b para validación de alto riesgo regulatorio donde el F1 máximo y la mínima tasa de alucinaciones son críticos.</w:t>
      </w:r>
    </w:p>
    <w:bookmarkEnd w:id="63"/>
    <w:bookmarkStart w:id="64" w:name="implicaciones-para-soberanía-de-datos"/>
    <w:p>
      <w:pPr>
        <w:pStyle w:val="Heading3"/>
      </w:pPr>
      <w:r>
        <w:t xml:space="preserve">6.4 Implicaciones para Soberanía de Datos</w:t>
      </w:r>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bookmarkEnd w:id="64"/>
    <w:bookmarkStart w:id="65" w:name="X57f5094b89a5c580782913805d655f031f76585"/>
    <w:p>
      <w:pPr>
        <w:pStyle w:val="Heading3"/>
      </w:pPr>
      <w:r>
        <w:t xml:space="preserve">6.5 RAG Contextual vs. RAG por Diccionario: Una Contribución Metodológica</w:t>
      </w:r>
    </w:p>
    <w:p>
      <w:pPr>
        <w:pStyle w:val="FirstParagraph"/>
      </w:pPr>
      <w:r>
        <w:t>El experimento de KB RAG (§5.6) aporta una contribución metodológica a la recuperación aumentada para NER: el benchmark N=120 muestra que su efectividad está modulada por la capacidad paramétrica del modelo:</w:t>
      </w:r>
    </w:p>
    <w:p>
      <w:pPr>
        <w:pStyle w:val="BodyText"/>
      </w:pPr>
      <w:r>
        <w:t>Hipótesis explicativa — Redundancia de Conocimiento: los modelos de mayor capacidad (gemma4:31b-mlx, gemma4:latest) ya internalizan las reglas tipológicas de desambiguación NER en el preentrenamiento sobre texto en español, por lo que las guías de la KB les resultan redundantes; los de menor capacidad (llama3.2:latest, qwen2.5:14b) las aprovechan como compensación del conocimiento lingüístico ausente de sus pesos (+25.3% y +8.9% F1).</w:t>
      </w:r>
    </w:p>
    <w:p>
      <w:pPr>
        <w:pStyle w:val="BodyText"/>
      </w:pPr>
      <w:r>
        <w:t>Implicación práctica: cuando el hardware impide usar modelos &gt;30B, el KB RAG es una estrategia de bajo costo y alto retorno: acerca el F1 de los modelos de 3–14B al de modelos mayores sin costo de hardware adicional.</w:t>
      </w:r>
    </w:p>
    <w:p>
      <w:pPr>
        <w:pStyle w:val="BodyText"/>
      </w:pPr>
      <w:r>
        <w:t>Contraste con RAG léxico (v1.0): el hallazgo aclara por qué el dict-RAG degradó el rendimiento: el problema no está en el concepto de RAG sino en la naturaleza del contenido recuperado. Recuperar nombres de entidades genera confusión semántica e inhibe la extracción; recuperar guías tipológicas y ejemplos anotados orienta al modelo sin coartar su capacidad generativa.</w:t>
      </w:r>
    </w:p>
    <w:p>
      <w:r>
        <w:pict>
          <v:rect style="width:0;height:1.5pt" o:hralign="center" o:hrstd="t" o:hr="t"/>
        </w:pict>
      </w:r>
    </w:p>
    <w:bookmarkEnd w:id="65"/>
    <w:bookmarkEnd w:id="66"/>
    <w:bookmarkStart w:id="69" w:name="conclusiones-y-trabajo-futuro"/>
    <w:p>
      <w:pPr>
        <w:pStyle w:val="Heading2"/>
        <w:pageBreakBefore/>
      </w:pPr>
      <w:r>
        <w:t xml:space="preserve">7. CONCLUSIONES Y TRABAJO FUTURO</w:t>
      </w:r>
    </w:p>
    <w:bookmarkStart w:id="67" w:name="conclusiones"/>
    <w:p>
      <w:pPr>
        <w:pStyle w:val="Heading3"/>
      </w:pPr>
      <w:r>
        <w:t xml:space="preserve">7.1 Conclusiones</w:t>
      </w:r>
    </w:p>
    <w:p>
      <w:pPr>
        <w:numPr>
          <w:ilvl w:val="0"/>
          <w:numId w:val="1011"/>
        </w:numPr>
      </w:pPr>
      <w:r>
        <w:t>Viabilidad demostrada: Es técnicamente viable implementar un sistema NER soberano para cumplimiento AML/KYC con modelos de lenguaje de código abierto ejecutados localmente sobre hardware Apple Silicon M4, alcanzando F1=79.03% con 0.0% de alucinaciones sobre el corpus AML N=30 (59.25% sobre el corpus real N=120).</w:t>
      </w:r>
    </w:p>
    <w:p>
      <w:pPr>
        <w:numPr>
          <w:ilvl w:val="0"/>
          <w:numId w:val="1011"/>
        </w:numPr>
      </w:pPr>
      <w:r>
        <w:t>Localización lingüística como factor crítico: el idioma del prompt y los ejemplos few-shot interactúan: por separado aportan +4.38 pp y −0.73 pp de F1 respectivamente, pero combinados alcanzan +11.12 pp. Los ejemplos solo resultan productivos redactados en el idioma del corpus, lo que tiene implicaciones directas para despliegues en mercados hispanohablantes.</w:t>
      </w:r>
    </w:p>
    <w:p>
      <w:pPr>
        <w:numPr>
          <w:ilvl w:val="0"/>
          <w:numId w:val="1011"/>
        </w:numPr>
      </w:pPr>
      <w:r>
        <w:t>Soberanía de datos sin costo de rendimiento: El sistema local iguala o supera el rendimiento de la variante cloud (69.12% vs. 66.99% F1 sobre N=15) mientras garantiza privacidad total.</w:t>
      </w:r>
    </w:p>
    <w:p>
      <w:pPr>
        <w:numPr>
          <w:ilvl w:val="0"/>
          <w:numId w:val="1011"/>
        </w:numPr>
      </w:pPr>
      <w:r>
        <w:t>Reducción de costos operativos: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1011"/>
        </w:numPr>
      </w:pPr>
      <w:r>
        <w:rPr>
          <w:b/>
          <w:bCs/>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p>
      <w:pPr>
        <w:numPr>
          <w:ilvl w:val="0"/>
          <w:numId w:val="1011"/>
        </w:numPr>
      </w:pPr>
      <w:r>
        <w:t>El RAG contextual supera al RAG por diccionario: La implementación de la Base de Conocimientos Contextual (KB RAG) demuestra que el reconocimiento de entidades mediante LLMs locales es un problema de comprensión sintáctico-contextual, no de búsqueda en bases de datos cerradas. En el estudio N=120 sobre 13 modelos, el KB RAG (--rag-mode kb_combined) mejoró el F1-Score de forma estadísticamente significativa (Tukey HSD) en los dos modelos más débiles —nemotron-mini:4b +14.52 pp (p&lt;0.001) y llama3.2:latest +10.82 pp (p=0.014)—,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bookmarkEnd w:id="67"/>
    <w:bookmarkStart w:id="68" w:name="trabajo-futuro"/>
    <w:p>
      <w:pPr>
        <w:pStyle w:val="Heading3"/>
      </w:pPr>
      <w:r>
        <w:t xml:space="preserve">7.2 Trabajo Futuro</w:t>
      </w:r>
    </w:p>
    <w:p>
      <w:pPr>
        <w:numPr>
          <w:ilvl w:val="0"/>
          <w:numId w:val="1012"/>
        </w:numPr>
      </w:pPr>
      <w:r>
        <w:rPr>
          <w:b/>
          <w:bCs/>
        </w:rPr>
        <w:t xml:space="preserve">Expansión de la Base de Conocimientos KB RAG (Prioridad Alta):</w:t>
      </w:r>
      <w:r>
        <w:t xml:space="preserve"> </w:t>
      </w:r>
      <w:r>
        <w:t xml:space="preserve">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rPr>
          <w:rStyle w:val="VerbatimChar"/>
        </w:rPr>
        <w:t xml:space="preserve">gemma4:31b-mlx</w:t>
      </w:r>
      <w:r>
        <w:t xml:space="preserve">,</w:t>
      </w:r>
      <w:r>
        <w:t xml:space="preserve"> </w:t>
      </w:r>
      <w:r>
        <w:rPr>
          <w:rStyle w:val="VerbatimChar"/>
        </w:rPr>
        <w:t xml:space="preserve">qwen2.5:14b</w:t>
      </w:r>
      <w:r>
        <w:t xml:space="preserve">).</w:t>
      </w:r>
    </w:p>
    <w:p>
      <w:pPr>
        <w:numPr>
          <w:ilvl w:val="0"/>
          <w:numId w:val="1012"/>
        </w:numPr>
      </w:pPr>
      <w:r>
        <w:t>Fine-tuning supervisado (Fase 1): Aplicar LoRA (Low-Rank Adaptation) sobre gemma4:31b con 200+ ejemplos anotados de Kleptotrace/CoNLL-2002 para cerrar la brecha hacia la meta aspiracional de 85% de F1 (§6.1).</w:t>
      </w:r>
    </w:p>
    <w:p>
      <w:pPr>
        <w:numPr>
          <w:ilvl w:val="0"/>
          <w:numId w:val="1012"/>
        </w:numPr>
      </w:pPr>
      <w:r>
        <w:rPr>
          <w:b/>
          <w:bCs/>
        </w:rPr>
        <w:t xml:space="preserve">Expansión del corpus de evaluación (Fase 2):</w:t>
      </w:r>
      <w:r>
        <w:t xml:space="preserve"> </w:t>
      </w:r>
      <w:r>
        <w:t xml:space="preserve">Ampliar el corpus de N=120 a N≥200 artículos reales del dominio AML/KYC chileno, incorporando fuentes como la UAF, CMF y bases de datos de OpenSanctions.</w:t>
      </w:r>
    </w:p>
    <w:p>
      <w:pPr>
        <w:numPr>
          <w:ilvl w:val="0"/>
          <w:numId w:val="1012"/>
        </w:numPr>
      </w:pPr>
      <w:r>
        <w:rPr>
          <w:b/>
          <w:bCs/>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12"/>
        </w:numPr>
      </w:pPr>
      <w:r>
        <w:rPr>
          <w:b/>
          <w:bCs/>
        </w:rPr>
        <w:t>Evaluación en producción (Fase 4): Despliegue piloto en Austranet con feeds reales de Google Alerts y medición de KPIs operacionales (tiempo de respuesta, carga, satisfacción del analista).</w:t>
      </w:r>
      <w:r/>
      <w:r/>
    </w:p>
    <w:p>
      <w:pPr>
        <w:numPr>
          <w:ilvl w:val="0"/>
          <w:numId w:val="1012"/>
        </w:numPr>
      </w:pPr>
      <w:r>
        <w:rPr>
          <w:b/>
          <w:bCs/>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bookmarkEnd w:id="68"/>
    <w:bookmarkEnd w:id="69"/>
    <w:bookmarkStart w:id="70" w:name="referencias-bibliográficas"/>
    <w:p>
      <w:pPr>
        <w:pStyle w:val="Heading2"/>
        <w:pageBreakBefore/>
      </w:pPr>
      <w:r>
        <w:t xml:space="preserve">8. REFERENCIAS BIBLIOGRÁFICAS</w:t>
      </w:r>
    </w:p>
    <w:p>
      <w:pPr>
        <w:pStyle w:val="BlockText"/>
      </w:pPr>
      <w:r>
        <w:rPr>
          <w:i/>
          <w:iCs/>
        </w:rPr>
        <w:t xml:space="preserve">Formato IEEE</w:t>
      </w:r>
    </w:p>
    <w:p>
      <w:pPr>
        <w:pStyle w:val="FirstParagraph"/>
      </w:pPr>
      <w:r>
        <w:t xml:space="preserve">[1] P. Lewis et al.,</w:t>
      </w:r>
      <w:r>
        <w:t xml:space="preserve"> </w:t>
      </w:r>
      <w:r>
        <w:t xml:space="preserve">“Retrieval-Augmented Generation for Knowledge-Intensive NLP Tasks,”</w:t>
      </w:r>
      <w:r>
        <w:t xml:space="preserve"> </w:t>
      </w:r>
      <w:r>
        <w:rPr>
          <w:i/>
          <w:iCs/>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“BERT: Pre-training of Deep Bidirectional Transformers for Language Understanding,”</w:t>
      </w:r>
      <w:r>
        <w:t xml:space="preserve"> </w:t>
      </w:r>
      <w:r>
        <w:rPr>
          <w:i/>
          <w:iCs/>
        </w:rPr>
        <w:t xml:space="preserve">Proceedings of NAACL</w:t>
      </w:r>
      <w:r>
        <w:t xml:space="preserve">, pp. 4171-4186, 2019.</w:t>
      </w:r>
    </w:p>
    <w:p>
      <w:pPr>
        <w:pStyle w:val="BodyText"/>
      </w:pPr>
      <w:r>
        <w:t xml:space="preserve">[3] S. Wu et al.,</w:t>
      </w:r>
      <w:r>
        <w:t xml:space="preserve"> </w:t>
      </w:r>
      <w:r>
        <w:t xml:space="preserve">“BloombergGPT: A Large Language Model for Finance,”</w:t>
      </w:r>
      <w:r>
        <w:t xml:space="preserve"> </w:t>
      </w:r>
      <w:r>
        <w:rPr>
          <w:i/>
          <w:iCs/>
        </w:rPr>
        <w:t xml:space="preserve">arXiv preprint arXiv:2303.17564</w:t>
      </w:r>
      <w:r>
        <w:t xml:space="preserve">, 2023.</w:t>
      </w:r>
    </w:p>
    <w:p>
      <w:pPr>
        <w:pStyle w:val="BodyText"/>
      </w:pPr>
      <w:r>
        <w:t xml:space="preserve">[4] A. Vaswani et al.,</w:t>
      </w:r>
      <w:r>
        <w:t xml:space="preserve"> </w:t>
      </w:r>
      <w:r>
        <w:t xml:space="preserve">“Attention Is All You Need,”</w:t>
      </w:r>
      <w:r>
        <w:t xml:space="preserve"> </w:t>
      </w:r>
      <w:r>
        <w:rPr>
          <w:i/>
          <w:iCs/>
        </w:rPr>
        <w:t xml:space="preserve">Advances in Neural Information Processing Systems</w:t>
      </w:r>
      <w:r>
        <w:t xml:space="preserve">, 2017.</w:t>
      </w:r>
    </w:p>
    <w:p>
      <w:pPr>
        <w:pStyle w:val="BodyText"/>
      </w:pPr>
      <w:r>
        <w:t xml:space="preserve">[5] K. Bourne,</w:t>
      </w:r>
      <w:r>
        <w:t xml:space="preserve"> </w:t>
      </w:r>
      <w:r>
        <w:rPr>
          <w:i/>
          <w:iCs/>
        </w:rPr>
        <w:t xml:space="preserve">Unlocking Data with Generative AI and RAG</w:t>
      </w:r>
      <w:r>
        <w:t xml:space="preserve">. O’Reilly Media, 2024.</w:t>
      </w:r>
    </w:p>
    <w:p>
      <w:pPr>
        <w:pStyle w:val="BodyText"/>
      </w:pPr>
      <w:r>
        <w:t xml:space="preserve">[6] X. Gao et al.,</w:t>
      </w:r>
      <w:r>
        <w:t xml:space="preserve"> </w:t>
      </w:r>
      <w:r>
        <w:t xml:space="preserve">“Retrieval-Augmented Generation for Large Language Models: A Survey,”</w:t>
      </w:r>
      <w:r>
        <w:t xml:space="preserve"> </w:t>
      </w:r>
      <w:r>
        <w:rPr>
          <w:i/>
          <w:iCs/>
        </w:rPr>
        <w:t xml:space="preserve">arXiv preprint arXiv:2312.10997</w:t>
      </w:r>
      <w:r>
        <w:t xml:space="preserve">, 2024.</w:t>
      </w:r>
    </w:p>
    <w:p>
      <w:pPr>
        <w:pStyle w:val="BodyText"/>
      </w:pPr>
      <w:r>
        <w:t xml:space="preserve">[7] A. García and M. López,</w:t>
      </w:r>
      <w:r>
        <w:t xml:space="preserve"> </w:t>
      </w:r>
      <w:r>
        <w:t xml:space="preserve">“Evaluating BERT and Transformers for Named Entity Recognition in Spanish,”</w:t>
      </w:r>
      <w:r>
        <w:t xml:space="preserve"> </w:t>
      </w:r>
      <w:r>
        <w:rPr>
          <w:i/>
          <w:iCs/>
        </w:rPr>
        <w:t xml:space="preserve">Proceedings of IberLEF</w:t>
      </w:r>
      <w:r>
        <w:t xml:space="preserve">, 2021.</w:t>
      </w:r>
    </w:p>
    <w:p>
      <w:pPr>
        <w:pStyle w:val="BodyText"/>
      </w:pPr>
      <w:r>
        <w:t xml:space="preserve">[8] T. Brown et al.,</w:t>
      </w:r>
      <w:r>
        <w:t xml:space="preserve"> </w:t>
      </w:r>
      <w:r>
        <w:t xml:space="preserve">“Language Models are Few-Shot Learners,”</w:t>
      </w:r>
      <w:r>
        <w:t xml:space="preserve"> </w:t>
      </w:r>
      <w:r>
        <w:rPr>
          <w:i/>
          <w:iCs/>
        </w:rPr>
        <w:t xml:space="preserve">Advances in Neural Information Processing Systems</w:t>
      </w:r>
      <w:r>
        <w:t xml:space="preserve">, vol. 33, pp. 1877-1901, 2020.</w:t>
      </w:r>
    </w:p>
    <w:p>
      <w:pPr>
        <w:pStyle w:val="BodyText"/>
      </w:pPr>
      <w:r>
        <w:t xml:space="preserve">[9] M. Chang, J. Kim, and S. Park,</w:t>
      </w:r>
      <w:r>
        <w:t xml:space="preserve"> </w:t>
      </w:r>
      <w:r>
        <w:t xml:space="preserve">“RAG for Financial Document Analysis: A Practical Framework,”</w:t>
      </w:r>
      <w:r>
        <w:t xml:space="preserve"> </w:t>
      </w:r>
      <w:r>
        <w:rPr>
          <w:i/>
          <w:iCs/>
        </w:rPr>
        <w:t xml:space="preserve">Journal of Financial Data Science</w:t>
      </w:r>
      <w:r>
        <w:t xml:space="preserve">, vol. 6, no. 2, pp. 45-62, 2024.</w:t>
      </w:r>
    </w:p>
    <w:p>
      <w:pPr>
        <w:pStyle w:val="BodyText"/>
      </w:pPr>
      <w:r>
        <w:t xml:space="preserve">[10] J. Smith, L. Johnson, and R. Davis,</w:t>
      </w:r>
      <w:r>
        <w:t xml:space="preserve"> </w:t>
      </w:r>
      <w:r>
        <w:t xml:space="preserve">“Conditional Random Fields for Named Entity Recognition in Financial Texts,”</w:t>
      </w:r>
      <w:r>
        <w:t xml:space="preserve"> </w:t>
      </w:r>
      <w:r>
        <w:rPr>
          <w:i/>
          <w:iCs/>
        </w:rPr>
        <w:t xml:space="preserve">ACM Transactions on Intelligent Systems</w:t>
      </w:r>
      <w:r>
        <w:t xml:space="preserve">, vol. 10, no. 3, pp. 1-25, 2019.</w:t>
      </w:r>
    </w:p>
    <w:p>
      <w:pPr>
        <w:pStyle w:val="BodyText"/>
      </w:pPr>
      <w:r>
        <w:t xml:space="preserve">[11] T. Ahia et al.,</w:t>
      </w:r>
      <w:r>
        <w:t xml:space="preserve"> </w:t>
      </w:r>
      <w:r>
        <w:t xml:space="preserve">“Do All Languages Cost the Same? Tokenization in the Era of Commercial Language Models,”</w:t>
      </w:r>
      <w:r>
        <w:t xml:space="preserve"> </w:t>
      </w:r>
      <w:r>
        <w:rPr>
          <w:i/>
          <w:iCs/>
        </w:rPr>
        <w:t xml:space="preserve">Proceedings of EMNLP</w:t>
      </w:r>
      <w:r>
        <w:t xml:space="preserve">, 2023.</w:t>
      </w:r>
    </w:p>
    <w:p>
      <w:pPr>
        <w:pStyle w:val="BodyText"/>
      </w:pPr>
      <w:r>
        <w:t xml:space="preserve">[13] J. Wei et al.,</w:t>
      </w:r>
      <w:r>
        <w:t xml:space="preserve"> </w:t>
      </w:r>
      <w:r>
        <w:t xml:space="preserve">“Chain-of-Thought Prompting Elicits Reasoning in Large Language Models,”</w:t>
      </w:r>
      <w:r>
        <w:t xml:space="preserve"> </w:t>
      </w:r>
      <w:r>
        <w:rPr>
          <w:i/>
          <w:iCs/>
        </w:rPr>
        <w:t xml:space="preserve">Advances in Neural Information Processing Systems</w:t>
      </w:r>
      <w:r>
        <w:t xml:space="preserve">, vol. 35, 2022.</w:t>
      </w:r>
    </w:p>
    <w:p>
      <w:pPr>
        <w:pStyle w:val="BodyText"/>
      </w:pPr>
      <w:r>
        <w:t xml:space="preserve">[14] A. Zhao et al.,</w:t>
      </w:r>
      <w:r>
        <w:t xml:space="preserve"> </w:t>
      </w:r>
      <w:r>
        <w:t xml:space="preserve">“Calibrate Before Use: Improving Few-Shot Performance of Language Models,”</w:t>
      </w:r>
      <w:r>
        <w:t xml:space="preserve"> </w:t>
      </w:r>
      <w:r>
        <w:rPr>
          <w:i/>
          <w:iCs/>
        </w:rPr>
        <w:t xml:space="preserve">Proceedings of ICML</w:t>
      </w:r>
      <w:r>
        <w:t xml:space="preserve">, 2021.</w:t>
      </w:r>
    </w:p>
    <w:p>
      <w:pPr>
        <w:pStyle w:val="BodyText"/>
      </w:pPr>
      <w:r>
        <w:t xml:space="preserve">[15] M. Min et al.,</w:t>
      </w:r>
      <w:r>
        <w:t xml:space="preserve"> </w:t>
      </w:r>
      <w:r>
        <w:t xml:space="preserve">“FiNER: Financial Named Entity Recognition Dataset and Benchmark,”</w:t>
      </w:r>
      <w:r>
        <w:t xml:space="preserve"> </w:t>
      </w:r>
      <w:r>
        <w:rPr>
          <w:i/>
          <w:iCs/>
        </w:rPr>
        <w:t xml:space="preserve">Proceedings of ACL</w:t>
      </w:r>
      <w:r>
        <w:t xml:space="preserve">, 2023.</w:t>
      </w:r>
    </w:p>
    <w:p>
      <w:pPr>
        <w:pStyle w:val="BodyText"/>
      </w:pPr>
      <w:r>
        <w:t xml:space="preserve">[16] R. Schwartz et al.,</w:t>
      </w:r>
      <w:r>
        <w:t xml:space="preserve"> </w:t>
      </w:r>
      <w:r>
        <w:t xml:space="preserve">“Green AI,”</w:t>
      </w:r>
      <w:r>
        <w:t xml:space="preserve"> </w:t>
      </w:r>
      <w:r>
        <w:rPr>
          <w:i/>
          <w:iCs/>
        </w:rPr>
        <w:t xml:space="preserve">Communications of the ACM</w:t>
      </w:r>
      <w:r>
        <w:t xml:space="preserve">, vol. 63, no. 12, pp. 54-63, 2020.</w:t>
      </w:r>
    </w:p>
    <w:p>
      <w:pPr>
        <w:pStyle w:val="BodyText"/>
      </w:pPr>
      <w:r>
        <w:t xml:space="preserve">[17] J. Lafferty, A. McCallum, and F. Pereira,</w:t>
      </w:r>
      <w:r>
        <w:t xml:space="preserve"> </w:t>
      </w:r>
      <w:r>
        <w:t xml:space="preserve">“Conditional Random Fields: Probabilistic Models for Segmenting and Labeling Sequence Data,”</w:t>
      </w:r>
      <w:r>
        <w:t xml:space="preserve"> </w:t>
      </w:r>
      <w:r>
        <w:rPr>
          <w:i/>
          <w:iCs/>
        </w:rPr>
        <w:t xml:space="preserve">Proceedings of ICML</w:t>
      </w:r>
      <w:r>
        <w:t xml:space="preserve">, pp. 282-289, 2001.</w:t>
      </w:r>
    </w:p>
    <w:p>
      <w:pPr>
        <w:pStyle w:val="BodyText"/>
      </w:pPr>
      <w:r>
        <w:t>[18] Kleptotrace Project, "Kleptotrace corpus: Financial Sanctions and Money Laundering News Corpus," conjunto de datos del proyecto (15 artículos anotados por expertos), 2024.</w:t>
      </w:r>
    </w:p>
    <w:p>
      <w:pPr>
        <w:pStyle w:val="BodyText"/>
      </w:pPr>
      <w:r>
        <w:t xml:space="preserve">[19] OpenSanctions,</w:t>
      </w:r>
      <w:r>
        <w:t xml:space="preserve"> </w:t>
      </w:r>
      <w:r>
        <w:t xml:space="preserve">“OpenSanctions: Open Data on Sanctions Lists and Politically Exposed Persons,”</w:t>
      </w:r>
      <w:r>
        <w:t xml:space="preserve"> </w:t>
      </w:r>
      <w:r>
        <w:t xml:space="preserve">[Online]. Available: https://www.opensanctions.org, 2024.</w:t>
      </w:r>
    </w:p>
    <w:p>
      <w:pPr>
        <w:pStyle w:val="BodyText"/>
      </w:pPr>
      <w:r>
        <w:t xml:space="preserve">[20] T. Dettmers et al.,</w:t>
      </w:r>
      <w:r>
        <w:t xml:space="preserve"> </w:t>
      </w:r>
      <w:r>
        <w:t xml:space="preserve">“QLoRA: Efficient Finetuning of Quantized LLMs,”</w:t>
      </w:r>
      <w:r>
        <w:t xml:space="preserve"> </w:t>
      </w:r>
      <w:r>
        <w:rPr>
          <w:i/>
          <w:iCs/>
        </w:rPr>
        <w:t xml:space="preserve">Advances in Neural Information Processing Systems</w:t>
      </w:r>
      <w:r>
        <w:t xml:space="preserve">, vol. 36, 2023.</w:t>
      </w:r>
    </w:p>
    <w:p>
      <w:r>
        <w:pict>
          <v:rect style="width:0;height:1.5pt" o:hralign="center" o:hrstd="t" o:hr="t"/>
        </w:pict>
      </w:r>
    </w:p>
    <w:bookmarkEnd w:id="70"/>
    <w:bookmarkStart w:id="74" w:name="anexos"/>
    <w:p>
      <w:pPr>
        <w:pStyle w:val="Heading2"/>
        <w:pageBreakBefore/>
      </w:pPr>
      <w:r>
        <w:t xml:space="preserve">9. ANEXOS</w:t>
      </w:r>
    </w:p>
    <w:bookmarkStart w:id="71" w:name="Xaca78421cf1c1e56e2e6c09f11f200d52d864ce"/>
    <w:p>
      <w:pPr>
        <w:pStyle w:val="Heading3"/>
      </w:pPr>
      <w:r>
        <w:t xml:space="preserve">Anexo A — Estructura del Repositorio de Código</w:t>
      </w:r>
    </w:p>
    <w:p>
      <w:pPr>
        <w:pStyle w:val="SourceCode"/>
      </w:pPr>
      <w:r>
        <w:t>La estructura de carpetas y archivos del repositorio se detalla en la siguiente tabla.</w:t>
      </w:r>
    </w:p>
    <w:tbl>
      <w:tblPr>
        <w:tblW w:type="auto" w:w="0"/>
        <w:tblLook w:firstColumn="1" w:firstRow="1" w:lastColumn="0" w:lastRow="0" w:noHBand="0" w:noVBand="1" w:val="04A0"/>
      </w:tblPr>
      <w:tblGrid>
        <w:gridCol w:w="4680"/>
        <w:gridCol w:w="4680"/>
      </w:tblGrid>
      <w:tr>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20" w:before="20"/>
            </w:pPr>
            <w:r>
              <w:rPr>
                <w:b/>
                <w:sz w:val="16"/>
              </w:rPr>
            </w:r>
            <w:r>
              <w:rPr>
                <w:b/>
                <w:sz w:val="16"/>
              </w:rPr>
              <w:t>Ruta</w:t>
            </w:r>
          </w:p>
        </w:tc>
        <w:tc>
          <w:tcPr>
            <w:tcW w:type="dxa" w:w="4680"/>
            <w:tcBorders>
              <w:top w:val="single" w:sz="4" w:space="0" w:color="999999"/>
              <w:left w:val="single" w:sz="4" w:space="0" w:color="999999"/>
              <w:bottom w:val="single" w:sz="4" w:space="0" w:color="999999"/>
              <w:right w:val="single" w:sz="4" w:space="0" w:color="999999"/>
            </w:tcBorders>
            <w:shd w:val="clear" w:color="auto" w:fill="D9E2F3"/>
          </w:tcPr>
          <w:p>
            <w:pPr>
              <w:spacing w:after="20" w:before="20"/>
            </w:pPr>
            <w:r>
              <w:rPr>
                <w:b/>
                <w:sz w:val="16"/>
              </w:rPr>
            </w:r>
            <w:r>
              <w:rPr>
                <w:b/>
                <w:sz w:val="16"/>
              </w:rPr>
              <w:t>Descripción</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rFonts w:ascii="Consolas" w:hAnsi="Consolas"/>
                <w:b w:val="0"/>
                <w:sz w:val="16"/>
              </w:rPr>
              <w:t>repos/ner-llm-entity-benchmark/</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src/</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main.py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Orquestador principal (+--rag-mode CLI, v1.1)</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config.py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Configuración global (+rag_mode field, v1.1)</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data_loader.py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Carga y validación del corpus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llm_runner.py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Runner LLM con parseo en cascada</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evaluator.py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Métricas F1 + taxonomía de errores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pub_sub.py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Cola Pub/Sub multithreading</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adaptive_workers.py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Controlador AIMD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checkpoint.py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Persistencia de estado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rag_manager.py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RAGManager: Dict-RAG legacy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kb_rag_manager.py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KBRAGManager: KB RAG contextual (v1.1, NUEVO)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dashboard.py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Interfaz Streamlit (7 pestañas)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statistics.py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ANOVA + Tukey HSD + IC95</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providers/</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base.py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LLMProvider ABC</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factory.py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LLMProviderFactory</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ollama_provider.py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Ollama (+template KB RAG, v1.1)</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openai_provider.py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OpenAI (cloud)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anthropic_provider.py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Anthropic (cloud)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vertexai_provider.py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Proveedor Google Vertex AI (cloud)</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__init__.py</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Facade get_provider()</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data/</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benchmark_balanced_120.json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Corpus N=120 (Gold Standard real)</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dictionaries/</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persons.json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Diccionario de personas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organizations.json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Diccionario de organizaciones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augmented_persons.json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Personas aumentadas (v1.0)</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knowledge_base/</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Base de Conocimientos KB RAG (v1.1, NUEVO)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domain_guidelines.json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5 dominios con reglas NER tipológicas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few_shot_exemplars.json</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7 ejemplares anotados (artículos reales)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results/</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Salidas del benchmark</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benchmark_results.csv</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statistical_report.md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benchmark_balanced_120_&lt;timestamp&gt;/</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Resultados por ejecución</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research/</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400"/>
            </w:pPr>
            <w:r>
              <w:rPr>
                <w:sz w:val="16"/>
              </w:rPr>
            </w:r>
            <w:r>
              <w:rPr>
                <w:rFonts w:ascii="Consolas" w:hAnsi="Consolas"/>
                <w:b w:val="0"/>
                <w:sz w:val="16"/>
              </w:rPr>
              <w:t xml:space="preserve">        rag/</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2026-08-31_analisis_contenido_rag_base_conocimientos.md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Investigación RAG</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TODO-RAG-20260901.md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Tracking implementación</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600"/>
            </w:pPr>
            <w:r>
              <w:rPr>
                <w:sz w:val="16"/>
              </w:rPr>
            </w:r>
            <w:r>
              <w:rPr>
                <w:rFonts w:ascii="Consolas" w:hAnsi="Consolas"/>
                <w:b w:val="0"/>
                <w:sz w:val="16"/>
              </w:rPr>
              <w:t xml:space="preserve">            WORKLOG.md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Bitácora de trabajo</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SYSTEM_PROMPT.md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Prompt del sistema (few-shot español)</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SYSTEM_PROMPT_EN.md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Prompt del sistema (inglés)</w:t>
            </w:r>
          </w:p>
        </w:tc>
      </w:tr>
      <w:tr>
        <w:tc>
          <w:tcPr>
            <w:tcW w:type="dxa" w:w="4680"/>
            <w:tcBorders>
              <w:top w:val="single" w:sz="4" w:space="0" w:color="999999"/>
              <w:left w:val="single" w:sz="4" w:space="0" w:color="999999"/>
              <w:bottom w:val="single" w:sz="4" w:space="0" w:color="999999"/>
              <w:right w:val="single" w:sz="4" w:space="0" w:color="999999"/>
            </w:tcBorders>
          </w:tcPr>
          <w:p>
            <w:pPr>
              <w:spacing w:after="20" w:before="20"/>
              <w:ind w:left="200"/>
            </w:pPr>
            <w:r>
              <w:rPr>
                <w:sz w:val="16"/>
              </w:rPr>
            </w:r>
            <w:r>
              <w:rPr>
                <w:rFonts w:ascii="Consolas" w:hAnsi="Consolas"/>
                <w:b w:val="0"/>
                <w:sz w:val="16"/>
              </w:rPr>
              <w:t xml:space="preserve">    SYSTEM_PROMPT_ES.md</w:t>
            </w:r>
          </w:p>
        </w:tc>
        <w:tc>
          <w:tcPr>
            <w:tcW w:type="dxa" w:w="4680"/>
            <w:tcBorders>
              <w:top w:val="single" w:sz="4" w:space="0" w:color="999999"/>
              <w:left w:val="single" w:sz="4" w:space="0" w:color="999999"/>
              <w:bottom w:val="single" w:sz="4" w:space="0" w:color="999999"/>
              <w:right w:val="single" w:sz="4" w:space="0" w:color="999999"/>
            </w:tcBorders>
          </w:tcPr>
          <w:p>
            <w:pPr>
              <w:spacing w:after="20" w:before="20"/>
            </w:pPr>
            <w:r>
              <w:rPr>
                <w:sz w:val="16"/>
              </w:rPr>
            </w:r>
            <w:r>
              <w:rPr>
                <w:b w:val="0"/>
                <w:sz w:val="16"/>
              </w:rPr>
              <w:t>Prompt del sistema (español)</w:t>
            </w:r>
          </w:p>
        </w:tc>
      </w:tr>
    </w:tbl>
    <w:bookmarkEnd w:id="71"/>
    <w:bookmarkStart w:id="72" w:name="X54e9698bbc1f2382756d1304099b36dec1afca8"/>
    <w:p>
      <w:pPr>
        <w:pStyle w:val="Heading3"/>
      </w:pPr>
      <w:r>
        <w:t xml:space="preserve">Anexo B — Prompt del Sistema (Versión Few-Shot Español)</w:t>
      </w:r>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bookmarkEnd w:id="72"/>
    <w:bookmarkStart w:id="73" w:name="Xe7f0b4d4120ae8dc0d5b45f2e99d0019e7f14f8"/>
    <w:p>
      <w:pPr>
        <w:pStyle w:val="Heading3"/>
      </w:pPr>
      <w:r>
        <w:t xml:space="preserve">Anexo C — Configuración del Entorno de Pruebas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Hardware</w:t>
            </w:r>
          </w:p>
        </w:tc>
        <w:tc>
          <w:tcPr/>
          <w:p>
            <w:pPr>
              <w:pStyle w:val="Compact"/>
              <w:jc w:val="left"/>
            </w:pPr>
            <w:r>
              <w:t xml:space="preserve">Apple MacBook Pro, chip M4 Max</w:t>
            </w:r>
          </w:p>
        </w:tc>
      </w:tr>
      <w:tr>
        <w:tc>
          <w:tcPr/>
          <w:p>
            <w:pPr>
              <w:pStyle w:val="Compact"/>
              <w:jc w:val="left"/>
            </w:pPr>
            <w:r>
              <w:t xml:space="preserve">Memoria Unificada</w:t>
            </w:r>
          </w:p>
        </w:tc>
        <w:tc>
          <w:tcPr/>
          <w:p>
            <w:pPr>
              <w:pStyle w:val="Compact"/>
              <w:jc w:val="left"/>
            </w:pPr>
            <w:r>
              <w:t>16 GB (modelos ≤~12B) / 48 GB (31B y MLX grandes) Metal (MPS)</w:t>
            </w:r>
          </w:p>
        </w:tc>
      </w:tr>
      <w:tr>
        <w:tc>
          <w:tcPr/>
          <w:p>
            <w:pPr>
              <w:pStyle w:val="Compact"/>
              <w:jc w:val="left"/>
            </w:pPr>
            <w:r>
              <w:t xml:space="preserve">Sistema Operativo</w:t>
            </w:r>
          </w:p>
        </w:tc>
        <w:tc>
          <w:tcPr/>
          <w:p>
            <w:pPr>
              <w:pStyle w:val="Compact"/>
              <w:jc w:val="left"/>
            </w:pPr>
            <w:r>
              <w:t xml:space="preserve">macOS 15.x (Sequoia)</w:t>
            </w:r>
          </w:p>
        </w:tc>
      </w:tr>
      <w:tr>
        <w:tc>
          <w:tcPr/>
          <w:p>
            <w:pPr>
              <w:pStyle w:val="Compact"/>
              <w:jc w:val="left"/>
            </w:pPr>
            <w:r>
              <w:t xml:space="preserve">Python</w:t>
            </w:r>
          </w:p>
        </w:tc>
        <w:tc>
          <w:tcPr/>
          <w:p>
            <w:pPr>
              <w:pStyle w:val="Compact"/>
              <w:jc w:val="left"/>
            </w:pPr>
            <w:r>
              <w:t>3.14.7</w:t>
            </w:r>
          </w:p>
        </w:tc>
      </w:tr>
      <w:tr>
        <w:tc>
          <w:tcPr/>
          <w:p>
            <w:pPr>
              <w:pStyle w:val="Compact"/>
              <w:jc w:val="left"/>
            </w:pPr>
            <w:r>
              <w:t xml:space="preserve">Ollama</w:t>
            </w:r>
          </w:p>
        </w:tc>
        <w:tc>
          <w:tcPr/>
          <w:p>
            <w:pPr>
              <w:pStyle w:val="Compact"/>
              <w:jc w:val="left"/>
            </w:pPr>
            <w:r>
              <w:t xml:space="preserve">0.6+</w:t>
            </w:r>
          </w:p>
        </w:tc>
      </w:tr>
      <w:tr>
        <w:tc>
          <w:tcPr/>
          <w:p>
            <w:pPr>
              <w:pStyle w:val="Compact"/>
              <w:jc w:val="left"/>
            </w:pPr>
            <w:r>
              <w:t xml:space="preserve">Modelos descargados</w:t>
            </w:r>
          </w:p>
        </w:tc>
        <w:tc>
          <w:tcPr/>
          <w:p>
            <w:pPr>
              <w:pStyle w:val="Compact"/>
              <w:jc w:val="left"/>
            </w:pPr>
            <w:r>
              <w:t xml:space="preserve">gemma4:31b (19 GB), gemma4:12b (5 GB), llama3.2 (2 GB), deepseek-r1:1.5b (1.1 GB)</w:t>
            </w:r>
          </w:p>
        </w:tc>
      </w:tr>
      <w:tr>
        <w:tc>
          <w:tcPr/>
          <w:p>
            <w:pPr>
              <w:pStyle w:val="Compact"/>
              <w:jc w:val="left"/>
            </w:pPr>
            <w:r>
              <w:t xml:space="preserve">Tiempo total de benchmark (N=30, 2 modelos)</w:t>
            </w:r>
          </w:p>
        </w:tc>
        <w:tc>
          <w:tcPr/>
          <w:p>
            <w:pPr>
              <w:pStyle w:val="Compact"/>
              <w:jc w:val="left"/>
            </w:pPr>
            <w:r>
              <w:t xml:space="preserve">~29 minutos (serial)</w:t>
            </w:r>
          </w:p>
        </w:tc>
      </w:tr>
    </w:tbl>
    <w:p>
      <w:r>
        <w:pict>
          <v:rect style="width:0;height:1.5pt" o:hralign="center" o:hrstd="t" o:hr="t"/>
        </w:pict>
      </w:r>
    </w:p>
    <w:p>
      <w:pPr>
        <w:pStyle w:val="FirstParagraph"/>
      </w:pPr>
      <w:r>
        <w:rPr>
          <w:i/>
          <w:iCs/>
        </w:rPr>
        <w:t xml:space="preserve">Informe Final de Tesina — Magíster en Tecnologías de la Información (MTI)</w:t>
      </w:r>
      <w:r>
        <w:br/>
      </w:r>
      <w:r>
        <w:rPr>
          <w:i/>
          <w:iCs/>
        </w:rPr>
        <w:t xml:space="preserve">Universidad Técnica Federico Santa María — Valparaíso, Chile</w:t>
      </w:r>
      <w:r>
        <w:br/>
      </w:r>
      <w:r>
        <w:rPr>
          <w:i/>
          <w:iCs/>
        </w:rPr>
        <w:t xml:space="preserve">Julio 2026</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