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El criterio de coincidencia entre lo extraído y la referencia también admite alternativas. La más estricta exige coincidencia </w:t>
      </w:r>
      <w:r>
        <w:rPr>
          <w:b/>
        </w:rPr>
        <w:t>exacta</w:t>
      </w:r>
      <w:r>
        <w:t xml:space="preserve"> de la cadena, lo que penaliza como error cualquier diferencia de acentuación o de un carácter. Una alternativa </w:t>
      </w:r>
      <w:r>
        <w:rPr>
          <w:b/>
        </w:rPr>
        <w:t>basada en tokens</w:t>
      </w:r>
      <w:r>
        <w:t xml:space="preserve"> (como la superposición de conjuntos de palabras, usada en tareas de resumen automático) tolera el orden pero no distingue variantes de un mismo token. Este trabajo adopta en su lugar el emparejamiento </w:t>
      </w:r>
      <w:r>
        <w:rPr>
          <w:b/>
        </w:rPr>
        <w:t>difuso a nivel de caracteres</w:t>
      </w:r>
      <w:r>
        <w:t xml:space="preserve">, mediante la </w:t>
      </w:r>
      <w:r>
        <w:rPr>
          <w:b/>
        </w:rPr>
        <w:t>distancia de Indel</w:t>
      </w:r>
      <w:r>
        <w:t xml:space="preserve"> —el número mínimo de inserciones y supresiones para transformar una cadena en otra, variante de la distancia de Levenshtein que excluye las sustituciones—, normalizada a una escala de similitud; tolera variaciones menores de forma (tildes, mayúsculas, un carácter de más) sin premiar coincidencias espurias, a costa de ser sensible al orden de las palabras. El compromiso concreto se detalla en §3.3.</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0"/>
        <w:tblLook w:firstRow="1"/>
      </w:tblPr>
      <w:tblGrid>
        <w:gridCol w:w="1940"/>
        <w:gridCol w:w="2011"/>
        <w:gridCol w:w="2443"/>
        <w:gridCol w:w="2444"/>
      </w:tblGrid>
      <w:tr>
        <w:trPr>
          <w:cnfStyle w:firstRow="1"/>
        </w:trPr>
        <w:tc>
          <w:tcPr>
            <w:tcW w:type="dxa" w:w="1940"/>
            <w:tcBorders>
              <w:bottom w:val="single"/>
            </w:tcBorders>
            <w:vAlign w:val="bottom"/>
          </w:tcPr>
          <w:p>
            <w:pPr>
              <w:pStyle w:val="Compact"/>
              <w:jc w:val="left"/>
            </w:pPr>
            <w:r>
              <w:rPr>
                <w:b/>
              </w:rPr>
              <w:t>Familia</w:t>
            </w:r>
          </w:p>
        </w:tc>
        <w:tc>
          <w:tcPr>
            <w:tcW w:type="dxa" w:w="2011"/>
            <w:tcBorders>
              <w:bottom w:val="single"/>
            </w:tcBorders>
            <w:vAlign w:val="bottom"/>
          </w:tcPr>
          <w:p>
            <w:pPr>
              <w:pStyle w:val="Compact"/>
              <w:jc w:val="left"/>
            </w:pPr>
            <w:r>
              <w:rPr>
                <w:b/>
              </w:rPr>
              <w:t>Datos etiquetados requeridos</w:t>
            </w:r>
          </w:p>
        </w:tc>
        <w:tc>
          <w:tcPr>
            <w:tcW w:type="dxa" w:w="2443"/>
            <w:tcBorders>
              <w:bottom w:val="single"/>
            </w:tcBorders>
            <w:vAlign w:val="bottom"/>
          </w:tcPr>
          <w:p>
            <w:pPr>
              <w:pStyle w:val="Compact"/>
              <w:jc w:val="left"/>
            </w:pPr>
            <w:r>
              <w:rPr>
                <w:b/>
              </w:rPr>
              <w:t>Adaptación a dominio nuevo</w:t>
            </w:r>
          </w:p>
        </w:tc>
        <w:tc>
          <w:tcPr>
            <w:tcW w:type="dxa" w:w="2444"/>
            <w:tcBorders>
              <w:bottom w:val="single"/>
            </w:tcBorders>
            <w:vAlign w:val="bottom"/>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La recuperación en ambas variantes depende de un mecanismo común: los </w:t>
      </w:r>
      <w:r>
        <w:rPr>
          <w:b/>
        </w:rPr>
        <w:t>embeddings</w:t>
      </w:r>
      <w:r>
        <w:t xml:space="preserve">, representaciones vectoriales de longitud fija que un modelo aprende de modo que textos semánticamente próximos queden cerca en ese espacio, incluso sin compartir palabras exactas. Buscar lo más relevante para un artículo se reduce entonces a una búsqueda por vecino más próximo, mucho más barata que comparar el texto completo contra cada candidato. Las </w:t>
      </w:r>
      <w:r>
        <w:rPr>
          <w:b/>
        </w:rPr>
        <w:t>bases de datos vectoriales</w:t>
      </w:r>
      <w:r>
        <w:t xml:space="preserve"> (ChromaDB [32] en este trabajo) indexan esos vectores para hacer esa búsqueda eficiente incluso con miles de documentos candidatos, y son el componente que hace viable el RAG a la escala de este estudio.</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Arquitectura de ejecución concurrente y aislamiento de proveedores</w:t>
      </w:r>
    </w:p>
    <w:p>
      <w:pPr>
        <w:numPr>
          <w:ilvl w:val="0"/>
          <w:numId w:val="0"/>
        </w:numPr>
        <w:pStyle w:val="BodyText"/>
      </w:pPr>
      <w:r>
        <w:t>La ejecución masiva de modelos locales plantea un problema de ingeniería distinto del NER en sí: cómo paralelizar la inferencia sin saturar el servicio ni desperdiciar capacidad, y cómo hacerlo sin atar el sistema a un proveedor concreto. Tres decisiones de diseño lo resuelven, cada una comparada aquí contra su alternativa más directa.</w:t>
      </w:r>
    </w:p>
    <w:p>
      <w:pPr>
        <w:numPr>
          <w:ilvl w:val="0"/>
          <w:numId w:val="0"/>
        </w:numPr>
        <w:pStyle w:val="Normal"/>
      </w:pPr>
      <w:r>
        <w:t xml:space="preserve">La primera es de desacoplamiento entre productor y consumidor. Un pipeline síncrono —procesar un artículo, esperar su respuesta, tomar el siguiente— ata el rendimiento a la latencia del modelo más lento y no permite variar el paralelismo sin reescribir el flujo de control. La arquitectura </w:t>
      </w:r>
      <w:r>
        <w:rPr>
          <w:b/>
        </w:rPr>
        <w:t>publicador/suscriptor</w:t>
      </w:r>
      <w:r>
        <w:t xml:space="preserve"> (pub/sub) resuelve esto separando la ingesta de artículos, que los deposita en una cola, de su consumo, a cargo de un número variable de trabajadores suscritos a ella; ni el productor necesita saber cuántos consumidores hay, ni éstos necesitan conocerse entre sí, lo que permite ajustar su número en tiempo de ejecución sin tocar el productor.</w:t>
      </w:r>
    </w:p>
    <w:p>
      <w:pPr>
        <w:numPr>
          <w:ilvl w:val="0"/>
          <w:numId w:val="0"/>
        </w:numPr>
        <w:pStyle w:val="Normal"/>
      </w:pPr>
      <w:r>
        <w:t xml:space="preserve">La segunda es cuántos consumidores mantener activos. Un número </w:t>
      </w:r>
      <w:r>
        <w:rPr>
          <w:b/>
        </w:rPr>
        <w:t>fijo</w:t>
      </w:r>
      <w:r>
        <w:t xml:space="preserve">, decidido de antemano, es simple pero arriesga dos fallos simétricos: por debajo del óptimo desperdicia capacidad, y por encima satura el servicio con reintentos y respuestas truncadas. Un ajuste </w:t>
      </w:r>
      <w:r>
        <w:rPr>
          <w:b/>
        </w:rPr>
        <w:t>multiplicativo en ambos sentidos</w:t>
      </w:r>
      <w:r>
        <w:t xml:space="preserve"> (duplicar al crecer, reducir a la mitad al fallar) reacciona rápido pero tiende a oscilar sin asentarse. Este trabajo adopta en su lugar </w:t>
      </w:r>
      <w:r>
        <w:rPr>
          <w:b/>
        </w:rPr>
        <w:t>AIMD</w:t>
      </w:r>
      <w:r>
        <w:t xml:space="preserve"> (</w:t>
      </w:r>
      <w:r>
        <w:rPr>
          <w:i/>
        </w:rPr>
        <w:t>Additive Increase, Multiplicative Decrease</w:t>
      </w:r>
      <w:r>
        <w:t>), la política que sostiene el control de congestión en TCP [26]: crecer de a uno mientras el sistema permanece estable y recortar a la mitad ante la primera señal de saturación. Chiu y Jain demuestran que, de las cuatro combinaciones posibles entre incremento y decremento aditivo o multiplicativo, solo esta converge de forma estable y equitativa hacia el punto de operación máximo sostenible sin necesitar conocerlo de antemano [26]: el crecimiento lento explora el margen disponible mientras el recorte agresivo responde con margen de sobra ante el primer signo de exceso.</w:t>
      </w:r>
    </w:p>
    <w:p>
      <w:pPr>
        <w:numPr>
          <w:ilvl w:val="0"/>
          <w:numId w:val="0"/>
        </w:numPr>
        <w:pStyle w:val="Normal"/>
      </w:pPr>
      <w:r>
        <w:t xml:space="preserve">La tercera es cómo aislar el sistema de las diferencias entre proveedores de inferencia (Ollama local, OpenAI, Anthropic), que exponen APIs, formatos de error y modelos de autenticación distintos entre sí. Ramificar el código llamador según el proveedor acopla toda decisión futura de añadir o sustituir uno a cada punto de llamada. Los patrones de diseño </w:t>
      </w:r>
      <w:r>
        <w:rPr>
          <w:b/>
        </w:rPr>
        <w:t>Factory</w:t>
      </w:r>
      <w:r>
        <w:t xml:space="preserve"> y </w:t>
      </w:r>
      <w:r>
        <w:rPr>
          <w:b/>
        </w:rPr>
        <w:t>Facade</w:t>
      </w:r>
      <w:r>
        <w:t xml:space="preserve"> evitan ese acoplamiento: el primero centraliza la construcción del proveedor correcto a partir de su nombre, y el segundo expone una interfaz uniforme que oculta tras ella las diferencias de implementación. El efecto conjunto es que sustituir un proveedor, o añadir uno nuevo, no exige tocar ningún código que ya consuma la interfaz — la condición que hace posible el criterio C2 de soberanía intercambiable.</w:t>
      </w:r>
    </w:p>
    <w:p>
      <w:pPr>
        <w:numPr>
          <w:ilvl w:val="0"/>
          <w:numId w:val="0"/>
        </w:numPr>
        <w:pStyle w:val="Heading2"/>
      </w:pPr>
      <w:r>
        <w:t>2.5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El ANOVA supone además que las observaciones son independientes entre sí y que la varianza es homogénea entre grupos (</w:t>
      </w:r>
      <w:r>
        <w:rPr>
          <w:b/>
        </w:rPr>
        <w:t>homocedasticidad</w:t>
      </w:r>
      <w:r>
        <w:t xml:space="preserve">). Cuando el mismo conjunto de artículos se evalúa bajo distintas condiciones, como ocurre en este trabajo, esa independencia no se cumple: las observaciones están apareadas, y el diseño estrictamente correcto es de </w:t>
      </w:r>
      <w:r>
        <w:rPr>
          <w:b/>
        </w:rPr>
        <w:t>medidas repetidas</w:t>
      </w:r>
      <w:r>
        <w:t xml:space="preserve">. La prueba no paramétrica de </w:t>
      </w:r>
      <w:r>
        <w:rPr>
          <w:b/>
        </w:rPr>
        <w:t>Friedman</w:t>
      </w:r>
      <w:r>
        <w:t xml:space="preserve"> es su análogo cuando no puede asumirse normalidad, y sirve como control de robustez frente al ANOVA cuando el apareamiento se ignora. La homocedasticidad, por su parte, se contrasta con la prueba de </w:t>
      </w:r>
      <w:r>
        <w:rPr>
          <w:b/>
        </w:rPr>
        <w:t>Levene</w:t>
      </w:r>
      <w:r>
        <w:t>, en su variante centrada en la mediana (Brown-Forsythe), más robusta que la centrada en la media ante distribuciones asimétricas; su incumplimiento no invalida el ANOVA por sí solo en diseños balanceados, pero refuerza la conveniencia de una prueba de medidas repetidas.</w:t>
      </w:r>
    </w:p>
    <w:p>
      <w:pPr>
        <w:numPr>
          <w:ilvl w:val="0"/>
          <w:numId w:val="0"/>
        </w:numPr>
        <w:pStyle w:val="Normal"/>
      </w:pPr>
      <w:r>
        <w:t xml:space="preserve">Además de si dos medias difieren, interesa a veces si dos variables covarían: si el beneficio de una técnica crece o decrece, por ejemplo, con la capacidad del modelo. El coeficiente de </w:t>
      </w:r>
      <w:r>
        <w:rPr>
          <w:b/>
        </w:rPr>
        <w:t>Pearson</w:t>
      </w:r>
      <w:r>
        <w:t xml:space="preserve"> mide la asociación lineal y es sensible a valores atípicos; el de </w:t>
      </w:r>
      <w:r>
        <w:rPr>
          <w:b/>
        </w:rPr>
        <w:t>Spearman</w:t>
      </w:r>
      <w:r>
        <w:t>, calculado sobre los rangos y no sobre los valores, es más robusto a esas anomalías pero solo capta relaciones monótonas, no necesariamente lineales. Reportar ambos permite distinguir si una asociación aparente depende de la forma de la relación o de unos pocos casos extremos que un solo coeficiente no dejaría ver.</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2.6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0"/>
        <w:tblLook w:firstRow="1"/>
      </w:tblPr>
      <w:tblGrid>
        <w:gridCol w:w="1295"/>
        <w:gridCol w:w="2376"/>
        <w:gridCol w:w="1523"/>
        <w:gridCol w:w="1447"/>
        <w:gridCol w:w="900"/>
        <w:gridCol w:w="1297"/>
      </w:tblGrid>
      <w:tr>
        <w:trPr>
          <w:cnfStyle w:firstRow="1"/>
        </w:trPr>
        <w:tc>
          <w:tcPr>
            <w:tcW w:type="dxa" w:w="1295"/>
            <w:tcBorders>
              <w:bottom w:val="single"/>
            </w:tcBorders>
            <w:vAlign w:val="bottom"/>
          </w:tcPr>
          <w:p>
            <w:pPr>
              <w:pStyle w:val="Compact"/>
              <w:jc w:val="left"/>
            </w:pPr>
            <w:r>
              <w:rPr>
                <w:b/>
              </w:rPr>
              <w:t>Trabajo</w:t>
            </w:r>
          </w:p>
        </w:tc>
        <w:tc>
          <w:tcPr>
            <w:tcW w:type="dxa" w:w="2376"/>
            <w:tcBorders>
              <w:bottom w:val="single"/>
            </w:tcBorders>
            <w:vAlign w:val="bottom"/>
          </w:tcPr>
          <w:p>
            <w:pPr>
              <w:pStyle w:val="Compact"/>
              <w:jc w:val="left"/>
            </w:pPr>
            <w:r>
              <w:rPr>
                <w:b/>
              </w:rPr>
              <w:t>Dataset</w:t>
            </w:r>
          </w:p>
        </w:tc>
        <w:tc>
          <w:tcPr>
            <w:tcW w:type="dxa" w:w="1523"/>
            <w:tcBorders>
              <w:bottom w:val="single"/>
            </w:tcBorders>
            <w:vAlign w:val="bottom"/>
          </w:tcPr>
          <w:p>
            <w:pPr>
              <w:pStyle w:val="Compact"/>
              <w:jc w:val="left"/>
            </w:pPr>
            <w:r>
              <w:rPr>
                <w:b/>
              </w:rPr>
              <w:t>Modelo</w:t>
            </w:r>
          </w:p>
        </w:tc>
        <w:tc>
          <w:tcPr>
            <w:tcW w:type="dxa" w:w="1447"/>
            <w:tcBorders>
              <w:bottom w:val="single"/>
            </w:tcBorders>
            <w:vAlign w:val="bottom"/>
          </w:tcPr>
          <w:p>
            <w:pPr>
              <w:pStyle w:val="Compact"/>
              <w:jc w:val="center"/>
            </w:pPr>
            <w:r>
              <w:rPr>
                <w:b/>
              </w:rPr>
              <w:t>Desempeño publicado</w:t>
            </w:r>
          </w:p>
        </w:tc>
        <w:tc>
          <w:tcPr>
            <w:tcW w:type="dxa" w:w="900"/>
            <w:tcBorders>
              <w:bottom w:val="single"/>
            </w:tcBorders>
            <w:vAlign w:val="bottom"/>
          </w:tcPr>
          <w:p>
            <w:pPr>
              <w:pStyle w:val="Compact"/>
              <w:jc w:val="center"/>
            </w:pPr>
            <w:r>
              <w:rPr>
                <w:b/>
              </w:rPr>
              <w:t>Privacidad</w:t>
            </w:r>
          </w:p>
        </w:tc>
        <w:tc>
          <w:tcPr>
            <w:tcW w:type="dxa" w:w="1297"/>
            <w:tcBorders>
              <w:bottom w:val="single"/>
            </w:tcBorders>
            <w:vAlign w:val="bottom"/>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0"/>
        <w:tblLook w:firstRow="1"/>
      </w:tblPr>
      <w:tblGrid>
        <w:gridCol w:w="1988"/>
        <w:gridCol w:w="3093"/>
        <w:gridCol w:w="3757"/>
      </w:tblGrid>
      <w:tr>
        <w:trPr>
          <w:cnfStyle w:firstRow="1"/>
        </w:trPr>
        <w:tc>
          <w:tcPr>
            <w:tcW w:type="dxa" w:w="1988"/>
            <w:tcBorders>
              <w:bottom w:val="single"/>
            </w:tcBorders>
            <w:vAlign w:val="bottom"/>
          </w:tcPr>
          <w:p>
            <w:pPr>
              <w:pStyle w:val="Compact"/>
              <w:jc w:val="left"/>
            </w:pPr>
            <w:r>
              <w:rPr>
                <w:b/>
              </w:rPr>
              <w:t>Capa</w:t>
            </w:r>
          </w:p>
        </w:tc>
        <w:tc>
          <w:tcPr>
            <w:tcW w:type="dxa" w:w="3093"/>
            <w:tcBorders>
              <w:bottom w:val="single"/>
            </w:tcBorders>
            <w:vAlign w:val="bottom"/>
          </w:tcPr>
          <w:p>
            <w:pPr>
              <w:pStyle w:val="Compact"/>
              <w:jc w:val="left"/>
            </w:pPr>
            <w:r>
              <w:rPr>
                <w:b/>
              </w:rPr>
              <w:t>Módulo(s)</w:t>
            </w:r>
          </w:p>
        </w:tc>
        <w:tc>
          <w:tcPr>
            <w:tcW w:type="dxa" w:w="3757"/>
            <w:tcBorders>
              <w:bottom w:val="single"/>
            </w:tcBorders>
            <w:vAlign w:val="bottom"/>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aplicando los patrones </w:t>
      </w:r>
      <w:r>
        <w:rPr>
          <w:i/>
        </w:rPr>
        <w:t>Factory</w:t>
      </w:r>
      <w:r>
        <w:t xml:space="preserve"> y </w:t>
      </w:r>
      <w:r>
        <w:rPr>
          <w:i/>
        </w:rPr>
        <w:t>Facade</w:t>
      </w:r>
      <w:r>
        <w:t xml:space="preserve"> introducidos en §2.4 tras una interfaz común (</w:t>
      </w:r>
      <w:r>
        <w:t>LLMProvider</w:t>
      </w:r>
      <w:r>
        <w:t xml:space="preserve">, Anexo A.1). 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el controlador </w:t>
      </w:r>
      <w:r>
        <w:rPr>
          <w:b/>
        </w:rPr>
        <w:t>AIMD</w:t>
      </w:r>
      <w:r>
        <w:t xml:space="preserve"> introducido en §2.4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el emparejamiento difuso introducido en §2.1, implementado con la función </w:t>
      </w:r>
      <w:r>
        <w:t>ratio</w:t>
      </w:r>
      <w:r>
        <w:t xml:space="preserve"> de la biblioteca </w:t>
      </w:r>
      <w:r>
        <w:rPr>
          <w:i/>
        </w:rPr>
        <w:t>rapidfuzz</w:t>
      </w:r>
      <w:r>
        <w:t xml:space="preserve"> [33], que normaliza la distancia de Indel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ya está corregido y no afecta a ningún resultado vigente de este informe: se documenta aquí por integridad de la medición. Los prompts piden tres categorías de entidad —personas, organizaciones y </w:t>
      </w:r>
      <w:r>
        <w:rPr>
          <w:b/>
        </w:rPr>
        <w:t>localizaciones</w:t>
      </w:r>
      <w:r>
        <w:t xml:space="preserve">, esta última lugares geográficos, la tercera categoría de §2.1—, pero los registros con los que se tomó esta medida anotaban solo las dos primeras, por un defecto de la cadena de preparación de datos y no de la anotación de origen: CoNLL-2002 sí anota localizaciones. El evaluador, al puntuar las tres categorías, contabilizaba como falso positivo toda localización correctamente extraída, sin ninguna forma de acertar en ella —efecto exclusivamente de precisión, sin omisiones posibles—, lo que explica que el </w:t>
      </w:r>
      <w:r>
        <w:rPr>
          <w:b/>
        </w:rPr>
        <w:t>66,0 %</w:t>
      </w:r>
      <w:r>
        <w:t xml:space="preserve"> de los falsos positivos de aquel consolidado, 12 852 de 19 464, procedieran de esa categoría (la Figura 1 lo ilustra). El corpus vigente ya anota las localizaciones y la re-corrida que hoy sostiene la Tabla 7 (§5.3.1) mide ya las tres categorías; el detalle histórico y la medición restringida equivalente se conservan en el Anexo I.</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4"/>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4"/>
      </w:pPr>
      <w:r>
        <w:t>4.1.2 Extensión a Corpus Real N=120 (Dataset Conmutable)</w:t>
      </w:r>
    </w:p>
    <w:p>
      <w:pPr>
        <w:numPr>
          <w:ilvl w:val="0"/>
          <w:numId w:val="0"/>
        </w:numPr>
        <w:pStyle w:val="BodyText"/>
      </w:pPr>
      <w:r>
        <w:t xml:space="preserve">Tras la validación sobre el corpus sintético N=30 (§4.1.1–4.1.2), y como parte del cierre del proyecto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0"/>
        <w:tblLook w:firstRow="1"/>
      </w:tblPr>
      <w:tblGrid>
        <w:gridCol w:w="1021"/>
        <w:gridCol w:w="900"/>
        <w:gridCol w:w="948"/>
        <w:gridCol w:w="900"/>
        <w:gridCol w:w="900"/>
        <w:gridCol w:w="900"/>
        <w:gridCol w:w="1232"/>
        <w:gridCol w:w="1137"/>
        <w:gridCol w:w="900"/>
      </w:tblGrid>
      <w:tr>
        <w:trPr>
          <w:cnfStyle w:firstRow="1"/>
        </w:trPr>
        <w:tc>
          <w:tcPr>
            <w:tcW w:type="dxa" w:w="1021"/>
            <w:tcBorders>
              <w:bottom w:val="single"/>
            </w:tcBorders>
            <w:vAlign w:val="bottom"/>
          </w:tcPr>
          <w:p>
            <w:pPr>
              <w:pStyle w:val="Compact"/>
              <w:jc w:val="left"/>
            </w:pPr>
            <w:r>
              <w:rPr>
                <w:b/>
              </w:rPr>
              <w:t>Modelo</w:t>
            </w:r>
          </w:p>
        </w:tc>
        <w:tc>
          <w:tcPr>
            <w:tcW w:type="dxa" w:w="900"/>
            <w:tcBorders>
              <w:bottom w:val="single"/>
            </w:tcBorders>
            <w:vAlign w:val="bottom"/>
          </w:tcPr>
          <w:p>
            <w:pPr>
              <w:pStyle w:val="Compact"/>
              <w:jc w:val="left"/>
            </w:pPr>
            <w:r>
              <w:rPr>
                <w:b/>
              </w:rPr>
              <w:t>Tipo</w:t>
            </w:r>
          </w:p>
        </w:tc>
        <w:tc>
          <w:tcPr>
            <w:tcW w:type="dxa" w:w="948"/>
            <w:tcBorders>
              <w:bottom w:val="single"/>
            </w:tcBorders>
            <w:vAlign w:val="bottom"/>
          </w:tcPr>
          <w:p>
            <w:pPr>
              <w:pStyle w:val="Compact"/>
              <w:jc w:val="left"/>
            </w:pPr>
            <w:r>
              <w:rPr>
                <w:b/>
              </w:rPr>
              <w:t>Parámetros</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center"/>
            </w:pPr>
            <w:r>
              <w:rPr>
                <w:b/>
              </w:rPr>
              <w:t>Precisión</w:t>
            </w:r>
          </w:p>
        </w:tc>
        <w:tc>
          <w:tcPr>
            <w:tcW w:type="dxa" w:w="900"/>
            <w:tcBorders>
              <w:bottom w:val="single"/>
            </w:tcBorders>
            <w:vAlign w:val="bottom"/>
          </w:tcPr>
          <w:p>
            <w:pPr>
              <w:pStyle w:val="Compact"/>
              <w:jc w:val="left"/>
            </w:pPr>
            <w:r>
              <w:rPr>
                <w:b/>
              </w:rPr>
              <w:t>Recall</w:t>
            </w:r>
          </w:p>
        </w:tc>
        <w:tc>
          <w:tcPr>
            <w:tcW w:type="dxa" w:w="1232"/>
            <w:tcBorders>
              <w:bottom w:val="single"/>
            </w:tcBorders>
            <w:vAlign w:val="bottom"/>
          </w:tcPr>
          <w:p>
            <w:pPr>
              <w:pStyle w:val="Compact"/>
              <w:jc w:val="left"/>
            </w:pPr>
            <w:r>
              <w:rPr>
                <w:b/>
              </w:rPr>
              <w:t>Hallucination</w:t>
            </w:r>
          </w:p>
        </w:tc>
        <w:tc>
          <w:tcPr>
            <w:tcW w:type="dxa" w:w="1137"/>
            <w:tcBorders>
              <w:bottom w:val="single"/>
            </w:tcBorders>
            <w:vAlign w:val="bottom"/>
          </w:tcPr>
          <w:p>
            <w:pPr>
              <w:pStyle w:val="Compact"/>
              <w:jc w:val="left"/>
            </w:pPr>
            <w:r>
              <w:rPr>
                <w:b/>
              </w:rPr>
              <w:t>Latencia (s)</w:t>
            </w:r>
          </w:p>
        </w:tc>
        <w:tc>
          <w:tcPr>
            <w:tcW w:type="dxa" w:w="900"/>
            <w:tcBorders>
              <w:bottom w:val="single"/>
            </w:tcBorders>
            <w:vAlign w:val="bottom"/>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Tabla 5. Variantes de prompt sobre gemma4:latest: diseño factorial de idioma de la instrucción y de los ejemplos (N=15)</w:t>
      </w:r>
    </w:p>
    <w:tbl>
      <w:tblPr>
        <w:tblStyle w:val="Table"/>
        <w:tblW w:type="pct" w:w="5000.0"/>
        <w:tblLook w:firstRow="1"/>
      </w:tblPr>
      <w:tblGrid>
        <w:gridCol w:w="2254"/>
        <w:gridCol w:w="900"/>
        <w:gridCol w:w="900"/>
        <w:gridCol w:w="900"/>
        <w:gridCol w:w="1293"/>
        <w:gridCol w:w="1194"/>
        <w:gridCol w:w="1397"/>
      </w:tblGrid>
      <w:tr>
        <w:trPr>
          <w:cnfStyle w:firstRow="1"/>
        </w:trPr>
        <w:tc>
          <w:tcPr>
            <w:tcW w:type="dxa" w:w="2254"/>
            <w:tcBorders>
              <w:bottom w:val="single"/>
            </w:tcBorders>
            <w:vAlign w:val="bottom"/>
          </w:tcPr>
          <w:p>
            <w:pPr>
              <w:pStyle w:val="Compact"/>
              <w:jc w:val="left"/>
            </w:pPr>
            <w:r>
              <w:rPr>
                <w:b/>
              </w:rPr>
              <w:t>Configuración</w:t>
            </w:r>
          </w:p>
        </w:tc>
        <w:tc>
          <w:tcPr>
            <w:tcW w:type="dxa" w:w="900"/>
            <w:tcBorders>
              <w:bottom w:val="single"/>
            </w:tcBorders>
            <w:vAlign w:val="bottom"/>
          </w:tcPr>
          <w:p>
            <w:pPr>
              <w:pStyle w:val="Compact"/>
              <w:jc w:val="left"/>
            </w:pPr>
            <w:r>
              <w:rPr>
                <w:b/>
              </w:rPr>
              <w:t>F1</w:t>
            </w:r>
          </w:p>
        </w:tc>
        <w:tc>
          <w:tcPr>
            <w:tcW w:type="dxa" w:w="900"/>
            <w:tcBorders>
              <w:bottom w:val="single"/>
            </w:tcBorders>
            <w:vAlign w:val="bottom"/>
          </w:tcPr>
          <w:p>
            <w:pPr>
              <w:pStyle w:val="Compact"/>
              <w:jc w:val="left"/>
            </w:pPr>
            <w:r>
              <w:rPr>
                <w:b/>
              </w:rPr>
              <w:t>Precisión</w:t>
            </w:r>
          </w:p>
        </w:tc>
        <w:tc>
          <w:tcPr>
            <w:tcW w:type="dxa" w:w="900"/>
            <w:tcBorders>
              <w:bottom w:val="single"/>
            </w:tcBorders>
            <w:vAlign w:val="bottom"/>
          </w:tcPr>
          <w:p>
            <w:pPr>
              <w:pStyle w:val="Compact"/>
              <w:jc w:val="center"/>
            </w:pPr>
            <w:r>
              <w:rPr>
                <w:b/>
              </w:rPr>
              <w:t>Recall</w:t>
            </w:r>
          </w:p>
        </w:tc>
        <w:tc>
          <w:tcPr>
            <w:tcW w:type="dxa" w:w="1293"/>
            <w:tcBorders>
              <w:bottom w:val="single"/>
            </w:tcBorders>
            <w:vAlign w:val="bottom"/>
          </w:tcPr>
          <w:p>
            <w:pPr>
              <w:pStyle w:val="Compact"/>
              <w:jc w:val="center"/>
            </w:pPr>
            <w:r>
              <w:rPr>
                <w:b/>
              </w:rPr>
              <w:t>Hallucination</w:t>
            </w:r>
          </w:p>
        </w:tc>
        <w:tc>
          <w:tcPr>
            <w:tcW w:type="dxa" w:w="1194"/>
            <w:tcBorders>
              <w:bottom w:val="single"/>
            </w:tcBorders>
            <w:vAlign w:val="bottom"/>
          </w:tcPr>
          <w:p>
            <w:pPr>
              <w:pStyle w:val="Compact"/>
              <w:jc w:val="left"/>
            </w:pPr>
            <w:r>
              <w:rPr>
                <w:b/>
              </w:rPr>
              <w:t>Latencia (s)</w:t>
            </w:r>
          </w:p>
        </w:tc>
        <w:tc>
          <w:tcPr>
            <w:tcW w:type="dxa" w:w="1397"/>
            <w:tcBorders>
              <w:bottom w:val="single"/>
            </w:tcBorders>
            <w:vAlign w:val="bottom"/>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0"/>
        <w:tblLook w:firstRow="1"/>
      </w:tblPr>
      <w:tblGrid>
        <w:gridCol w:w="2028"/>
        <w:gridCol w:w="1014"/>
        <w:gridCol w:w="1303"/>
        <w:gridCol w:w="1014"/>
        <w:gridCol w:w="2579"/>
        <w:gridCol w:w="900"/>
      </w:tblGrid>
      <w:tr>
        <w:trPr>
          <w:cnfStyle w:firstRow="1"/>
        </w:trPr>
        <w:tc>
          <w:tcPr>
            <w:tcW w:type="dxa" w:w="2028"/>
            <w:tcBorders>
              <w:bottom w:val="single"/>
            </w:tcBorders>
            <w:vAlign w:val="bottom"/>
          </w:tcPr>
          <w:p>
            <w:pPr>
              <w:pStyle w:val="Compact"/>
              <w:jc w:val="left"/>
            </w:pPr>
            <w:r>
              <w:rPr>
                <w:b/>
              </w:rPr>
              <w:t>Modelo</w:t>
            </w:r>
          </w:p>
        </w:tc>
        <w:tc>
          <w:tcPr>
            <w:tcW w:type="dxa" w:w="1014"/>
            <w:tcBorders>
              <w:bottom w:val="single"/>
            </w:tcBorders>
            <w:vAlign w:val="bottom"/>
          </w:tcPr>
          <w:p>
            <w:pPr>
              <w:pStyle w:val="Compact"/>
              <w:jc w:val="left"/>
            </w:pPr>
            <w:r>
              <w:rPr>
                <w:b/>
              </w:rPr>
              <w:t>F1</w:t>
            </w:r>
          </w:p>
        </w:tc>
        <w:tc>
          <w:tcPr>
            <w:tcW w:type="dxa" w:w="1303"/>
            <w:tcBorders>
              <w:bottom w:val="single"/>
            </w:tcBorders>
            <w:vAlign w:val="bottom"/>
          </w:tcPr>
          <w:p>
            <w:pPr>
              <w:pStyle w:val="Compact"/>
              <w:jc w:val="left"/>
            </w:pPr>
            <w:r>
              <w:rPr>
                <w:b/>
              </w:rPr>
              <w:t>Precisión</w:t>
            </w:r>
          </w:p>
        </w:tc>
        <w:tc>
          <w:tcPr>
            <w:tcW w:type="dxa" w:w="1014"/>
            <w:tcBorders>
              <w:bottom w:val="single"/>
            </w:tcBorders>
            <w:vAlign w:val="bottom"/>
          </w:tcPr>
          <w:p>
            <w:pPr>
              <w:pStyle w:val="Compact"/>
              <w:jc w:val="center"/>
            </w:pPr>
            <w:r>
              <w:rPr>
                <w:b/>
              </w:rPr>
              <w:t>Recall</w:t>
            </w:r>
          </w:p>
        </w:tc>
        <w:tc>
          <w:tcPr>
            <w:tcW w:type="dxa" w:w="2579"/>
            <w:tcBorders>
              <w:bottom w:val="single"/>
            </w:tcBorders>
            <w:vAlign w:val="bottom"/>
          </w:tcPr>
          <w:p>
            <w:pPr>
              <w:pStyle w:val="Compact"/>
              <w:jc w:val="center"/>
            </w:pPr>
            <w:r>
              <w:rPr>
                <w:b/>
              </w:rPr>
              <w:t>IC 95 % del F1</w:t>
            </w:r>
          </w:p>
        </w:tc>
        <w:tc>
          <w:tcPr>
            <w:tcW w:type="dxa" w:w="900"/>
            <w:tcBorders>
              <w:bottom w:val="single"/>
            </w:tcBorders>
            <w:vAlign w:val="bottom"/>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4"/>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0"/>
        <w:tblLook w:firstRow="1"/>
      </w:tblPr>
      <w:tblGrid>
        <w:gridCol w:w="2665"/>
        <w:gridCol w:w="1543"/>
        <w:gridCol w:w="1262"/>
        <w:gridCol w:w="1262"/>
        <w:gridCol w:w="2106"/>
      </w:tblGrid>
      <w:tr>
        <w:trPr>
          <w:cnfStyle w:firstRow="1"/>
        </w:trPr>
        <w:tc>
          <w:tcPr>
            <w:tcW w:type="dxa" w:w="2665"/>
            <w:tcBorders>
              <w:bottom w:val="single"/>
            </w:tcBorders>
            <w:vAlign w:val="bottom"/>
          </w:tcPr>
          <w:p>
            <w:pPr>
              <w:pStyle w:val="Compact"/>
              <w:jc w:val="left"/>
            </w:pPr>
            <w:r>
              <w:rPr>
                <w:b/>
              </w:rPr>
              <w:t>Modelo</w:t>
            </w:r>
          </w:p>
        </w:tc>
        <w:tc>
          <w:tcPr>
            <w:tcW w:type="dxa" w:w="1543"/>
            <w:tcBorders>
              <w:bottom w:val="single"/>
            </w:tcBorders>
            <w:vAlign w:val="bottom"/>
          </w:tcPr>
          <w:p>
            <w:pPr>
              <w:pStyle w:val="Compact"/>
              <w:jc w:val="left"/>
            </w:pPr>
            <w:r>
              <w:rPr>
                <w:b/>
              </w:rPr>
              <w:t>F1 baseline</w:t>
            </w:r>
          </w:p>
        </w:tc>
        <w:tc>
          <w:tcPr>
            <w:tcW w:type="dxa" w:w="1262"/>
            <w:tcBorders>
              <w:bottom w:val="single"/>
            </w:tcBorders>
            <w:vAlign w:val="bottom"/>
          </w:tcPr>
          <w:p>
            <w:pPr>
              <w:pStyle w:val="Compact"/>
              <w:jc w:val="left"/>
            </w:pPr>
            <w:r>
              <w:rPr>
                <w:b/>
              </w:rPr>
              <w:t>F1 KB RAG</w:t>
            </w:r>
          </w:p>
        </w:tc>
        <w:tc>
          <w:tcPr>
            <w:tcW w:type="dxa" w:w="1262"/>
            <w:tcBorders>
              <w:bottom w:val="single"/>
            </w:tcBorders>
            <w:vAlign w:val="bottom"/>
          </w:tcPr>
          <w:p>
            <w:pPr>
              <w:pStyle w:val="Compact"/>
              <w:jc w:val="center"/>
            </w:pPr>
            <w:r>
              <w:rPr>
                <w:b/>
              </w:rPr>
              <w:t>Δ RAG</w:t>
            </w:r>
          </w:p>
        </w:tc>
        <w:tc>
          <w:tcPr>
            <w:tcW w:type="dxa" w:w="2106"/>
            <w:tcBorders>
              <w:bottom w:val="single"/>
            </w:tcBorders>
            <w:vAlign w:val="bottom"/>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introducida en §2.5: los veintiséis grupos evalúan los mismos 113 artículos, de modo que las observaciones están apareadas y el ANOVA resulta conservador. La prueba de Levene sí detecta heterocedasticidad (p = 1,39 × 10⁻¹¹) —a diferencia de sobre el corpus publicado, ahora que el defecto de anotación de Locations está corregido—, sin invalidar el ANOVA (el diseño está balanceado: 2 938 observaciones, 113 por grupo). Repetido con Friedman,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0"/>
        <w:tblLook w:firstRow="1"/>
      </w:tblPr>
      <w:tblGrid>
        <w:gridCol w:w="1753"/>
        <w:gridCol w:w="1127"/>
        <w:gridCol w:w="900"/>
        <w:gridCol w:w="1753"/>
        <w:gridCol w:w="1753"/>
        <w:gridCol w:w="1552"/>
      </w:tblGrid>
      <w:tr>
        <w:trPr>
          <w:cnfStyle w:firstRow="1"/>
        </w:trPr>
        <w:tc>
          <w:tcPr>
            <w:tcW w:type="dxa" w:w="1753"/>
            <w:tcBorders>
              <w:bottom w:val="single"/>
            </w:tcBorders>
            <w:vAlign w:val="bottom"/>
          </w:tcPr>
          <w:p>
            <w:pPr>
              <w:pStyle w:val="Compact"/>
              <w:jc w:val="left"/>
            </w:pPr>
            <w:r>
              <w:rPr>
                <w:b/>
              </w:rPr>
              <w:t>Modelo</w:t>
            </w:r>
          </w:p>
        </w:tc>
        <w:tc>
          <w:tcPr>
            <w:tcW w:type="dxa" w:w="1127"/>
            <w:tcBorders>
              <w:bottom w:val="single"/>
            </w:tcBorders>
            <w:vAlign w:val="bottom"/>
          </w:tcPr>
          <w:p>
            <w:pPr>
              <w:pStyle w:val="Compact"/>
              <w:jc w:val="left"/>
            </w:pPr>
            <w:r>
              <w:rPr>
                <w:b/>
              </w:rPr>
              <w:t>VRAM (MB)</w:t>
            </w:r>
          </w:p>
        </w:tc>
        <w:tc>
          <w:tcPr>
            <w:tcW w:type="dxa" w:w="900"/>
            <w:tcBorders>
              <w:bottom w:val="single"/>
            </w:tcBorders>
            <w:vAlign w:val="bottom"/>
          </w:tcPr>
          <w:p>
            <w:pPr>
              <w:pStyle w:val="Compact"/>
              <w:jc w:val="left"/>
            </w:pPr>
            <w:r>
              <w:rPr>
                <w:b/>
              </w:rPr>
              <w:t>Tok/s</w:t>
            </w:r>
          </w:p>
        </w:tc>
        <w:tc>
          <w:tcPr>
            <w:tcW w:type="dxa" w:w="1753"/>
            <w:tcBorders>
              <w:bottom w:val="single"/>
            </w:tcBorders>
            <w:vAlign w:val="bottom"/>
          </w:tcPr>
          <w:p>
            <w:pPr>
              <w:pStyle w:val="Compact"/>
              <w:jc w:val="center"/>
            </w:pPr>
            <w:r>
              <w:rPr>
                <w:b/>
              </w:rPr>
              <w:t>Parámetros (B)</w:t>
            </w:r>
          </w:p>
        </w:tc>
        <w:tc>
          <w:tcPr>
            <w:tcW w:type="dxa" w:w="1753"/>
            <w:tcBorders>
              <w:bottom w:val="single"/>
            </w:tcBorders>
            <w:vAlign w:val="bottom"/>
          </w:tcPr>
          <w:p>
            <w:pPr>
              <w:pStyle w:val="Compact"/>
              <w:jc w:val="center"/>
            </w:pPr>
            <w:r>
              <w:rPr>
                <w:b/>
              </w:rPr>
              <w:t>Índice Tok/s/B</w:t>
            </w:r>
          </w:p>
        </w:tc>
        <w:tc>
          <w:tcPr>
            <w:tcW w:type="dxa" w:w="1552"/>
            <w:tcBorders>
              <w:bottom w:val="single"/>
            </w:tcBorders>
            <w:vAlign w:val="bottom"/>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antes de la re-corrida que hoy sostiene la Tabla 7 (§5.3.1): el corpus vigente tiene 0 artículos con este defecto, verificado con </w:t>
      </w:r>
      <w:r>
        <w:t>tools/analisis_mojibake.py</w:t>
      </w:r>
      <w:r>
        <w:t>.</w:t>
      </w:r>
    </w:p>
    <w:p>
      <w:pPr>
        <w:numPr>
          <w:ilvl w:val="0"/>
          <w:numId w:val="0"/>
        </w:numPr>
        <w:pStyle w:val="BodyText"/>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que mide ya las tres categorías (§5.3.1): el corpus vigente tiene 545 localizaciones en 119 de los 120 registros.</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0"/>
        <w:tblLook w:firstRow="1"/>
      </w:tblPr>
      <w:tblGrid>
        <w:gridCol w:w="5892"/>
        <w:gridCol w:w="2946"/>
      </w:tblGrid>
      <w:tr>
        <w:trPr>
          <w:cnfStyle w:firstRow="1"/>
        </w:trPr>
        <w:tc>
          <w:tcPr>
            <w:tcW w:type="dxa" w:w="5892"/>
            <w:tcBorders>
              <w:bottom w:val="single"/>
            </w:tcBorders>
            <w:vAlign w:val="bottom"/>
          </w:tcPr>
          <w:p>
            <w:pPr>
              <w:pStyle w:val="Compact"/>
              <w:jc w:val="left"/>
            </w:pPr>
            <w:r>
              <w:rPr>
                <w:b/>
              </w:rPr>
              <w:t>Ruta</w:t>
            </w:r>
          </w:p>
        </w:tc>
        <w:tc>
          <w:tcPr>
            <w:tcW w:type="dxa" w:w="2946"/>
            <w:tcBorders>
              <w:bottom w:val="single"/>
            </w:tcBorders>
            <w:vAlign w:val="bottom"/>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4"/>
      </w:pPr>
      <w:r>
        <w:t>A.1 Interfaz común de proveedores (LLMProvider)</w:t>
      </w:r>
    </w:p>
    <w:p>
      <w:pPr>
        <w:numPr>
          <w:ilvl w:val="0"/>
          <w:numId w:val="0"/>
        </w:numPr>
        <w:pStyle w:val="BodyText"/>
      </w:pPr>
      <w:r>
        <w:t xml:space="preserve">Citada desde §3.2. Los patrones </w:t>
      </w:r>
      <w:r>
        <w:rPr>
          <w:i/>
        </w:rPr>
        <w:t>Factory</w:t>
      </w:r>
      <w:r>
        <w:t xml:space="preserve"> y </w:t>
      </w:r>
      <w:r>
        <w:rPr>
          <w:i/>
        </w:rPr>
        <w:t>Facade</w:t>
      </w:r>
      <w:r>
        <w:t xml:space="preserve">, comparados contra su alternativa en §2.4, se apoyan en esta interfaz abstracta común a </w:t>
      </w:r>
      <w:r>
        <w:t>OllamaProvider</w:t>
      </w:r>
      <w:r>
        <w:t xml:space="preserve">, </w:t>
      </w:r>
      <w:r>
        <w:t>OpenAIProvider</w:t>
      </w:r>
      <w:r>
        <w:t xml:space="preserve"> y </w:t>
      </w:r>
      <w:r>
        <w:t>AnthropicProvider</w:t>
      </w:r>
      <w:r>
        <w:t>:</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0"/>
        <w:tblLook w:firstRow="1"/>
      </w:tblPr>
      <w:tblGrid>
        <w:gridCol w:w="4419"/>
        <w:gridCol w:w="4419"/>
      </w:tblGrid>
      <w:tr>
        <w:trPr>
          <w:cnfStyle w:firstRow="1"/>
        </w:trPr>
        <w:tc>
          <w:tcPr>
            <w:tcW w:type="dxa" w:w="4419"/>
            <w:tcBorders>
              <w:bottom w:val="single"/>
            </w:tcBorders>
            <w:vAlign w:val="bottom"/>
          </w:tcPr>
          <w:p>
            <w:pPr>
              <w:pStyle w:val="Compact"/>
              <w:jc w:val="left"/>
            </w:pPr>
            <w:r>
              <w:rPr>
                <w:b/>
              </w:rPr>
              <w:t>Componente</w:t>
            </w:r>
          </w:p>
        </w:tc>
        <w:tc>
          <w:tcPr>
            <w:tcW w:type="dxa" w:w="4419"/>
            <w:tcBorders>
              <w:bottom w:val="single"/>
            </w:tcBorders>
            <w:vAlign w:val="bottom"/>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4"/>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0"/>
        <w:tblLook w:firstRow="1"/>
      </w:tblPr>
      <w:tblGrid>
        <w:gridCol w:w="1148"/>
        <w:gridCol w:w="2121"/>
        <w:gridCol w:w="3004"/>
        <w:gridCol w:w="2565"/>
      </w:tblGrid>
      <w:tr>
        <w:trPr>
          <w:cnfStyle w:firstRow="1"/>
        </w:trPr>
        <w:tc>
          <w:tcPr>
            <w:tcW w:type="dxa" w:w="1148"/>
            <w:tcBorders>
              <w:bottom w:val="single"/>
            </w:tcBorders>
            <w:vAlign w:val="bottom"/>
          </w:tcPr>
          <w:p>
            <w:pPr>
              <w:pStyle w:val="Compact"/>
              <w:jc w:val="left"/>
            </w:pPr>
            <w:r>
              <w:rPr>
                <w:b/>
              </w:rPr>
              <w:t>Modo</w:t>
            </w:r>
          </w:p>
        </w:tc>
        <w:tc>
          <w:tcPr>
            <w:tcW w:type="dxa" w:w="2121"/>
            <w:tcBorders>
              <w:bottom w:val="single"/>
            </w:tcBorders>
            <w:vAlign w:val="bottom"/>
          </w:tcPr>
          <w:p>
            <w:pPr>
              <w:pStyle w:val="Compact"/>
              <w:jc w:val="left"/>
            </w:pPr>
            <w:r>
              <w:rPr>
                <w:b/>
              </w:rPr>
              <w:t>Flag CLI</w:t>
            </w:r>
          </w:p>
        </w:tc>
        <w:tc>
          <w:tcPr>
            <w:tcW w:type="dxa" w:w="3004"/>
            <w:tcBorders>
              <w:bottom w:val="single"/>
            </w:tcBorders>
            <w:vAlign w:val="bottom"/>
          </w:tcPr>
          <w:p>
            <w:pPr>
              <w:pStyle w:val="Compact"/>
              <w:jc w:val="left"/>
            </w:pPr>
            <w:r>
              <w:rPr>
                <w:b/>
              </w:rPr>
              <w:t>Descripción</w:t>
            </w:r>
          </w:p>
        </w:tc>
        <w:tc>
          <w:tcPr>
            <w:tcW w:type="dxa" w:w="2565"/>
            <w:tcBorders>
              <w:bottom w:val="single"/>
            </w:tcBorders>
            <w:vAlign w:val="bottom"/>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4"/>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0"/>
        <w:tblLook w:firstRow="1"/>
      </w:tblPr>
      <w:tblGrid>
        <w:gridCol w:w="2513"/>
        <w:gridCol w:w="2211"/>
        <w:gridCol w:w="900"/>
        <w:gridCol w:w="3214"/>
      </w:tblGrid>
      <w:tr>
        <w:trPr>
          <w:cnfStyle w:firstRow="1"/>
        </w:trPr>
        <w:tc>
          <w:tcPr>
            <w:tcW w:type="dxa" w:w="2513"/>
            <w:tcBorders>
              <w:bottom w:val="single"/>
            </w:tcBorders>
            <w:vAlign w:val="bottom"/>
          </w:tcPr>
          <w:p>
            <w:pPr>
              <w:pStyle w:val="Compact"/>
              <w:jc w:val="left"/>
            </w:pPr>
            <w:r>
              <w:rPr>
                <w:b/>
              </w:rPr>
              <w:t>Dominio</w:t>
            </w:r>
          </w:p>
        </w:tc>
        <w:tc>
          <w:tcPr>
            <w:tcW w:type="dxa" w:w="2211"/>
            <w:tcBorders>
              <w:bottom w:val="single"/>
            </w:tcBorders>
            <w:vAlign w:val="bottom"/>
          </w:tcPr>
          <w:p>
            <w:pPr>
              <w:pStyle w:val="Compact"/>
              <w:jc w:val="left"/>
            </w:pPr>
            <w:r>
              <w:rPr>
                <w:b/>
              </w:rPr>
              <w:t>ID</w:t>
            </w:r>
          </w:p>
        </w:tc>
        <w:tc>
          <w:tcPr>
            <w:tcW w:type="dxa" w:w="900"/>
            <w:tcBorders>
              <w:bottom w:val="single"/>
            </w:tcBorders>
            <w:vAlign w:val="bottom"/>
          </w:tcPr>
          <w:p>
            <w:pPr>
              <w:pStyle w:val="Compact"/>
              <w:jc w:val="left"/>
            </w:pPr>
            <w:r>
              <w:rPr>
                <w:b/>
              </w:rPr>
              <w:t>Idioma</w:t>
            </w:r>
          </w:p>
        </w:tc>
        <w:tc>
          <w:tcPr>
            <w:tcW w:type="dxa" w:w="3214"/>
            <w:tcBorders>
              <w:bottom w:val="single"/>
            </w:tcBorders>
            <w:vAlign w:val="bottom"/>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0"/>
        <w:tblLook w:firstRow="1"/>
      </w:tblPr>
      <w:tblGrid>
        <w:gridCol w:w="4344"/>
        <w:gridCol w:w="2396"/>
        <w:gridCol w:w="2098"/>
      </w:tblGrid>
      <w:tr>
        <w:trPr>
          <w:cnfStyle w:firstRow="1"/>
        </w:trPr>
        <w:tc>
          <w:tcPr>
            <w:tcW w:type="dxa" w:w="4344"/>
            <w:tcBorders>
              <w:bottom w:val="single"/>
            </w:tcBorders>
            <w:vAlign w:val="bottom"/>
          </w:tcPr>
          <w:p>
            <w:pPr>
              <w:pStyle w:val="Compact"/>
              <w:jc w:val="left"/>
            </w:pPr>
            <w:r>
              <w:rPr>
                <w:b/>
              </w:rPr>
              <w:t>ID Ejemplar</w:t>
            </w:r>
          </w:p>
        </w:tc>
        <w:tc>
          <w:tcPr>
            <w:tcW w:type="dxa" w:w="2396"/>
            <w:tcBorders>
              <w:bottom w:val="single"/>
            </w:tcBorders>
            <w:vAlign w:val="bottom"/>
          </w:tcPr>
          <w:p>
            <w:pPr>
              <w:pStyle w:val="Compact"/>
              <w:jc w:val="left"/>
            </w:pPr>
            <w:r>
              <w:rPr>
                <w:b/>
              </w:rPr>
              <w:t>Dominio</w:t>
            </w:r>
          </w:p>
        </w:tc>
        <w:tc>
          <w:tcPr>
            <w:tcW w:type="dxa" w:w="2098"/>
            <w:tcBorders>
              <w:bottom w:val="single"/>
            </w:tcBorders>
            <w:vAlign w:val="bottom"/>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4"/>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0"/>
        <w:tblLook w:firstRow="1"/>
      </w:tblPr>
      <w:tblGrid>
        <w:gridCol w:w="3130"/>
        <w:gridCol w:w="5708"/>
      </w:tblGrid>
      <w:tr>
        <w:trPr>
          <w:cnfStyle w:firstRow="1"/>
        </w:trPr>
        <w:tc>
          <w:tcPr>
            <w:tcW w:type="dxa" w:w="3130"/>
            <w:tcBorders>
              <w:bottom w:val="single"/>
            </w:tcBorders>
            <w:vAlign w:val="bottom"/>
          </w:tcPr>
          <w:p>
            <w:pPr>
              <w:pStyle w:val="Compact"/>
              <w:jc w:val="left"/>
            </w:pPr>
            <w:r>
              <w:rPr>
                <w:b/>
              </w:rPr>
              <w:t>Regla</w:t>
            </w:r>
          </w:p>
        </w:tc>
        <w:tc>
          <w:tcPr>
            <w:tcW w:type="dxa" w:w="5708"/>
            <w:tcBorders>
              <w:bottom w:val="single"/>
            </w:tcBorders>
            <w:vAlign w:val="bottom"/>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0"/>
        <w:tblLook w:firstRow="1"/>
      </w:tblPr>
      <w:tblGrid>
        <w:gridCol w:w="4215"/>
        <w:gridCol w:w="4623"/>
      </w:tblGrid>
      <w:tr>
        <w:trPr>
          <w:cnfStyle w:firstRow="1"/>
        </w:trPr>
        <w:tc>
          <w:tcPr>
            <w:tcW w:type="dxa" w:w="4215"/>
            <w:tcBorders>
              <w:bottom w:val="single"/>
            </w:tcBorders>
            <w:vAlign w:val="bottom"/>
          </w:tcPr>
          <w:p>
            <w:pPr>
              <w:pStyle w:val="Compact"/>
              <w:jc w:val="left"/>
            </w:pPr>
            <w:r>
              <w:rPr>
                <w:b/>
              </w:rPr>
              <w:t>Filas de la Tabla 4</w:t>
            </w:r>
          </w:p>
        </w:tc>
        <w:tc>
          <w:tcPr>
            <w:tcW w:type="dxa" w:w="4623"/>
            <w:tcBorders>
              <w:bottom w:val="single"/>
            </w:tcBorders>
            <w:vAlign w:val="bottom"/>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4"/>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4"/>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4"/>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4"/>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Anexo H — Codificación del corpus: análisis del mojibake y su efecto sobre la medición</w:t>
      </w:r>
    </w:p>
    <w:p>
      <w:pPr>
        <w:numPr>
          <w:ilvl w:val="0"/>
          <w:numId w:val="0"/>
        </w:numPr>
        <w:pStyle w:val="Heading4"/>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0"/>
        <w:tblLook w:firstRow="1"/>
      </w:tblPr>
      <w:tblGrid>
        <w:gridCol w:w="5077"/>
        <w:gridCol w:w="3761"/>
      </w:tblGrid>
      <w:tr>
        <w:trPr>
          <w:cnfStyle w:firstRow="1"/>
        </w:trPr>
        <w:tc>
          <w:tcPr>
            <w:tcW w:type="dxa" w:w="5077"/>
            <w:tcBorders>
              <w:bottom w:val="single"/>
            </w:tcBorders>
            <w:vAlign w:val="bottom"/>
          </w:tcPr>
          <w:p>
            <w:pPr>
              <w:pStyle w:val="Compact"/>
              <w:jc w:val="left"/>
            </w:pPr>
            <w:r>
              <w:rPr>
                <w:b/>
              </w:rPr>
              <w:t>Forma almacenada (corrupta)</w:t>
            </w:r>
          </w:p>
        </w:tc>
        <w:tc>
          <w:tcPr>
            <w:tcW w:type="dxa" w:w="3761"/>
            <w:tcBorders>
              <w:bottom w:val="single"/>
            </w:tcBorders>
            <w:vAlign w:val="bottom"/>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4"/>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0"/>
        <w:tblLook w:firstRow="1"/>
      </w:tblPr>
      <w:tblGrid>
        <w:gridCol w:w="5564"/>
        <w:gridCol w:w="3274"/>
      </w:tblGrid>
      <w:tr>
        <w:trPr>
          <w:cnfStyle w:firstRow="1"/>
        </w:trPr>
        <w:tc>
          <w:tcPr>
            <w:tcW w:type="dxa" w:w="5564"/>
            <w:tcBorders>
              <w:bottom w:val="single"/>
            </w:tcBorders>
            <w:vAlign w:val="bottom"/>
          </w:tcPr>
          <w:p>
            <w:pPr>
              <w:pStyle w:val="Compact"/>
              <w:jc w:val="left"/>
            </w:pPr>
            <w:r>
              <w:rPr>
                <w:b/>
              </w:rPr>
              <w:t>Comprobación sobre data/benchmark_balanced_120.json</w:t>
            </w:r>
          </w:p>
        </w:tc>
        <w:tc>
          <w:tcPr>
            <w:tcW w:type="dxa" w:w="3274"/>
            <w:tcBorders>
              <w:bottom w:val="single"/>
            </w:tcBorders>
            <w:vAlign w:val="bottom"/>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4"/>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Tabla 18. Efecto diferencial del mojibake sobre el F1 según el criterio de artículo afectado</w:t>
      </w:r>
    </w:p>
    <w:tbl>
      <w:tblPr>
        <w:tblStyle w:val="Table"/>
        <w:tblW w:type="pct" w:w="5000.0"/>
        <w:tblLook w:firstRow="1"/>
      </w:tblPr>
      <w:tblGrid>
        <w:gridCol w:w="2981"/>
        <w:gridCol w:w="3194"/>
        <w:gridCol w:w="2663"/>
      </w:tblGrid>
      <w:tr>
        <w:trPr>
          <w:cnfStyle w:firstRow="1"/>
        </w:trPr>
        <w:tc>
          <w:tcPr>
            <w:tcW w:type="dxa" w:w="2981"/>
            <w:tcBorders>
              <w:bottom w:val="single"/>
            </w:tcBorders>
            <w:vAlign w:val="bottom"/>
          </w:tcPr>
          <w:p>
            <w:pPr>
              <w:pStyle w:val="Compact"/>
              <w:jc w:val="left"/>
            </w:pPr>
            <w:r>
              <w:rPr>
                <w:b/>
              </w:rPr>
              <w:t>Configuración</w:t>
            </w:r>
          </w:p>
        </w:tc>
        <w:tc>
          <w:tcPr>
            <w:tcW w:type="dxa" w:w="3194"/>
            <w:tcBorders>
              <w:bottom w:val="single"/>
            </w:tcBorders>
            <w:vAlign w:val="bottom"/>
          </w:tcPr>
          <w:p>
            <w:pPr>
              <w:pStyle w:val="Compact"/>
              <w:jc w:val="left"/>
            </w:pPr>
            <w:r>
              <w:rPr>
                <w:b/>
              </w:rPr>
              <w:t>Δ F1 por entidad de referencia</w:t>
            </w:r>
          </w:p>
        </w:tc>
        <w:tc>
          <w:tcPr>
            <w:tcW w:type="dxa" w:w="2663"/>
            <w:tcBorders>
              <w:bottom w:val="single"/>
            </w:tcBorders>
            <w:vAlign w:val="bottom"/>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4"/>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4"/>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0"/>
        <w:tblLook w:firstRow="1"/>
      </w:tblPr>
      <w:tblGrid>
        <w:gridCol w:w="2322"/>
        <w:gridCol w:w="1116"/>
        <w:gridCol w:w="900"/>
        <w:gridCol w:w="900"/>
        <w:gridCol w:w="900"/>
        <w:gridCol w:w="900"/>
        <w:gridCol w:w="900"/>
        <w:gridCol w:w="900"/>
      </w:tblGrid>
      <w:tr>
        <w:trPr>
          <w:cnfStyle w:firstRow="1"/>
        </w:trPr>
        <w:tc>
          <w:tcPr>
            <w:tcW w:type="dxa" w:w="2322"/>
            <w:tcBorders>
              <w:bottom w:val="single"/>
            </w:tcBorders>
            <w:vAlign w:val="bottom"/>
          </w:tcPr>
          <w:p>
            <w:pPr>
              <w:pStyle w:val="Compact"/>
              <w:jc w:val="left"/>
            </w:pPr>
            <w:r>
              <w:rPr>
                <w:b/>
              </w:rPr>
              <w:t>Configuración</w:t>
            </w:r>
          </w:p>
        </w:tc>
        <w:tc>
          <w:tcPr>
            <w:tcW w:type="dxa" w:w="1116"/>
            <w:tcBorders>
              <w:bottom w:val="single"/>
            </w:tcBorders>
            <w:vAlign w:val="bottom"/>
          </w:tcPr>
          <w:p>
            <w:pPr>
              <w:pStyle w:val="Compact"/>
              <w:jc w:val="left"/>
            </w:pPr>
            <w:r>
              <w:rPr>
                <w:b/>
              </w:rPr>
              <w:t>Corrida</w:t>
            </w:r>
          </w:p>
        </w:tc>
        <w:tc>
          <w:tcPr>
            <w:tcW w:type="dxa" w:w="900"/>
            <w:tcBorders>
              <w:bottom w:val="single"/>
            </w:tcBorders>
            <w:vAlign w:val="bottom"/>
          </w:tcPr>
          <w:p>
            <w:pPr>
              <w:pStyle w:val="Compact"/>
              <w:jc w:val="left"/>
            </w:pPr>
            <w:r>
              <w:rPr>
                <w:b/>
              </w:rPr>
              <w:t>P</w:t>
            </w:r>
          </w:p>
        </w:tc>
        <w:tc>
          <w:tcPr>
            <w:tcW w:type="dxa" w:w="900"/>
            <w:tcBorders>
              <w:bottom w:val="single"/>
            </w:tcBorders>
            <w:vAlign w:val="bottom"/>
          </w:tcPr>
          <w:p>
            <w:pPr>
              <w:pStyle w:val="Compact"/>
              <w:jc w:val="center"/>
            </w:pPr>
            <w:r>
              <w:rPr>
                <w:b/>
              </w:rPr>
              <w:t>R</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left"/>
            </w:pPr>
            <w:r>
              <w:rPr>
                <w:b/>
              </w:rPr>
              <w:t>P restr.</w:t>
            </w:r>
          </w:p>
        </w:tc>
        <w:tc>
          <w:tcPr>
            <w:tcW w:type="dxa" w:w="900"/>
            <w:tcBorders>
              <w:bottom w:val="single"/>
            </w:tcBorders>
            <w:vAlign w:val="bottom"/>
          </w:tcPr>
          <w:p>
            <w:pPr>
              <w:pStyle w:val="Compact"/>
              <w:jc w:val="left"/>
            </w:pPr>
            <w:r>
              <w:rPr>
                <w:b/>
              </w:rPr>
              <w:t>F1 restr.</w:t>
            </w:r>
          </w:p>
        </w:tc>
        <w:tc>
          <w:tcPr>
            <w:tcW w:type="dxa" w:w="900"/>
            <w:tcBorders>
              <w:bottom w:val="single"/>
            </w:tcBorders>
            <w:vAlign w:val="bottom"/>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4"/>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2026-09-03T15:24:31Z</dcterms:created>
  <dcterms:modified xsi:type="dcterms:W3CDTF">2026-09-03T15:24:31Z</dcterms:modified>
</cp:coreProperties>
</file>

<file path=docProps/custom.xml><?xml version="1.0" encoding="utf-8"?>
<Properties xmlns="http://schemas.openxmlformats.org/officeDocument/2006/custom-properties" xmlns:vt="http://schemas.openxmlformats.org/officeDocument/2006/docPropsVTypes"/>
</file>