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una base de conocimiento contextual, y evaluó las diferencias mediante ANOVA de una vía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de modo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del reconocimiento de entidades nombradas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Heading2"/>
      </w:pPr>
      <w:r>
        <w:t>2.2 Familias de técnicas para NER</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NER</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2.3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2.4 Estrategias de aumento por recuperación</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Heading2"/>
      </w:pPr>
      <w:r>
        <w:t>2.5 Alternativas de ejecución local y cuantización</w:t>
      </w:r>
    </w:p>
    <w:p>
      <w:pPr>
        <w:numPr>
          <w:ilvl w:val="0"/>
          <w:numId w:val="0"/>
        </w:numPr>
        <w:pStyle w:val="BodyText"/>
      </w:pPr>
      <w:r>
        <w:t xml:space="preserve">Ejecutar modelos de escala media-grande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2.6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El capítulo anterior cerró con cinco criterios derivados de la revisión. Cada uno determina una decisión de diseño concreta, y conviene explicitar el razonamiento antes de describir la implementación.</w:t>
      </w:r>
    </w:p>
    <w:p>
      <w:pPr>
        <w:numPr>
          <w:ilvl w:val="0"/>
          <w:numId w:val="0"/>
        </w:numPr>
        <w:pStyle w:val="BodyText"/>
      </w:pPr>
      <w:r>
        <w:t xml:space="preserve">El criterio </w:t>
      </w:r>
      <w:r>
        <w:rPr>
          <w:b/>
        </w:rPr>
        <w:t>C1 —prescindir de datos etiquetados—</w:t>
      </w:r>
      <w:r>
        <w:t xml:space="preserve"> descarta las cuatro primeras familias de la Tabla comparativa del §2.2. Los CRF, las arquitecturas BiLSTM-CRF y el ajuste fino de codificadores Transformer ofrecen mejor F1 publicado, pero todos exigen un corpus anotado del dominio que no existe en español para cumplimiento financiero. Se adopta por tanto un </w:t>
      </w:r>
      <w:r>
        <w:rPr>
          <w:b/>
        </w:rPr>
        <w:t>modelo de lenguaje generativo operado mediante aprendizaje en contexto</w:t>
      </w:r>
      <w:r>
        <w:t>, única familia que permite adaptación inmediata sin reentrenamiento. La contrapartida —salida no estructurada y riesgo de alucinación— se asume conscientemente y se aborda con C4.</w:t>
      </w:r>
    </w:p>
    <w:p>
      <w:pPr>
        <w:numPr>
          <w:ilvl w:val="0"/>
          <w:numId w:val="0"/>
        </w:numPr>
        <w:pStyle w:val="BodyText"/>
      </w:pPr>
      <w:r>
        <w:t xml:space="preserve">El criterio </w:t>
      </w:r>
      <w:r>
        <w:rPr>
          <w:b/>
        </w:rPr>
        <w:t>C2 —soberanía del dato—</w:t>
      </w:r>
      <w:r>
        <w:t xml:space="preserve"> excluye las APIs comerciales, que aventajan a los modelos abiertos en capacidad pero transfieren el texto a un tercero. Se opta por </w:t>
      </w:r>
      <w:r>
        <w:rPr>
          <w:b/>
        </w:rPr>
        <w:t>ejecución íntegramente local</w:t>
      </w:r>
      <w:r>
        <w:t xml:space="preserve">. Entre los entornos revisados en §2.5 se selecciona </w:t>
      </w:r>
      <w:r>
        <w:rPr>
          <w:b/>
        </w:rPr>
        <w:t>Ollama</w:t>
      </w:r>
      <w:r>
        <w:t xml:space="preserve">, por tres razones: expone una API HTTP uniforme que permite intercambiar modelos sin tocar el código de orquestación; gestiona el ciclo de vida de los pesos en memoria, requisito imprescindible para encadenar modelos que no caben simultáneamente; y admite tanto pesos GGUF como MLX, lo que habilita comparar ambas rutas de cuantización sobre el mismo arnés. Los modelos en la nube se conservan únicamente como </w:t>
      </w:r>
      <w:r>
        <w:rPr>
          <w:b/>
        </w:rPr>
        <w:t>línea base de comparación</w:t>
      </w:r>
      <w:r>
        <w:t>, no como parte de la solución propuesta.</w:t>
      </w:r>
    </w:p>
    <w:p>
      <w:pPr>
        <w:numPr>
          <w:ilvl w:val="0"/>
          <w:numId w:val="0"/>
        </w:numPr>
        <w:pStyle w:val="BodyText"/>
      </w:pPr>
      <w:r>
        <w:t xml:space="preserve">El criterio </w:t>
      </w:r>
      <w:r>
        <w:rPr>
          <w:b/>
        </w:rPr>
        <w:t>C3 —hardware de consumo—</w:t>
      </w:r>
      <w:r>
        <w:t xml:space="preserve"> obliga a cuantización de 4 bits (GGUF Q4_K_M) y a una gestión explícita de la memoria, descrita en §3.3.</w:t>
      </w:r>
    </w:p>
    <w:p>
      <w:pPr>
        <w:numPr>
          <w:ilvl w:val="0"/>
          <w:numId w:val="0"/>
        </w:numPr>
        <w:pStyle w:val="BodyText"/>
      </w:pPr>
      <w:r>
        <w:t xml:space="preserve">El criterio </w:t>
      </w:r>
      <w:r>
        <w:rPr>
          <w:b/>
        </w:rPr>
        <w:t>C4 —salida verificable—</w:t>
      </w:r>
      <w:r>
        <w:t xml:space="preserve"> se traduce en exigir al modelo un objeto JSON con un esquema fijo, validado en recepción, con una ruta de recuperación cuando el análisis sintáctico falla. Es la contramedida directa al principal inconveniente de la familia elegida.</w:t>
      </w:r>
    </w:p>
    <w:p>
      <w:pPr>
        <w:numPr>
          <w:ilvl w:val="0"/>
          <w:numId w:val="0"/>
        </w:numPr>
        <w:pStyle w:val="BodyText"/>
      </w:pPr>
      <w:r>
        <w:t xml:space="preserve">El criterio </w:t>
      </w:r>
      <w:r>
        <w:rPr>
          <w:b/>
        </w:rPr>
        <w:t>C5 —comparación empírica—</w:t>
      </w:r>
      <w:r>
        <w:t xml:space="preserve"> exige que las variantes de </w:t>
      </w:r>
      <w:r>
        <w:rPr>
          <w:i/>
        </w:rPr>
        <w:t>prompt</w:t>
      </w:r>
      <w:r>
        <w:t xml:space="preserve"> y de estrategia de recuperación sean intercambiables por configuración y no por modificación del código, de modo que cada corrida quede definida por un conjunto de parámetros reproducible.</w:t>
      </w:r>
    </w:p>
    <w:p>
      <w:pPr>
        <w:numPr>
          <w:ilvl w:val="0"/>
          <w:numId w:val="0"/>
        </w:numPr>
        <w:pStyle w:val="Heading2"/>
      </w:pPr>
      <w:r>
        <w:t>3.2 Arquitectura general y capa de proveedores</w:t>
      </w:r>
    </w:p>
    <w:p>
      <w:pPr>
        <w:numPr>
          <w:ilvl w:val="0"/>
          <w:numId w:val="0"/>
        </w:numPr>
        <w:pStyle w:val="BodyText"/>
      </w:pPr>
      <w:r>
        <w:t>El sistema se organiza en cinco capas funcionales con responsabilidades separadas, de manera que cada una pueda evolucionar sin arrastrar a las demás.</w:t>
      </w:r>
    </w:p>
    <w:p>
      <w:pPr>
        <w:numPr>
          <w:ilvl w:val="0"/>
          <w:numId w:val="0"/>
        </w:numPr>
        <w:pStyle w:val="TableCaption"/>
      </w:pPr>
      <w:r>
        <w:t>Tabla 3. Arquitectura general y capa de proveedores</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(§3.3). La </w:t>
      </w:r>
      <w:r>
        <w:rPr>
          <w:b/>
        </w:rPr>
        <w:t>capa de proveedores</w:t>
      </w:r>
      <w:r>
        <w:t xml:space="preserve"> aísla la heterogeneidad de las APIs. La </w:t>
      </w:r>
      <w:r>
        <w:rPr>
          <w:b/>
        </w:rPr>
        <w:t>capa de evaluación</w:t>
      </w:r>
      <w:r>
        <w:t xml:space="preserve"> calcula las métricas y las pruebas estadísticas (§3.4).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de modo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Heading2"/>
      </w:pPr>
      <w:r>
        <w:t>3.3 Orquestación, concurrencia adaptativa y gestión de memoria</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3.4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Método de Generación Sintética del Corpus N=30</w:t>
      </w:r>
    </w:p>
    <w:p>
      <w:pPr>
        <w:numPr>
          <w:ilvl w:val="0"/>
          <w:numId w:val="0"/>
        </w:numPr>
        <w:pStyle w:val="BodyText"/>
      </w:pPr>
      <w:r>
        <w:t xml:space="preserve">Dado que el corpus real Kleptotrace/CoNLL-2002 cuenta con solo 15 artículos (N=15), resulta insuficiente para la aplicación de pruebas estadísticas paramétricas con potencia adecuada. Para subsanar esto se aplicó un método de </w:t>
      </w:r>
      <w:r>
        <w:rPr>
          <w:b/>
        </w:rPr>
        <w:t>aumento de datos guiado por LLM</w:t>
      </w:r>
      <w:r>
        <w:t xml:space="preserve"> (LLM-guided data augmentation), consistente en los siguientes pasos:</w:t>
      </w:r>
    </w:p>
    <w:p>
      <w:pPr>
        <w:numPr>
          <w:ilvl w:val="0"/>
          <w:numId w:val="0"/>
        </w:numPr>
        <w:pStyle w:val="BodyText"/>
      </w:pPr>
      <w:r>
        <w:rPr>
          <w:b/>
        </w:rPr>
        <w:t>Paso 1 — Definición de la distribución temática:</w:t>
      </w:r>
      <w:r>
        <w:t xml:space="preserve">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rPr>
          <w:b/>
        </w:rPr>
        <w:t>Paso 2 — Generación controlada por plantillas de entidad:</w:t>
      </w:r>
      <w:r>
        <w:t xml:space="preserve"> Para cada artículo sintético se definió a priori un par </w:t>
      </w:r>
      <w:r>
        <w:t>{entidad_PER, entidad_ORG}</w:t>
      </w:r>
      <w:r>
        <w:t xml:space="preserve">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rPr>
          <w:b/>
        </w:rPr>
        <w:t>Paso 3 — Instrucción al LLM generador:</w:t>
      </w:r>
      <w:r>
        <w:t xml:space="preserve"> El modelo </w:t>
      </w:r>
      <w:r>
        <w:t>gemma4:31b</w:t>
      </w:r>
      <w:r>
        <w:t xml:space="preserve">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rPr>
          <w:b/>
        </w:rPr>
        <w:t>Paso 4 — Verificación del ground truth:</w:t>
      </w:r>
      <w:r>
        <w:t xml:space="preserve">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rPr>
          <w:b/>
        </w:rPr>
        <w:t>Paso 5 — Control de calidad por diversidad:</w:t>
      </w:r>
      <w:r>
        <w:t xml:space="preserve">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4.1.2 Validez Estadística del Corpus Sintético</w:t>
      </w:r>
    </w:p>
    <w:p>
      <w:pPr>
        <w:numPr>
          <w:ilvl w:val="0"/>
          <w:numId w:val="0"/>
        </w:numPr>
        <w:pStyle w:val="BodyText"/>
      </w:pPr>
      <w:r>
        <w:t>El uso de datos sintéticos generados por LLM para pruebas de hipótesis es válido bajo las siguientes condiciones, todas cumplidas en este estudio:</w:t>
      </w:r>
    </w:p>
    <w:p>
      <w:pPr>
        <w:numPr>
          <w:ilvl w:val="0"/>
          <w:numId w:val="0"/>
        </w:numPr>
        <w:pStyle w:val="BodyText"/>
      </w:pPr>
      <w:r>
        <w:rPr>
          <w:b/>
        </w:rPr>
        <w:t>a) Teorema del Límite Central (TLC):</w:t>
      </w:r>
      <w:r>
        <w:t xml:space="preserve"> 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numPr>
          <w:ilvl w:val="0"/>
          <w:numId w:val="0"/>
        </w:numPr>
        <w:pStyle w:val="BodyText"/>
      </w:pPr>
      <w:r>
        <w:rPr>
          <w:b/>
        </w:rPr>
        <w:t>b) Independencia de las observaciones:</w:t>
      </w:r>
      <w:r>
        <w:t xml:space="preserve"> Cada artículo generado es una muestra independiente — el desempeño del modelo en un artículo no afecta su desempeño en otro. El diseño experimental garantiza esta independencia al procesar cada artículo de forma aislada sin contexto de artículos previos.</w:t>
      </w:r>
    </w:p>
    <w:p>
      <w:pPr>
        <w:numPr>
          <w:ilvl w:val="0"/>
          <w:numId w:val="0"/>
        </w:numPr>
        <w:pStyle w:val="BodyText"/>
      </w:pPr>
      <w:r>
        <w:rPr>
          <w:b/>
        </w:rPr>
        <w:t>c) Validez de constructo del corpus sintético:</w:t>
      </w:r>
      <w:r>
        <w:t xml:space="preserve">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numPr>
          <w:ilvl w:val="0"/>
          <w:numId w:val="0"/>
        </w:numPr>
        <w:pStyle w:val="BodyText"/>
      </w:pPr>
      <w:r>
        <w:rPr>
          <w:b/>
        </w:rPr>
        <w:t>d) Consistencia entre corpus:</w:t>
      </w:r>
      <w:r>
        <w:t xml:space="preserve"> Los F1-Scores observados en el corpus N=30 (gemma4:31b: 78.55%) son consistentes con la tendencia observada en el corpus real N=15 (gemma4:31b: 69.12%), sin saltos discontinuos que indicarían artefactos del aumento. La diferencia es atribuible a la menor complejidad promedio de los artículos breves del corpus sintético, lo que es esperado y documentado.</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w:t>
      </w:r>
      <w:r>
        <w:rPr>
          <w:b/>
        </w:rPr>
        <w:t>dos conjuntos de evaluación distintos</w:t>
      </w:r>
      <w:r>
        <w:t xml:space="preserve">, que no deben confundirse: el benchmark exploratorio de la Tabla 2 (§5.1), con </w:t>
      </w:r>
      <w:r>
        <w:rPr>
          <w:b/>
        </w:rPr>
        <w:t>12 modelos en 13 configuraciones</w:t>
      </w:r>
      <w:r>
        <w:t xml:space="preserve"> sobre N=15 en modo </w:t>
      </w:r>
      <w:r>
        <w:t>entities</w:t>
      </w:r>
      <w:r>
        <w:t xml:space="preserve"> (</w:t>
      </w:r>
      <w:r>
        <w:t>gemma4:latest</w:t>
      </w:r>
      <w:r>
        <w:t xml:space="preserve"> aparece dos veces: ZS-ES y FS-ES), y el estudio principal (§5.3.5), con </w:t>
      </w:r>
      <w:r>
        <w:rPr>
          <w:b/>
        </w:rPr>
        <w:t>13 modelos</w:t>
      </w:r>
      <w:r>
        <w:t xml:space="preserve"> sobre N=120 en modo </w:t>
      </w:r>
      <w:r>
        <w:t>kb_combined</w:t>
      </w:r>
      <w:r>
        <w:t xml:space="preserve">. El segundo incorpora </w:t>
      </w:r>
      <w:r>
        <w:t>gemma4:12b-mlx</w:t>
      </w:r>
      <w:r>
        <w:t xml:space="preserve"> y </w:t>
      </w:r>
      <w:r>
        <w:t>gpt-oss:20b</w:t>
      </w:r>
      <w:r>
        <w:t>, que no disponen de corrida N=15. Los modelos de la Tabla 2 se agrupan en tres categorías:</w:t>
      </w:r>
    </w:p>
    <w:p>
      <w:pPr>
        <w:numPr>
          <w:ilvl w:val="0"/>
          <w:numId w:val="0"/>
        </w:numPr>
        <w:pStyle w:val="BodyText"/>
      </w:pPr>
      <w:r>
        <w:rPr>
          <w:b/>
        </w:rPr>
        <w:t>Modelos locales grandes (≥8B):</w:t>
      </w:r>
      <w:r>
        <w:t xml:space="preserve"> gemma4:31b, gemma4:31b-mlx, gemma4:latest (9B), llama3.1:8b, qwen2.5:14b, mistral-nemo:latest (12B). gemma4:12b se descargó pero no figura en el benchmark reportado.</w:t>
      </w:r>
    </w:p>
    <w:p>
      <w:pPr>
        <w:numPr>
          <w:ilvl w:val="0"/>
          <w:numId w:val="0"/>
        </w:numPr>
        <w:pStyle w:val="BodyText"/>
      </w:pPr>
      <w:r>
        <w:rPr>
          <w:b/>
        </w:rPr>
        <w:t>Modelos locales compactos (&lt;8B):</w:t>
      </w:r>
      <w:r>
        <w:t xml:space="preserve"> llama3.2:latest (3B), nuextract:latest (3.8B), nemotron-mini:4b, deepseek-r1:1.5b.</w:t>
      </w:r>
    </w:p>
    <w:p>
      <w:pPr>
        <w:numPr>
          <w:ilvl w:val="0"/>
          <w:numId w:val="0"/>
        </w:numPr>
        <w:pStyle w:val="BodyText"/>
      </w:pPr>
      <w:r>
        <w:rPr>
          <w:b/>
        </w:rPr>
        <w:t>Modelos cloud/híbridos:</w:t>
      </w:r>
      <w:r>
        <w:t xml:space="preserve"> gemma4:31b-cloud, gemini-3.1-flash-lite.</w:t>
      </w:r>
    </w:p>
    <w:p>
      <w:pPr>
        <w:numPr>
          <w:ilvl w:val="0"/>
          <w:numId w:val="0"/>
        </w:numPr>
        <w:pStyle w:val="Heading2"/>
      </w:pPr>
      <w:r>
        <w:t>4.3 Análisis de Variantes de Prompts</w:t>
      </w:r>
    </w:p>
    <w:p>
      <w:pPr>
        <w:numPr>
          <w:ilvl w:val="0"/>
          <w:numId w:val="0"/>
        </w:numPr>
        <w:pStyle w:val="BodyText"/>
      </w:pPr>
      <w:r>
        <w:t xml:space="preserve">Se evaluaron cuatro configuraciones de prompt sobre el modelo gemma4:latest (9B). El diseño cruza dos factores —idioma (inglés/español) y estrategia de demostración (sin ejemplos/con ejemplos)—, por lo que constituye un </w:t>
      </w:r>
      <w:r>
        <w:rPr>
          <w:b/>
        </w:rPr>
        <w:t>diseño factorial 2×2</w:t>
      </w:r>
      <w:r>
        <w:t xml:space="preserve">, procedimiento que la literatura anglosajona de aprendizaje automático denomina </w:t>
      </w:r>
      <w:r>
        <w:rPr>
          <w:i/>
        </w:rPr>
        <w:t>ablation study</w:t>
      </w:r>
      <w:r>
        <w:t>:</w:t>
      </w:r>
    </w:p>
    <w:p>
      <w:pPr>
        <w:numPr>
          <w:ilvl w:val="0"/>
          <w:numId w:val="0"/>
        </w:numPr>
        <w:pStyle w:val="BodyText"/>
      </w:pPr>
      <w:r>
        <w:rPr>
          <w:b/>
        </w:rPr>
        <w:t>Zero-shot inglés (ZS-EN):</w:t>
      </w:r>
      <w:r>
        <w:t xml:space="preserve"> Prompt de sistema en inglés sin ejemplos.</w:t>
      </w:r>
    </w:p>
    <w:p>
      <w:pPr>
        <w:numPr>
          <w:ilvl w:val="0"/>
          <w:numId w:val="0"/>
        </w:numPr>
        <w:pStyle w:val="BodyText"/>
      </w:pPr>
      <w:r>
        <w:rPr>
          <w:b/>
        </w:rPr>
        <w:t>Zero-shot español (ZS-ES):</w:t>
      </w:r>
      <w:r>
        <w:t xml:space="preserve"> Prompt de sistema traducido al español, sin ejemplos.</w:t>
      </w:r>
    </w:p>
    <w:p>
      <w:pPr>
        <w:numPr>
          <w:ilvl w:val="0"/>
          <w:numId w:val="0"/>
        </w:numPr>
        <w:pStyle w:val="BodyText"/>
      </w:pPr>
      <w:r>
        <w:rPr>
          <w:b/>
        </w:rPr>
        <w:t>Few-shot inglés (FS-EN):</w:t>
      </w:r>
      <w:r>
        <w:t xml:space="preserve"> Prompt en inglés con 3 ejemplos del dominio compliance.</w:t>
      </w:r>
    </w:p>
    <w:p>
      <w:pPr>
        <w:numPr>
          <w:ilvl w:val="0"/>
          <w:numId w:val="0"/>
        </w:numPr>
        <w:pStyle w:val="BodyText"/>
      </w:pPr>
      <w:r>
        <w:rPr>
          <w:b/>
        </w:rPr>
        <w:t>Few-shot español (FS-ES):</w:t>
      </w:r>
      <w:r>
        <w:t xml:space="preserve"> Prompt en español con 3 ejemplos del dominio compliance.</w:t>
      </w:r>
    </w:p>
    <w:p>
      <w:pPr>
        <w:numPr>
          <w:ilvl w:val="0"/>
          <w:numId w:val="0"/>
        </w:numPr>
        <w:pStyle w:val="Heading3"/>
      </w:pPr>
      <w:r>
        <w:t>4.3.1 ¿Qué es el Prompting Few-Shot?</w:t>
      </w:r>
    </w:p>
    <w:p>
      <w:pPr>
        <w:numPr>
          <w:ilvl w:val="0"/>
          <w:numId w:val="0"/>
        </w:numPr>
        <w:pStyle w:val="BodyText"/>
      </w:pPr>
      <w:r>
        <w:t xml:space="preserve">El </w:t>
      </w:r>
      <w:r>
        <w:rPr>
          <w:b/>
        </w:rPr>
        <w:t>aprendizaje en contexto</w:t>
      </w:r>
      <w:r>
        <w:t xml:space="preserve"> (</w:t>
      </w:r>
      <w:r>
        <w:rPr>
          <w:i/>
        </w:rPr>
        <w:t>in-context learning</w:t>
      </w:r>
      <w:r>
        <w:t>)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numPr>
          <w:ilvl w:val="0"/>
          <w:numId w:val="0"/>
        </w:numPr>
        <w:pStyle w:val="BodyText"/>
      </w:pPr>
      <w:r>
        <w:t xml:space="preserve">El prompting </w:t>
      </w:r>
      <w:r>
        <w:rPr>
          <w:b/>
        </w:rPr>
        <w:t>few-shot</w:t>
      </w:r>
      <w:r>
        <w:t xml:space="preserve"> (de pocos disparos) es una variante del aprendizaje en contexto que incluye un número reducido de ejemplos demorativos (</w:t>
      </w:r>
      <w:r>
        <w:rPr>
          <w:i/>
        </w:rPr>
        <w:t>demonstrations</w:t>
      </w:r>
      <w:r>
        <w:t>) directamente en el prompt, antes de presentar la tarea real. La estructura canónica de un prompt few-shot es:</w:t>
      </w:r>
    </w:p>
    <w:p>
      <w:pPr>
        <w:numPr>
          <w:ilvl w:val="0"/>
          <w:numId w:val="0"/>
        </w:numPr>
        <w:pStyle w:val="TableCaption"/>
      </w:pPr>
      <w:r>
        <w:t>Tabla 4. ¿Qué es el Prompting Few-Shot?</w:t>
      </w:r>
    </w:p>
    <w:tbl>
      <w:tblPr>
        <w:tblStyle w:val="Table"/>
        <w:tblW w:type="pct" w:w="5000.0"/>
        <w:tblLook w:firstRow="1"/>
      </w:tblPr>
      <w:tblGrid>
        <w:gridCol w:w="3374"/>
        <w:gridCol w:w="5464"/>
      </w:tblGrid>
      <w:tr>
        <w:trPr>
          <w:cnfStyle w:firstRow="1"/>
        </w:trPr>
        <w:tc>
          <w:tcPr>
            <w:tcW w:type="dxa" w:w="3374"/>
            <w:tcBorders>
              <w:bottom w:val="single"/>
            </w:tcBorders>
            <w:vAlign w:val="bottom"/>
          </w:tcPr>
          <w:p>
            <w:pPr>
              <w:pStyle w:val="Compact"/>
              <w:jc w:val="left"/>
            </w:pPr>
            <w:r>
              <w:rPr>
                <w:b/>
              </w:rPr>
              <w:t>Posición en el prompt</w:t>
            </w:r>
          </w:p>
        </w:tc>
        <w:tc>
          <w:tcPr>
            <w:tcW w:type="dxa" w:w="5464"/>
            <w:tcBorders>
              <w:bottom w:val="single"/>
            </w:tcBorders>
            <w:vAlign w:val="bottom"/>
          </w:tcPr>
          <w:p>
            <w:pPr>
              <w:pStyle w:val="Compact"/>
              <w:jc w:val="left"/>
            </w:pPr>
            <w:r>
              <w:rPr>
                <w:b/>
              </w:rPr>
              <w:t>Contenido</w:t>
            </w:r>
          </w:p>
        </w:tc>
      </w:tr>
      <w:tr>
        <w:tc>
          <w:tcPr>
            <w:tcW w:type="dxa" w:w="3374"/>
          </w:tcPr>
          <w:p>
            <w:pPr>
              <w:pStyle w:val="Compact"/>
              <w:jc w:val="left"/>
            </w:pPr>
            <w:r>
              <w:rPr>
                <w:b w:val="0"/>
              </w:rPr>
              <w:t>1</w:t>
            </w:r>
          </w:p>
        </w:tc>
        <w:tc>
          <w:tcPr>
            <w:tcW w:type="dxa" w:w="5464"/>
          </w:tcPr>
          <w:p>
            <w:pPr>
              <w:pStyle w:val="Compact"/>
              <w:jc w:val="left"/>
            </w:pPr>
            <w:r>
              <w:rPr>
                <w:b w:val="0"/>
              </w:rPr>
              <w:t>Instrucción de sistema</w:t>
            </w:r>
          </w:p>
        </w:tc>
      </w:tr>
      <w:tr>
        <w:tc>
          <w:tcPr>
            <w:tcW w:type="dxa" w:w="3374"/>
          </w:tcPr>
          <w:p>
            <w:pPr>
              <w:pStyle w:val="Compact"/>
              <w:jc w:val="left"/>
            </w:pPr>
            <w:r>
              <w:rPr>
                <w:b w:val="0"/>
              </w:rPr>
              <w:t>2</w:t>
            </w:r>
          </w:p>
        </w:tc>
        <w:tc>
          <w:tcPr>
            <w:tcW w:type="dxa" w:w="5464"/>
          </w:tcPr>
          <w:p>
            <w:pPr>
              <w:pStyle w:val="Compact"/>
              <w:jc w:val="left"/>
            </w:pPr>
            <w:r>
              <w:rPr>
                <w:b w:val="0"/>
              </w:rPr>
              <w:t>Ejemplo 1: entrada → salida esperada</w:t>
            </w:r>
          </w:p>
        </w:tc>
      </w:tr>
      <w:tr>
        <w:tc>
          <w:tcPr>
            <w:tcW w:type="dxa" w:w="3374"/>
          </w:tcPr>
          <w:p>
            <w:pPr>
              <w:pStyle w:val="Compact"/>
              <w:jc w:val="left"/>
            </w:pPr>
            <w:r>
              <w:rPr>
                <w:b w:val="0"/>
              </w:rPr>
              <w:t>3</w:t>
            </w:r>
          </w:p>
        </w:tc>
        <w:tc>
          <w:tcPr>
            <w:tcW w:type="dxa" w:w="5464"/>
          </w:tcPr>
          <w:p>
            <w:pPr>
              <w:pStyle w:val="Compact"/>
              <w:jc w:val="left"/>
            </w:pPr>
            <w:r>
              <w:rPr>
                <w:b w:val="0"/>
              </w:rPr>
              <w:t>Ejemplo 2: entrada → salida esperada</w:t>
            </w:r>
          </w:p>
        </w:tc>
      </w:tr>
      <w:tr>
        <w:tc>
          <w:tcPr>
            <w:tcW w:type="dxa" w:w="3374"/>
          </w:tcPr>
          <w:p>
            <w:pPr>
              <w:pStyle w:val="Compact"/>
              <w:jc w:val="left"/>
            </w:pPr>
            <w:r>
              <w:rPr>
                <w:b w:val="0"/>
              </w:rPr>
              <w:t>4</w:t>
            </w:r>
          </w:p>
        </w:tc>
        <w:tc>
          <w:tcPr>
            <w:tcW w:type="dxa" w:w="5464"/>
          </w:tcPr>
          <w:p>
            <w:pPr>
              <w:pStyle w:val="Compact"/>
              <w:jc w:val="left"/>
            </w:pPr>
            <w:r>
              <w:rPr>
                <w:b w:val="0"/>
              </w:rPr>
              <w:t>Ejemplo 3: entrada → salida esperada</w:t>
            </w:r>
          </w:p>
        </w:tc>
      </w:tr>
      <w:tr>
        <w:tc>
          <w:tcPr>
            <w:tcW w:type="dxa" w:w="3374"/>
          </w:tcPr>
          <w:p>
            <w:pPr>
              <w:pStyle w:val="Compact"/>
              <w:jc w:val="left"/>
            </w:pPr>
            <w:r>
              <w:rPr>
                <w:b w:val="0"/>
              </w:rPr>
              <w:t>5</w:t>
            </w:r>
          </w:p>
        </w:tc>
        <w:tc>
          <w:tcPr>
            <w:tcW w:type="dxa" w:w="5464"/>
          </w:tcPr>
          <w:p>
            <w:pPr>
              <w:pStyle w:val="Compact"/>
              <w:jc w:val="left"/>
            </w:pPr>
            <w:r>
              <w:rPr>
                <w:b w:val="0"/>
              </w:rPr>
              <w:t>Tarea real: entrada (el modelo genera la salida)</w:t>
            </w:r>
          </w:p>
        </w:tc>
      </w:tr>
    </w:tbl>
    <w:p>
      <w:pPr>
        <w:numPr>
          <w:ilvl w:val="0"/>
          <w:numId w:val="0"/>
        </w:numPr>
        <w:pStyle w:val="BodyText"/>
      </w:pPr>
      <w:r>
        <w:t xml:space="preserve">En contraposición, el prompting </w:t>
      </w:r>
      <w:r>
        <w:rPr>
          <w:b/>
        </w:rPr>
        <w:t>zero-shot</w:t>
      </w:r>
      <w:r>
        <w:t xml:space="preserve"> no incluye ejemplos: el modelo debe inferir el formato y la estrategia de extracción únicamente desde la instrucción de sistema.</w:t>
      </w:r>
    </w:p>
    <w:p>
      <w:pPr>
        <w:numPr>
          <w:ilvl w:val="0"/>
          <w:numId w:val="0"/>
        </w:numPr>
        <w:pStyle w:val="Heading3"/>
      </w:pPr>
      <w:r>
        <w:t>4.3.2 Mecanismo Cognitivo del Few-Shot Prompting en LLMs</w:t>
      </w:r>
    </w:p>
    <w:p>
      <w:pPr>
        <w:numPr>
          <w:ilvl w:val="0"/>
          <w:numId w:val="0"/>
        </w:numPr>
        <w:pStyle w:val="BodyText"/>
      </w:pPr>
      <w:r>
        <w:t>Los ejemplos few-shot cumplen tres funciones cognitivas en el LLM:</w:t>
      </w:r>
    </w:p>
    <w:p>
      <w:pPr>
        <w:numPr>
          <w:ilvl w:val="0"/>
          <w:numId w:val="0"/>
        </w:numPr>
        <w:pStyle w:val="BodyText"/>
      </w:pPr>
      <w:r>
        <w:rPr>
          <w:b/>
        </w:rPr>
        <w:t>Especificación del formato de salida:</w:t>
      </w:r>
      <w:r>
        <w:t xml:space="preserve"> 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0"/>
        </w:numPr>
        <w:pStyle w:val="BodyText"/>
      </w:pPr>
      <w:r>
        <w:rPr>
          <w:b/>
        </w:rPr>
        <w:t>Calibración del umbral semántico:</w:t>
      </w:r>
      <w:r>
        <w:t xml:space="preserve"> Los ejemplos delimitan qué </w:t>
      </w:r>
      <w:r>
        <w:rPr>
          <w:i/>
        </w:rPr>
        <w:t>tipo</w:t>
      </w:r>
      <w:r>
        <w:t xml:space="preserve"> de mención califica como entidad: por ejemplo, solo personas nombradas individualmente (no cargos genéricos como "el presidente"), y solo organizaciones con nombre propio (no referencias como "la empresa"). Este criterio no puede especificarse exhautivamente en texto descriptivo, pero se transmite implícitamente mediante 2-3 ejemplos contrastivos.</w:t>
      </w:r>
    </w:p>
    <w:p>
      <w:pPr>
        <w:numPr>
          <w:ilvl w:val="0"/>
          <w:numId w:val="0"/>
        </w:numPr>
        <w:pStyle w:val="BodyText"/>
      </w:pPr>
      <w:r>
        <w:rPr>
          <w:b/>
        </w:rPr>
        <w:t>Adaptación al dominio:</w:t>
      </w:r>
      <w:r>
        <w:t xml:space="preserve"> 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numPr>
          <w:ilvl w:val="0"/>
          <w:numId w:val="0"/>
        </w:numPr>
        <w:pStyle w:val="Heading3"/>
      </w:pPr>
      <w:r>
        <w:t>4.3.3 Prompts Utilizados en este Estudio</w:t>
      </w:r>
    </w:p>
    <w:p>
      <w:pPr>
        <w:numPr>
          <w:ilvl w:val="0"/>
          <w:numId w:val="0"/>
        </w:numPr>
        <w:pStyle w:val="BodyText"/>
      </w:pPr>
      <w:r>
        <w:t>En este trabajo se diseñaron prompts específicos para el dominio de cumplimiento normativo AML/KYC. Los tres ejemplos few-shot utilizados en la configuración FS-ES tienen la siguiente estructura:</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t>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numPr>
          <w:ilvl w:val="0"/>
          <w:numId w:val="0"/>
        </w:numPr>
        <w:pStyle w:val="Heading3"/>
      </w:pPr>
      <w:r>
        <w:t>4.3.4 Impacto Empírico del Few-Shot en este Estudio</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5. Métricas de Evaluación</w:t>
      </w:r>
    </w:p>
    <w:tbl>
      <w:tblPr>
        <w:tblStyle w:val="Table"/>
        <w:tblW w:type="pct" w:w="5000.0"/>
        <w:tblLook w:firstRow="1"/>
      </w:tblPr>
      <w:tblGrid>
        <w:gridCol w:w="3059"/>
        <w:gridCol w:w="5779"/>
      </w:tblGrid>
      <w:tr>
        <w:trPr>
          <w:cnfStyle w:firstRow="1"/>
        </w:trPr>
        <w:tc>
          <w:tcPr>
            <w:tcW w:type="dxa" w:w="3059"/>
            <w:tcBorders>
              <w:bottom w:val="single"/>
            </w:tcBorders>
            <w:vAlign w:val="bottom"/>
          </w:tcPr>
          <w:p>
            <w:pPr>
              <w:pStyle w:val="Compact"/>
              <w:jc w:val="left"/>
            </w:pPr>
            <w:r>
              <w:rPr>
                <w:b/>
              </w:rPr>
              <w:t>Métrica</w:t>
            </w:r>
          </w:p>
        </w:tc>
        <w:tc>
          <w:tcPr>
            <w:tcW w:type="dxa" w:w="5779"/>
            <w:tcBorders>
              <w:bottom w:val="single"/>
            </w:tcBorders>
            <w:vAlign w:val="bottom"/>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de modo que la totalidad de las cifras reportadas comparte un criterio único.</w:t>
      </w:r>
    </w:p>
    <w:p>
      <w:pPr>
        <w:numPr>
          <w:ilvl w:val="0"/>
          <w:numId w:val="0"/>
        </w:numPr>
        <w:pStyle w:val="Heading2"/>
      </w:pPr>
      <w:r>
        <w:t>4.5 Infraestructura de Pruebas</w:t>
      </w:r>
    </w:p>
    <w:p>
      <w:pPr>
        <w:numPr>
          <w:ilvl w:val="0"/>
          <w:numId w:val="0"/>
        </w:numPr>
        <w:pStyle w:val="BodyText"/>
      </w:pPr>
      <w:r>
        <w:rPr>
          <w:b/>
        </w:rPr>
        <w:t>Hardware:</w:t>
      </w:r>
      <w:r>
        <w:t xml:space="preserve"> Apple Silicon (Metal/MPS), en dos configuraciones según el footprint del modelo: 16 GB de memoria unificada para modelos de hasta ~12B, y 48 GB de memoria unificada para los modelos de 31B y variantes MLX de gran tamaño (ver §3.6).</w:t>
      </w:r>
    </w:p>
    <w:p>
      <w:pPr>
        <w:numPr>
          <w:ilvl w:val="0"/>
          <w:numId w:val="0"/>
        </w:numPr>
        <w:pStyle w:val="BodyText"/>
      </w:pPr>
      <w:r>
        <w:rPr>
          <w:b/>
        </w:rPr>
        <w:t>Software:</w:t>
      </w:r>
      <w:r>
        <w:t xml:space="preserve"> Python 3.14, Ollama 0.6+, scikit-learn 1.9, statsmodels 0.14, pandas 3.0, Streamlit 1.60.</w:t>
      </w:r>
    </w:p>
    <w:p>
      <w:pPr>
        <w:numPr>
          <w:ilvl w:val="0"/>
          <w:numId w:val="0"/>
        </w:numPr>
        <w:pStyle w:val="BodyText"/>
      </w:pPr>
      <w:r>
        <w:rPr>
          <w:b/>
        </w:rPr>
        <w:t>Reproducibilidad:</w:t>
      </w:r>
      <w:r>
        <w:t xml:space="preserve"> Checkpointing automático (</w:t>
      </w:r>
      <w:r>
        <w:t>.checkpoint.json</w:t>
      </w:r>
      <w:r>
        <w:t>) para reanudar benchmarks interrumpidos sin pérdida de datos.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6.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7.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8.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Conviene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9.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rPr>
          <w:b/>
        </w:rPr>
        <w:t>ANOVA de una vía (α = 0.05), N=120 por grupo:</w:t>
      </w:r>
    </w:p>
    <w:p>
      <w:pPr>
        <w:numPr>
          <w:ilvl w:val="0"/>
          <w:numId w:val="0"/>
        </w:numPr>
        <w:pStyle w:val="BodyText"/>
      </w:pPr>
      <w:r>
        <w:rPr>
          <w:b/>
        </w:rPr>
        <w:t>F-Statistic:</w:t>
      </w:r>
      <w:r>
        <w:t xml:space="preserve"> 38.2222  ·  </w:t>
      </w:r>
      <w:r>
        <w:rPr>
          <w:b/>
        </w:rPr>
        <w:t>p-Value:</w:t>
      </w:r>
      <w:r>
        <w:t xml:space="preserve"> 3.4453 × 10⁻¹⁶⁰ (p &lt; 0.05 → se rechaza H₀)</w:t>
      </w:r>
    </w:p>
    <w:p>
      <w:pPr>
        <w:numPr>
          <w:ilvl w:val="0"/>
          <w:numId w:val="0"/>
        </w:numPr>
        <w:pStyle w:val="BodyText"/>
      </w:pPr>
      <w:r>
        <w:rPr>
          <w:b/>
        </w:rPr>
        <w:t>Conclusión:</w:t>
      </w:r>
      <w:r>
        <w:t xml:space="preserve"> la diferencia de desempeño entre modelos/modos es estadísticamente significativa, con una potencia muy superior a la del corpus N=30 (F=0.141, no significativo).</w:t>
      </w:r>
    </w:p>
    <w:p>
      <w:pPr>
        <w:numPr>
          <w:ilvl w:val="0"/>
          <w:numId w:val="0"/>
        </w:numPr>
        <w:pStyle w:val="BodyText"/>
      </w:pPr>
      <w:r>
        <w:rPr>
          <w:b/>
        </w:rPr>
        <w:t>Tukey HSD (post-hoc):</w:t>
      </w:r>
      <w:r>
        <w:t xml:space="preserve"> 172 de 325 comparaciones por pares resultan significativas. Al contrastar </w:t>
      </w:r>
      <w:r>
        <w:rPr>
          <w:i/>
        </w:rPr>
        <w:t>baseline</w:t>
      </w:r>
      <w:r>
        <w:t xml:space="preserve"> contra </w:t>
      </w:r>
      <w:r>
        <w:rPr>
          <w:i/>
        </w:rPr>
        <w:t>KB RAG</w:t>
      </w:r>
      <w:r>
        <w:t xml:space="preserve"> </w:t>
      </w:r>
      <w:r>
        <w:rPr>
          <w:b/>
        </w:rPr>
        <w:t>dentro de cada modelo</w:t>
      </w:r>
      <w:r>
        <w:t xml:space="preserve">, la mejora solo alcanza significancia en </w:t>
      </w:r>
      <w:r>
        <w:t>nemotron-mini:4b</w:t>
      </w:r>
      <w:r>
        <w:t xml:space="preserve"> (+14.52 pp, p&lt;0.001) y </w:t>
      </w:r>
      <w:r>
        <w:t>llama3.2:latest</w:t>
      </w:r>
      <w:r>
        <w:t xml:space="preserve"> (+10.82 pp, p=0.007); en los once modelos restantes la diferencia no supera la corrección por comparaciones múltiples.</w:t>
      </w:r>
    </w:p>
    <w:p>
      <w:pPr>
        <w:numPr>
          <w:ilvl w:val="0"/>
          <w:numId w:val="0"/>
        </w:numPr>
        <w:pStyle w:val="BodyText"/>
      </w:pPr>
      <w:r>
        <w:rPr>
          <w:b/>
        </w:rPr>
        <w:t>Interpretación.</w:t>
      </w:r>
      <w:r>
        <w:t xml:space="preserve"> El beneficio del KB RAG es </w:t>
      </w:r>
      <w:r>
        <w:rPr>
          <w:b/>
        </w:rPr>
        <w:t>inversamente proporcional a la capacidad del modelo</w:t>
      </w:r>
      <w:r>
        <w:t xml:space="preserve">: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w:t>
      </w:r>
      <w:r>
        <w:rPr>
          <w:b/>
        </w:rPr>
        <w:t>Diez de los trece modelos obtienen una mejora</w:t>
      </w:r>
      <w:r>
        <w:t>, aunque solo en dos alcance significancia estadística.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 NER</w:t>
      </w:r>
    </w:p>
    <w:p>
      <w:pPr>
        <w:numPr>
          <w:ilvl w:val="0"/>
          <w:numId w:val="0"/>
        </w:numPr>
        <w:pStyle w:val="BodyText"/>
      </w:pPr>
      <w:r>
        <w:t>El análisis cualitativo de las extracciones identifica tres categorías de error recurrentes:</w:t>
      </w:r>
    </w:p>
    <w:p>
      <w:pPr>
        <w:numPr>
          <w:ilvl w:val="0"/>
          <w:numId w:val="0"/>
        </w:numPr>
        <w:pStyle w:val="BodyText"/>
      </w:pPr>
      <w:r>
        <w:rPr>
          <w:b/>
        </w:rPr>
        <w:t>Boundary Errors (Errores de Límite):</w:t>
      </w:r>
      <w:r>
        <w:t xml:space="preserve"> El modelo incorpora preposiciones o aposiciones descriptivas dentro del span de la entidad. Ejemplo: extrae </w:t>
      </w:r>
      <w:r>
        <w:t>"Isabel dos Santos, hija del expresidente"</w:t>
      </w:r>
      <w:r>
        <w:t xml:space="preserve"> en lugar de </w:t>
      </w:r>
      <w:r>
        <w:t>"Isabel dos Santos"</w:t>
      </w:r>
      <w:r>
        <w:t>.</w:t>
      </w:r>
    </w:p>
    <w:p>
      <w:pPr>
        <w:numPr>
          <w:ilvl w:val="0"/>
          <w:numId w:val="0"/>
        </w:numPr>
        <w:pStyle w:val="BodyText"/>
      </w:pPr>
      <w:r>
        <w:rPr>
          <w:b/>
        </w:rPr>
        <w:t>Type Confusion (Confusión de Tipo):</w:t>
      </w:r>
      <w:r>
        <w:t xml:space="preserve"> El modelo clasifica una organización como localización. Ejemplo: </w:t>
      </w:r>
      <w:r>
        <w:t>"Sonangol"</w:t>
      </w:r>
      <w:r>
        <w:t xml:space="preserve"> (empresa petrolera estatal angoleña) clasificada como LOC en lugar de ORG.</w:t>
      </w:r>
    </w:p>
    <w:p>
      <w:pPr>
        <w:numPr>
          <w:ilvl w:val="0"/>
          <w:numId w:val="0"/>
        </w:numPr>
        <w:pStyle w:val="BodyText"/>
      </w:pPr>
      <w:r>
        <w:rPr>
          <w:b/>
        </w:rPr>
        <w:t>Extrinsic Hallucinations (Alucinaciones Extrínsecas):</w:t>
      </w:r>
      <w:r>
        <w:t xml:space="preserve"> El modelo genera entidades de su memoria paramétrica que no están presentes en el texto. Mitigadas efectivamente al 0.0% en N=30 mediante delimitadores estrictos de JSON.</w:t>
      </w:r>
    </w:p>
    <w:p>
      <w:pPr>
        <w:numPr>
          <w:ilvl w:val="0"/>
          <w:numId w:val="0"/>
        </w:numPr>
        <w:pStyle w:val="Heading2"/>
      </w:pPr>
      <w:r>
        <w:t>5.5 Análisis de Eficiencia en Hardware Soberano</w:t>
      </w:r>
    </w:p>
    <w:p>
      <w:pPr>
        <w:numPr>
          <w:ilvl w:val="0"/>
          <w:numId w:val="0"/>
        </w:numPr>
        <w:pStyle w:val="TableCaption"/>
      </w:pPr>
      <w:r>
        <w:t>Tabla 10.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TableCaption"/>
      </w:pPr>
      <w:r>
        <w:t>Tabla 11.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Heading2"/>
      </w:pPr>
      <w:r>
        <w:t>Anexo C — Configuración del Entorno de Pruebas</w:t>
      </w:r>
    </w:p>
    <w:p>
      <w:pPr>
        <w:numPr>
          <w:ilvl w:val="0"/>
          <w:numId w:val="0"/>
        </w:numPr>
        <w:pStyle w:val="TableCaption"/>
      </w:pPr>
      <w:r>
        <w:t>Tabla 12.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13. D.1 Implementación técnica del módulo KB RAG (src/kb_rag_manager.py)</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14. D.2 Catálogo de guías tipológicas y ejemplares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15. D.2 Catálogo de guías tipológicas y ejemplares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16. D.3 Reglas de la base de conocimientos contextual</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17. Anexo E — Procedencia de los Datos del Benchmark General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18.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19.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20.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