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en busca de entidades de riesgo. Hacerlo manualmente resulta costoso y no escala; delegarlo en APIs en la nube expone información sensible a terceros. Este trabajo evalúa un sistema soberano de reconocimiento de entidades nombradas (NER) con modelos de lenguaje grande de código abierto ejecutados en local mediante Ollama sobre hardware Apple Silicon. La validación comparó trece modelos sobre un corpus real de 120 artículos en español, contrastando la extracción directa frente a la generación aumentada por recuperación con una base de conocimiento contextual, y evaluó las diferencias mediante ANOVA de una vía y pruebas post-hoc de Tukey HSD. El beneficio del RAG contextual resulta inversamente proporcional a la capacidad del modelo: alcanza significancia estadística solo en los dos modelos más débiles (+14,5 y +10,8 puntos de F1) y es nulo o adverso en los mayores. Redactar el prompt en español e incorporar ejemplos </w:t>
      </w:r>
      <w:r>
        <w:rPr>
          <w:i/>
        </w:rPr>
        <w:t>few-shot</w:t>
      </w:r>
      <w:r>
        <w:t xml:space="preserve"> aporta conjuntamente +11,1 puntos sobre el baseline en inglés, mejora que ninguno de los dos factores logra por separado. El sistema reduce el costo unitario de revisión y preserva íntegramente la confidencialidad de los datos.</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Financial institutions operating under AML and KYC regulatory frameworks face the challenge of monitoring large volumes of unstructured news for risk entities (persons, organizations). Manual execution of this process is costly, slow, and unscalable, while cloud API usage exposes sensitive financial data to third parties, violating data sovereignty. This work designs, implements, and empirically evaluates a sovereign Named Entity Recognition (NER) system based on open-source Large Language Models (Gemma, Llama, DeepSeek families) executed 100% locally via Ollama on Apple Silicon M4 hardware.</w:t>
      </w:r>
    </w:p>
    <w:p>
      <w:pPr>
        <w:numPr>
          <w:ilvl w:val="0"/>
          <w:numId w:val="0"/>
        </w:numPr>
        <w:pStyle w:val="p1a"/>
      </w:pPr>
      <w:r>
        <w:t>The system incorporates a multithreading pub/sub processing architecture with an adaptive concurrency controller (AIMD) and a Factory/Facade layer unifying four model providers. Experimental validation was performed on the real financial sanctions dataset Kleptotrace/CoNLL-2002 (N=15 expert-annotated articles) and a statistically significant corpus of 30 short articles (N=30). The prompt-variant analysis demonstrates that combining Spanish-language localization with few-shot examples yields a +11.1 F1-point improvement over the English zero-shot baseline, and the best evaluated models reach an F1-Score of 80.57% on the domain corpus (N=30) with no failed extractions. The system reduces manual review operational costs by 60–80% while guaranteeing total data privacy.</w:t>
      </w:r>
    </w:p>
    <w:p>
      <w:pPr>
        <w:numPr>
          <w:ilvl w:val="0"/>
          <w:numId w:val="0"/>
        </w:numPr>
        <w:pStyle w:val="keywords"/>
      </w:pPr>
      <w:r>
        <w:rPr>
          <w:b/>
        </w:rPr>
        <w:t>Keywords:</w:t>
      </w:r>
      <w:r>
        <w:t xml:space="preserve"> Named Entity Recognition (NER), Large Language Models (LLM), Regulatory Compliance (AML/KYC), Data Sovereignty, Prompt Engineering.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w:t>
      </w:r>
    </w:p>
    <w:p>
      <w:pPr>
        <w:numPr>
          <w:ilvl w:val="0"/>
          <w:numId w:val="0"/>
        </w:numPr>
        <w:pStyle w:val="numbereditem"/>
      </w:pPr>
      <w:r>
        <w:t>Conclusiones y Trabajo Futuro</w:t>
      </w:r>
    </w:p>
    <w:p>
      <w:pPr>
        <w:numPr>
          <w:ilvl w:val="0"/>
          <w:numId w:val="0"/>
        </w:numPr>
        <w:pStyle w:val="numbereditem"/>
      </w:pPr>
      <w:r>
        <w:t>Referencias Bibliográficas</w:t>
      </w:r>
    </w:p>
    <w:p>
      <w:pPr>
        <w:numPr>
          <w:ilvl w:val="0"/>
          <w:numId w:val="0"/>
        </w:numPr>
        <w:pStyle w:val="numbered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p1a"/>
      </w:pPr>
      <w:r>
        <w:t>El proceso actual en instituciones como Austranet implica la revisión manual de cientos de artículos periodísticos diarios por analistas especializados, un proceso con un costo promedio estimado de USD 8.75 por artículo analizado. A nivel global, según Verified Market Research el mercado de RegTech se valoró en USD 15,68 mil millones en 2020 y se proyecta que alcance USD 87,17 mil millones hacia 2028, con una CAGR del 23,92 % durante 2021-2028, evidenciando la urgencia de soluciones automatizadas y escalables (Verified Market Research, 2022).</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p1a"/>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w:t>
      </w:r>
      <w:r>
        <w:rPr>
          <w:b/>
        </w:rPr>
        <w:t>sistemas basados en reglas y expresiones regulares</w:t>
      </w:r>
      <w:r>
        <w:t xml:space="preserve"> resultan frágiles ante la variación morfológica del español, donde un mismo nombre admite múltiples formas según la posición, la partícula y la acentuación. Las </w:t>
      </w:r>
      <w:r>
        <w:rPr>
          <w:b/>
        </w:rPr>
        <w:t>APIs comerciales en la nube</w:t>
      </w:r>
      <w:r>
        <w:t xml:space="preserv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alcanzan el mejor desempeño publicado, pero requieren miles de ejemplos etiquetados en el dominio objetivo, inexistentes en español para cumplimiento financiero.</w:t>
      </w:r>
    </w:p>
    <w:p>
      <w:pPr>
        <w:numPr>
          <w:ilvl w:val="0"/>
          <w:numId w:val="0"/>
        </w:numPr>
        <w:pStyle w:val="p1a"/>
      </w:pPr>
      <w:r>
        <w:t xml:space="preserve">La brecha que este trabajo aborda se sitúa precisamente en esa intersección vacía: obtener un desempeño aprovechable </w:t>
      </w:r>
      <w:r>
        <w:rPr>
          <w:b/>
        </w:rPr>
        <w:t>sin datos etiquetados del dominio y sin ceder los datos a un tercero</w:t>
      </w:r>
      <w:r>
        <w:t>.</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p1a"/>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p1a"/>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reales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numbereditem"/>
      </w:pPr>
      <w:r>
        <w:t xml:space="preserve">Ejecutar una comparación sistemática de cuatro configuraciones de prompt (zero-shot/few-shot × inglés/español) —un diseño factorial 2×2, que la literatura anglosajona de aprendizaje automático denomina </w:t>
      </w:r>
      <w:r>
        <w:rPr>
          <w:i/>
        </w:rPr>
        <w:t>ablation study</w:t>
      </w:r>
      <w:r>
        <w:t>—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p1a"/>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w:t>
      </w:r>
      <w:r>
        <w:rPr>
          <w:b/>
        </w:rPr>
        <w:t>ANOVA de una vía y pruebas post-hoc de Tukey HSD</w:t>
      </w:r>
      <w:r>
        <w:t xml:space="preserve"> si las diferencias observadas son estadísticamente significativas o atribuibles a la variabilidad entre artículos. Todas las corridas quedan definidas por un fichero de configuración reproducible, de modo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del reconocimiento de entidades nombradas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p1a"/>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p1a"/>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heading2"/>
      </w:pPr>
      <w:r>
        <w:t>2.2 Familias de técnicas para NER</w:t>
      </w:r>
    </w:p>
    <w:p>
      <w:pPr>
        <w:numPr>
          <w:ilvl w:val="0"/>
          <w:numId w:val="0"/>
        </w:numPr>
        <w:pStyle w:val="p1a"/>
      </w:pPr>
      <w:r>
        <w:t>Las aproximaciones al problema pueden ordenarse por el tipo de conocimiento que requieren y por el coste de adaptarlas a un dominio nuevo.</w:t>
      </w:r>
    </w:p>
    <w:p>
      <w:pPr>
        <w:numPr>
          <w:ilvl w:val="0"/>
          <w:numId w:val="0"/>
        </w:numPr>
        <w:pStyle w:val="p1a"/>
      </w:pPr>
      <w:r>
        <w:t xml:space="preserve">Los </w:t>
      </w:r>
      <w:r>
        <w:rPr>
          <w:b/>
        </w:rPr>
        <w:t>sistemas basados en reglas y diccionarios</w:t>
      </w:r>
      <w:r>
        <w:t xml:space="preserve">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p1a"/>
      </w:pPr>
      <w:r>
        <w:t xml:space="preserve">Los </w:t>
      </w:r>
      <w:r>
        <w:rPr>
          <w:b/>
        </w:rPr>
        <w:t>Campos Aleatorios Condicionales (CRF)</w:t>
      </w:r>
      <w:r>
        <w:t xml:space="preserve"> [17], [10]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p1a"/>
      </w:pPr>
      <w:r>
        <w:t xml:space="preserve">Las </w:t>
      </w:r>
      <w:r>
        <w:rPr>
          <w:b/>
        </w:rPr>
        <w:t>arquitecturas neuronales BiLSTM-CRF</w:t>
      </w:r>
      <w:r>
        <w:t xml:space="preserve"> sustituyen los rasgos manuales por representaciones aprendidas, eliminando gran parte del trabajo de ingeniería a cambio de un requisito de datos aún mayor.</w:t>
      </w:r>
    </w:p>
    <w:p>
      <w:pPr>
        <w:numPr>
          <w:ilvl w:val="0"/>
          <w:numId w:val="0"/>
        </w:numPr>
        <w:pStyle w:val="p1a"/>
      </w:pPr>
      <w:r>
        <w:t xml:space="preserve">Los </w:t>
      </w:r>
      <w:r>
        <w:rPr>
          <w:b/>
        </w:rPr>
        <w:t>codificadores Transformer pre-entrenados</w:t>
      </w:r>
      <w:r>
        <w:t xml:space="preserve"> —BERT [2] y sus variantes multilingües como XLM-R— constituyen el estado del arte académico. Partiendo de un modelo pre-entrenado, un ajuste fino sobre el dominio alcanza entre 88 % y 91 % de F1 en español [7],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p1a"/>
      </w:pPr>
      <w:r>
        <w:t xml:space="preserve">Los </w:t>
      </w:r>
      <w:r>
        <w:rPr>
          <w:b/>
        </w:rPr>
        <w:t>modelos de lenguaje grande generativos</w:t>
      </w:r>
      <w:r>
        <w:t xml:space="preserve">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Familias de técnicas para NER</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Inmediata mediante *prompt*</w:t>
            </w:r>
          </w:p>
        </w:tc>
        <w:tc>
          <w:tcPr>
            <w:tcW w:type="dxa" w:w="2444"/>
          </w:tcPr>
          <w:p>
            <w:pPr>
              <w:pStyle w:val="Compact"/>
              <w:jc w:val="center"/>
            </w:pPr>
            <w:r>
              <w:rPr>
                <w:b w:val="0"/>
              </w:rPr>
              <w:t>Alucinación y salida no estructurada</w:t>
            </w:r>
          </w:p>
        </w:tc>
      </w:tr>
    </w:tbl>
    <w:p>
      <w:pPr>
        <w:numPr>
          <w:ilvl w:val="0"/>
          <w:numId w:val="0"/>
        </w:numPr>
        <w:pStyle w:val="p1a"/>
      </w:pPr>
      <w:r>
        <w:t>La última fila es la única compatible con la restricción de datos del proyecto, y por eso concentra el resto de la revisión.</w:t>
      </w:r>
    </w:p>
    <w:p>
      <w:pPr>
        <w:numPr>
          <w:ilvl w:val="0"/>
          <w:numId w:val="0"/>
        </w:numPr>
        <w:pStyle w:val="heading2"/>
      </w:pPr>
      <w:r>
        <w:t>2.3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p1a"/>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p1a"/>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2.4 Estrategias de aumento por recuperación</w:t>
      </w:r>
    </w:p>
    <w:p>
      <w:pPr>
        <w:numPr>
          <w:ilvl w:val="0"/>
          <w:numId w:val="0"/>
        </w:numPr>
        <w:pStyle w:val="p1a"/>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p1a"/>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y no ayuda ante nombres ausentes del catálogo.</w:t>
      </w:r>
    </w:p>
    <w:p>
      <w:pPr>
        <w:numPr>
          <w:ilvl w:val="0"/>
          <w:numId w:val="0"/>
        </w:numPr>
        <w:pStyle w:val="p1a"/>
      </w:pPr>
      <w:r>
        <w:t xml:space="preserve">Una segunda variante es el </w:t>
      </w:r>
      <w:r>
        <w:rPr>
          <w:b/>
        </w:rPr>
        <w:t>RAG contextual o de conocimiento</w:t>
      </w:r>
      <w:r>
        <w:t xml:space="preserve">,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p1a"/>
      </w:pPr>
      <w:r>
        <w:t xml:space="preserve">Una tercera configuración, adoptada por trabajos aplicados al ámbito financiero [9], [5], emplea el propio documento como </w:t>
      </w:r>
      <w:r>
        <w:rPr>
          <w:b/>
        </w:rPr>
        <w:t>contexto único</w:t>
      </w:r>
      <w:r>
        <w:t>, restringiendo la extracción al texto presente y mitigando la alucinación extrínseca.</w:t>
      </w:r>
    </w:p>
    <w:p>
      <w:pPr>
        <w:numPr>
          <w:ilvl w:val="0"/>
          <w:numId w:val="0"/>
        </w:numPr>
        <w:pStyle w:val="p1a"/>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heading2"/>
      </w:pPr>
      <w:r>
        <w:t>2.5 Alternativas de ejecución local y cuantización</w:t>
      </w:r>
    </w:p>
    <w:p>
      <w:pPr>
        <w:numPr>
          <w:ilvl w:val="0"/>
          <w:numId w:val="0"/>
        </w:numPr>
        <w:pStyle w:val="p1a"/>
      </w:pPr>
      <w:r>
        <w:t xml:space="preserve">Ejecutar modelos de escala media-grande sobre hardware de consumo exige </w:t>
      </w:r>
      <w:r>
        <w:rPr>
          <w:b/>
        </w:rPr>
        <w:t>cuantización</w:t>
      </w:r>
      <w:r>
        <w:t>: reducir la precisión numérica de los pesos para bajar el consumo de memoria, típicamente a 4 bits en formatos como GGUF con esquema Q4_K_M,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p1a"/>
      </w:pPr>
      <w:r>
        <w:t xml:space="preserve">Entre los entornos de ejecución disponibles, </w:t>
      </w:r>
      <w:r>
        <w:rPr>
          <w:b/>
        </w:rPr>
        <w:t>llama.cpp</w:t>
      </w:r>
      <w:r>
        <w:t xml:space="preserve"> ofrece el motor de inferencia cuantizada de referencia pero exige gestión manual de modelos; </w:t>
      </w:r>
      <w:r>
        <w:rPr>
          <w:b/>
        </w:rPr>
        <w:t>vLLM</w:t>
      </w:r>
      <w:r>
        <w:t xml:space="preserve">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aprovecha específicamente la memoria unificada de Apple Silicon; y </w:t>
      </w:r>
      <w:r>
        <w:rPr>
          <w:b/>
        </w:rPr>
        <w:t>Ollama</w:t>
      </w:r>
      <w:r>
        <w:t xml:space="preserve">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2.6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y criterios de selección</w:t>
      </w:r>
    </w:p>
    <w:tbl>
      <w:tblPr>
        <w:tblStyle w:val="Table"/>
        <w:tblW w:type="dxa" w:w="8838"/>
        <w:tblLayout w:type="fixed"/>
        <w:tblLook w:firstRow="1" w:lastRow="0" w:firstColumn="0" w:lastColumn="0" w:noHBand="0" w:noVBand="0" w:val="0020"/>
      </w:tblPr>
      <w:tblGrid>
        <w:gridCol w:w="2092"/>
        <w:gridCol w:w="2964"/>
        <w:gridCol w:w="1394"/>
        <w:gridCol w:w="670"/>
        <w:gridCol w:w="1046"/>
        <w:gridCol w:w="672"/>
      </w:tblGrid>
      <w:tr>
        <w:trPr>
          <w:tblHeader w:val="on"/>
        </w:trPr>
        <w:tc>
          <w:tcPr>
            <w:tcW w:type="dxa" w:w="2092"/>
          </w:tcPr>
          <w:p>
            <w:pPr>
              <w:pStyle w:val="Compact"/>
              <w:jc w:val="left"/>
            </w:pPr>
            <w:r>
              <w:rPr>
                <w:b/>
              </w:rPr>
              <w:t>Trabajo</w:t>
            </w:r>
          </w:p>
        </w:tc>
        <w:tc>
          <w:tcPr>
            <w:tcW w:type="dxa" w:w="2964"/>
          </w:tcPr>
          <w:p>
            <w:pPr>
              <w:pStyle w:val="Compact"/>
              <w:jc w:val="left"/>
            </w:pPr>
            <w:r>
              <w:rPr>
                <w:b/>
              </w:rPr>
              <w:t>Dataset</w:t>
            </w:r>
          </w:p>
        </w:tc>
        <w:tc>
          <w:tcPr>
            <w:tcW w:type="dxa" w:w="1394"/>
          </w:tcPr>
          <w:p>
            <w:pPr>
              <w:pStyle w:val="Compact"/>
              <w:jc w:val="left"/>
            </w:pPr>
            <w:r>
              <w:rPr>
                <w:b/>
              </w:rPr>
              <w:t>Modelo</w:t>
            </w:r>
          </w:p>
        </w:tc>
        <w:tc>
          <w:tcPr>
            <w:tcW w:type="dxa" w:w="670"/>
          </w:tcPr>
          <w:p>
            <w:pPr>
              <w:pStyle w:val="Compact"/>
              <w:jc w:val="center"/>
            </w:pPr>
            <w:r>
              <w:rPr>
                <w:b/>
              </w:rPr>
              <w:t>F1</w:t>
            </w:r>
          </w:p>
        </w:tc>
        <w:tc>
          <w:tcPr>
            <w:tcW w:type="dxa" w:w="1046"/>
          </w:tcPr>
          <w:p>
            <w:pPr>
              <w:pStyle w:val="Compact"/>
              <w:jc w:val="center"/>
            </w:pPr>
            <w:r>
              <w:rPr>
                <w:b/>
              </w:rPr>
              <w:t>Privacidad</w:t>
            </w:r>
          </w:p>
        </w:tc>
        <w:tc>
          <w:tcPr>
            <w:tcW w:type="dxa" w:w="672"/>
          </w:tcPr>
          <w:p>
            <w:pPr>
              <w:pStyle w:val="Compact"/>
              <w:jc w:val="left"/>
            </w:pPr>
            <w:r>
              <w:rPr>
                <w:b/>
              </w:rPr>
              <w:t>Idioma</w:t>
            </w:r>
          </w:p>
        </w:tc>
      </w:tr>
      <w:tr>
        <w:tc>
          <w:tcPr>
            <w:tcW w:type="dxa" w:w="2092"/>
          </w:tcPr>
          <w:p>
            <w:pPr>
              <w:pStyle w:val="Compact"/>
              <w:jc w:val="left"/>
            </w:pPr>
            <w:r>
              <w:rPr>
                <w:b w:val="0"/>
              </w:rPr>
              <w:t>BloombergGPT [3]</w:t>
            </w:r>
          </w:p>
        </w:tc>
        <w:tc>
          <w:tcPr>
            <w:tcW w:type="dxa" w:w="2964"/>
          </w:tcPr>
          <w:p>
            <w:pPr>
              <w:pStyle w:val="Compact"/>
              <w:jc w:val="left"/>
            </w:pPr>
            <w:r>
              <w:rPr>
                <w:b w:val="0"/>
              </w:rPr>
              <w:t>Bloomberg corpus</w:t>
            </w:r>
          </w:p>
        </w:tc>
        <w:tc>
          <w:tcPr>
            <w:tcW w:type="dxa" w:w="1394"/>
          </w:tcPr>
          <w:p>
            <w:pPr>
              <w:pStyle w:val="Compact"/>
              <w:jc w:val="left"/>
            </w:pPr>
            <w:r>
              <w:rPr>
                <w:b w:val="0"/>
              </w:rPr>
              <w:t>GPT-J + dominio</w:t>
            </w:r>
          </w:p>
        </w:tc>
        <w:tc>
          <w:tcPr>
            <w:tcW w:type="dxa" w:w="670"/>
          </w:tcPr>
          <w:p>
            <w:pPr>
              <w:pStyle w:val="Compact"/>
              <w:jc w:val="center"/>
            </w:pPr>
            <w:r>
              <w:rPr>
                <w:b w:val="0"/>
              </w:rPr>
              <w:t>85%+</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FiNER-139 Benchmark [15]</w:t>
            </w:r>
          </w:p>
        </w:tc>
        <w:tc>
          <w:tcPr>
            <w:tcW w:type="dxa" w:w="2964"/>
          </w:tcPr>
          <w:p>
            <w:pPr>
              <w:pStyle w:val="Compact"/>
              <w:jc w:val="left"/>
            </w:pPr>
            <w:r>
              <w:rPr>
                <w:b w:val="0"/>
              </w:rPr>
              <w:t>SEC 10-K/10-Q</w:t>
            </w:r>
          </w:p>
        </w:tc>
        <w:tc>
          <w:tcPr>
            <w:tcW w:type="dxa" w:w="1394"/>
          </w:tcPr>
          <w:p>
            <w:pPr>
              <w:pStyle w:val="Compact"/>
              <w:jc w:val="left"/>
            </w:pPr>
            <w:r>
              <w:rPr>
                <w:b w:val="0"/>
              </w:rPr>
              <w:t>BERT fine-tuned</w:t>
            </w:r>
          </w:p>
        </w:tc>
        <w:tc>
          <w:tcPr>
            <w:tcW w:type="dxa" w:w="670"/>
          </w:tcPr>
          <w:p>
            <w:pPr>
              <w:pStyle w:val="Compact"/>
              <w:jc w:val="center"/>
            </w:pPr>
            <w:r>
              <w:rPr>
                <w:b w:val="0"/>
              </w:rPr>
              <w:t>91%</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García &amp; López [7]</w:t>
            </w:r>
          </w:p>
        </w:tc>
        <w:tc>
          <w:tcPr>
            <w:tcW w:type="dxa" w:w="2964"/>
          </w:tcPr>
          <w:p>
            <w:pPr>
              <w:pStyle w:val="Compact"/>
              <w:jc w:val="left"/>
            </w:pPr>
            <w:r>
              <w:rPr>
                <w:b w:val="0"/>
              </w:rPr>
              <w:t>CoNLL-ES</w:t>
            </w:r>
          </w:p>
        </w:tc>
        <w:tc>
          <w:tcPr>
            <w:tcW w:type="dxa" w:w="1394"/>
          </w:tcPr>
          <w:p>
            <w:pPr>
              <w:pStyle w:val="Compact"/>
              <w:jc w:val="left"/>
            </w:pPr>
            <w:r>
              <w:rPr>
                <w:b w:val="0"/>
              </w:rPr>
              <w:t>XLM-R</w:t>
            </w:r>
          </w:p>
        </w:tc>
        <w:tc>
          <w:tcPr>
            <w:tcW w:type="dxa" w:w="670"/>
          </w:tcPr>
          <w:p>
            <w:pPr>
              <w:pStyle w:val="Compact"/>
              <w:jc w:val="center"/>
            </w:pPr>
            <w:r>
              <w:rPr>
                <w:b w:val="0"/>
              </w:rPr>
              <w:t>88%</w:t>
            </w:r>
          </w:p>
        </w:tc>
        <w:tc>
          <w:tcPr>
            <w:tcW w:type="dxa" w:w="1046"/>
          </w:tcPr>
          <w:p>
            <w:pPr>
              <w:pStyle w:val="Compact"/>
              <w:jc w:val="center"/>
            </w:pPr>
            <w:r>
              <w:rPr>
                <w:b w:val="0"/>
              </w:rPr>
              <w:t>✅ Local</w:t>
            </w:r>
          </w:p>
        </w:tc>
        <w:tc>
          <w:tcPr>
            <w:tcW w:type="dxa" w:w="672"/>
          </w:tcPr>
          <w:p>
            <w:pPr>
              <w:pStyle w:val="Compact"/>
              <w:jc w:val="left"/>
            </w:pPr>
            <w:r>
              <w:rPr>
                <w:b w:val="0"/>
              </w:rPr>
              <w:t>Español</w:t>
            </w:r>
          </w:p>
        </w:tc>
      </w:tr>
      <w:tr>
        <w:tc>
          <w:tcPr>
            <w:tcW w:type="dxa" w:w="2092"/>
          </w:tcPr>
          <w:p>
            <w:pPr>
              <w:pStyle w:val="Compact"/>
              <w:jc w:val="left"/>
            </w:pPr>
            <w:r>
              <w:rPr>
                <w:b w:val="0"/>
              </w:rPr>
              <w:t>Chang et al. [9]</w:t>
            </w:r>
          </w:p>
        </w:tc>
        <w:tc>
          <w:tcPr>
            <w:tcW w:type="dxa" w:w="2964"/>
          </w:tcPr>
          <w:p>
            <w:pPr>
              <w:pStyle w:val="Compact"/>
              <w:jc w:val="left"/>
            </w:pPr>
            <w:r>
              <w:rPr>
                <w:b w:val="0"/>
              </w:rPr>
              <w:t>Docs bancarios</w:t>
            </w:r>
          </w:p>
        </w:tc>
        <w:tc>
          <w:tcPr>
            <w:tcW w:type="dxa" w:w="1394"/>
          </w:tcPr>
          <w:p>
            <w:pPr>
              <w:pStyle w:val="Compact"/>
              <w:jc w:val="left"/>
            </w:pPr>
            <w:r>
              <w:rPr>
                <w:b w:val="0"/>
              </w:rPr>
              <w:t>GPT-4 + RAG</w:t>
            </w:r>
          </w:p>
        </w:tc>
        <w:tc>
          <w:tcPr>
            <w:tcW w:type="dxa" w:w="670"/>
          </w:tcPr>
          <w:p>
            <w:pPr>
              <w:pStyle w:val="Compact"/>
              <w:jc w:val="center"/>
            </w:pPr>
            <w:r>
              <w:rPr>
                <w:b w:val="0"/>
              </w:rPr>
              <w:t>83%</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rPr>
              <w:t>Este trabajo</w:t>
            </w:r>
          </w:p>
        </w:tc>
        <w:tc>
          <w:tcPr>
            <w:tcW w:type="dxa" w:w="2964"/>
          </w:tcPr>
          <w:p>
            <w:pPr>
              <w:pStyle w:val="Compact"/>
              <w:jc w:val="left"/>
            </w:pPr>
            <w:r>
              <w:rPr>
                <w:b/>
              </w:rPr>
              <w:t>Kleptotrace/CoNLL-2002 (AML), corpus sintético N=30</w:t>
            </w:r>
          </w:p>
        </w:tc>
        <w:tc>
          <w:tcPr>
            <w:tcW w:type="dxa" w:w="1394"/>
          </w:tcPr>
          <w:p>
            <w:pPr>
              <w:pStyle w:val="Compact"/>
              <w:jc w:val="left"/>
            </w:pPr>
            <w:r>
              <w:rPr>
                <w:b/>
              </w:rPr>
              <w:t>gemma4:31b local</w:t>
            </w:r>
          </w:p>
        </w:tc>
        <w:tc>
          <w:tcPr>
            <w:tcW w:type="dxa" w:w="670"/>
          </w:tcPr>
          <w:p>
            <w:pPr>
              <w:pStyle w:val="Compact"/>
              <w:jc w:val="center"/>
            </w:pPr>
            <w:r>
              <w:rPr>
                <w:b/>
              </w:rPr>
              <w:t>79%</w:t>
            </w:r>
          </w:p>
        </w:tc>
        <w:tc>
          <w:tcPr>
            <w:tcW w:type="dxa" w:w="1046"/>
          </w:tcPr>
          <w:p>
            <w:pPr>
              <w:pStyle w:val="Compact"/>
              <w:jc w:val="center"/>
            </w:pPr>
            <w:r>
              <w:rPr>
                <w:b/>
              </w:rPr>
              <w:t>✅ 100% Local</w:t>
            </w:r>
          </w:p>
        </w:tc>
        <w:tc>
          <w:tcPr>
            <w:tcW w:type="dxa" w:w="672"/>
          </w:tcPr>
          <w:p>
            <w:pPr>
              <w:pStyle w:val="Compact"/>
              <w:jc w:val="left"/>
            </w:pPr>
            <w:r>
              <w:rPr>
                <w:b/>
              </w:rPr>
              <w:t>Español</w:t>
            </w:r>
          </w:p>
        </w:tc>
      </w:tr>
    </w:tbl>
    <w:p>
      <w:pPr>
        <w:numPr>
          <w:ilvl w:val="0"/>
          <w:numId w:val="0"/>
        </w:numPr>
        <w:pStyle w:val="p1a"/>
      </w:pPr>
      <w:r>
        <w:t>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p1a"/>
      </w:pPr>
      <w:r>
        <w:t xml:space="preserve">La revisión anterior deja fijados los criterios con los que el capítulo 3 justifica cada decisión de diseño: </w:t>
      </w:r>
      <w:r>
        <w:rPr>
          <w:b/>
        </w:rPr>
        <w:t>(C1) prescindir de datos etiquetados</w:t>
      </w:r>
      <w:r>
        <w:t xml:space="preserve">, por no existir corpus del dominio en español; </w:t>
      </w:r>
      <w:r>
        <w:rPr>
          <w:b/>
        </w:rPr>
        <w:t>(C2) preservar la soberanía del dato</w:t>
      </w:r>
      <w:r>
        <w:t xml:space="preserve">, lo que excluye toda API externa; </w:t>
      </w:r>
      <w:r>
        <w:rPr>
          <w:b/>
        </w:rPr>
        <w:t>(C3) operar sobre hardware de consumo</w:t>
      </w:r>
      <w:r>
        <w:t xml:space="preserve">, lo que obliga a cuantización y a gestión explícita de memoria; </w:t>
      </w:r>
      <w:r>
        <w:rPr>
          <w:b/>
        </w:rPr>
        <w:t>(C4) producir salida verificable</w:t>
      </w:r>
      <w:r>
        <w:t xml:space="preserve">, dado que el modelo elegido genera texto libre; y </w:t>
      </w:r>
      <w:r>
        <w:rPr>
          <w:b/>
        </w:rPr>
        <w:t>(C5) permitir comparación empírica entre variantes</w:t>
      </w:r>
      <w:r>
        <w:t xml:space="preserve">,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El capítulo anterior cerró con cinco criterios derivados de la revisión. Cada uno determina una decisión de diseño concreta, y conviene explicitar el razonamiento antes de describir la implementación.</w:t>
      </w:r>
    </w:p>
    <w:p>
      <w:pPr>
        <w:numPr>
          <w:ilvl w:val="0"/>
          <w:numId w:val="0"/>
        </w:numPr>
        <w:pStyle w:val="p1a"/>
      </w:pPr>
      <w:r>
        <w:t xml:space="preserve">El criterio </w:t>
      </w:r>
      <w:r>
        <w:rPr>
          <w:b/>
        </w:rPr>
        <w:t>C1 —prescindir de datos etiquetados—</w:t>
      </w:r>
      <w:r>
        <w:t xml:space="preserve"> descarta las cuatro primeras familias de la Tabla comparativa del §2.2. Los CRF, las arquitecturas BiLSTM-CRF y el ajuste fino de codificadores Transformer ofrecen mejor F1 publicado, pero todos exigen un corpus anotado del dominio que no existe en español para cumplimiento financiero. Se adopta por tanto un </w:t>
      </w:r>
      <w:r>
        <w:rPr>
          <w:b/>
        </w:rPr>
        <w:t>modelo de lenguaje generativo operado mediante aprendizaje en contexto</w:t>
      </w:r>
      <w:r>
        <w:t>, única familia que permite adaptación inmediata sin reentrenamiento. La contrapartida —salida no estructurada y riesgo de alucinación— se asume conscientemente y se aborda con C4.</w:t>
      </w:r>
    </w:p>
    <w:p>
      <w:pPr>
        <w:numPr>
          <w:ilvl w:val="0"/>
          <w:numId w:val="0"/>
        </w:numPr>
        <w:pStyle w:val="p1a"/>
      </w:pPr>
      <w:r>
        <w:t xml:space="preserve">El criterio </w:t>
      </w:r>
      <w:r>
        <w:rPr>
          <w:b/>
        </w:rPr>
        <w:t>C2 —soberanía del dato—</w:t>
      </w:r>
      <w:r>
        <w:t xml:space="preserve"> excluye las APIs comerciales, que aventajan a los modelos abiertos en capacidad pero transfieren el texto a un tercero. Se opta por </w:t>
      </w:r>
      <w:r>
        <w:rPr>
          <w:b/>
        </w:rPr>
        <w:t>ejecución íntegramente local</w:t>
      </w:r>
      <w:r>
        <w:t xml:space="preserve">. Entre los entornos revisados en §2.5 se selecciona </w:t>
      </w:r>
      <w:r>
        <w:rPr>
          <w:b/>
        </w:rPr>
        <w:t>Ollama</w:t>
      </w:r>
      <w:r>
        <w:t xml:space="preserve">, por tres razones: expone una API HTTP uniforme que permite intercambiar modelos sin tocar el código de orquestación; gestiona el ciclo de vida de los pesos en memoria, requisito imprescindible para encadenar modelos que no caben simultáneamente; y admite tanto pesos GGUF como MLX, lo que habilita comparar ambas rutas de cuantización sobre el mismo arnés. Los modelos en la nube se conservan únicamente como </w:t>
      </w:r>
      <w:r>
        <w:rPr>
          <w:b/>
        </w:rPr>
        <w:t>línea base de comparación</w:t>
      </w:r>
      <w:r>
        <w:t>, no como parte de la solución propuesta.</w:t>
      </w:r>
    </w:p>
    <w:p>
      <w:pPr>
        <w:numPr>
          <w:ilvl w:val="0"/>
          <w:numId w:val="0"/>
        </w:numPr>
        <w:pStyle w:val="p1a"/>
      </w:pPr>
      <w:r>
        <w:t xml:space="preserve">El criterio </w:t>
      </w:r>
      <w:r>
        <w:rPr>
          <w:b/>
        </w:rPr>
        <w:t>C3 —hardware de consumo—</w:t>
      </w:r>
      <w:r>
        <w:t xml:space="preserve"> obliga a cuantización de 4 bits (GGUF Q4_K_M) y a una gestión explícita de la memoria, descrita en §3.3.</w:t>
      </w:r>
    </w:p>
    <w:p>
      <w:pPr>
        <w:numPr>
          <w:ilvl w:val="0"/>
          <w:numId w:val="0"/>
        </w:numPr>
        <w:pStyle w:val="p1a"/>
      </w:pPr>
      <w:r>
        <w:t xml:space="preserve">El criterio </w:t>
      </w:r>
      <w:r>
        <w:rPr>
          <w:b/>
        </w:rPr>
        <w:t>C4 —salida verificable—</w:t>
      </w:r>
      <w:r>
        <w:t xml:space="preserve"> se traduce en exigir al modelo un objeto JSON con un esquema fijo, validado en recepción, con una ruta de recuperación cuando el análisis sintáctico falla. Es la contramedida directa al principal inconveniente de la familia elegida.</w:t>
      </w:r>
    </w:p>
    <w:p>
      <w:pPr>
        <w:numPr>
          <w:ilvl w:val="0"/>
          <w:numId w:val="0"/>
        </w:numPr>
        <w:pStyle w:val="p1a"/>
      </w:pPr>
      <w:r>
        <w:t xml:space="preserve">El criterio </w:t>
      </w:r>
      <w:r>
        <w:rPr>
          <w:b/>
        </w:rPr>
        <w:t>C5 —comparación empírica—</w:t>
      </w:r>
      <w:r>
        <w:t xml:space="preserve"> exige que las variantes de </w:t>
      </w:r>
      <w:r>
        <w:rPr>
          <w:i/>
        </w:rPr>
        <w:t>prompt</w:t>
      </w:r>
      <w:r>
        <w:t xml:space="preserve"> y de estrategia de recuperación sean intercambiables por configuración y no por modificación del código, de modo que cada corrida quede definida por un conjunto de parámetros reproducible.</w:t>
      </w:r>
    </w:p>
    <w:p>
      <w:pPr>
        <w:numPr>
          <w:ilvl w:val="0"/>
          <w:numId w:val="0"/>
        </w:numPr>
        <w:pStyle w:val="heading2"/>
      </w:pPr>
      <w:r>
        <w:t>3.2 Arquitectura general y capa de proveedores</w:t>
      </w:r>
    </w:p>
    <w:p>
      <w:pPr>
        <w:numPr>
          <w:ilvl w:val="0"/>
          <w:numId w:val="0"/>
        </w:numPr>
        <w:pStyle w:val="p1a"/>
      </w:pPr>
      <w:r>
        <w:t>El sistema se organiza en cinco capas funcionales con responsabilidades separadas, de manera que cada una pueda evolucionar sin arrastrar a las demás.</w:t>
      </w:r>
    </w:p>
    <w:p>
      <w:pPr>
        <w:numPr>
          <w:ilvl w:val="0"/>
          <w:numId w:val="0"/>
        </w:numPr>
        <w:pStyle w:val="tablecaption"/>
      </w:pPr>
      <w:r>
        <w:t>Tabla 3. Arquitectura general y capa de proveedores</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p1a"/>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(§3.3). La </w:t>
      </w:r>
      <w:r>
        <w:rPr>
          <w:b/>
        </w:rPr>
        <w:t>capa de proveedores</w:t>
      </w:r>
      <w:r>
        <w:t xml:space="preserve"> aísla la heterogeneidad de las APIs. La </w:t>
      </w:r>
      <w:r>
        <w:rPr>
          <w:b/>
        </w:rPr>
        <w:t>capa de evaluación</w:t>
      </w:r>
      <w:r>
        <w:t xml:space="preserve"> calcula las métricas y las pruebas estadísticas (§3.4).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p1a"/>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p1a"/>
      </w:pPr>
      <w:r>
        <w:t xml:space="preserve">La selección del proveedor se resuelve por el prefijo del identificador del modelo, de modo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heading2"/>
      </w:pPr>
      <w:r>
        <w:t>3.3 Orquestación, concurrencia adaptativa y gestión de memoria</w:t>
      </w:r>
    </w:p>
    <w:p>
      <w:pPr>
        <w:numPr>
          <w:ilvl w:val="0"/>
          <w:numId w:val="0"/>
        </w:numPr>
        <w:pStyle w:val="p1a"/>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p1a"/>
      </w:pPr>
      <w:r>
        <w:t xml:space="preserve">El número de consumidores no es fijo, sino que lo regula un controlador </w:t>
      </w:r>
      <w:r>
        <w:rPr>
          <w:b/>
        </w:rPr>
        <w:t>AIMD</w:t>
      </w:r>
      <w:r>
        <w:t xml:space="preserve"> (</w:t>
      </w:r>
      <w:r>
        <w:rPr>
          <w:i/>
        </w:rPr>
        <w:t>Additive Increase, Multiplicative Decrease</w:t>
      </w:r>
      <w:r>
        <w:t xml:space="preserve">), política tomada del control de congestión en redes. Mientras el sistema permanece estable —sin errores de limitación de tasa ni excepciones— durante una ventana de 600 segundos, el controlador </w:t>
      </w:r>
      <w:r>
        <w:rPr>
          <w:b/>
        </w:rPr>
        <w:t>añade un consumidor cada 120 segundos</w:t>
      </w:r>
      <w:r>
        <w:t xml:space="preserve"> hasta un techo del 75 % del máximo configurado; ante el primer error de saturación </w:t>
      </w:r>
      <w:r>
        <w:rPr>
          <w:b/>
        </w:rPr>
        <w:t>reduce los consumidores a la mitad</w:t>
      </w:r>
      <w:r>
        <w:t>. Un cortacircuitos complementa la política: cinco fallos consecutivos abren el circuito y suspenden el procesamiento durante 60 segundos. La asimetría entre el aumento prudente y el recorte agresivo es deliberada, pues el coste de saturar un servicio de inferencia —reintentos, respuestas truncadas, penalización por cuota— excede con mucho al de infrautilizarlo. Sobre Apple Silicon M4 con 16 GB, el sistema escaló de forma estable hasta nueve consumidores concurrentes para modelos de 8B parámetros.</w:t>
      </w:r>
    </w:p>
    <w:p>
      <w:pPr>
        <w:numPr>
          <w:ilvl w:val="0"/>
          <w:numId w:val="0"/>
        </w:numPr>
        <w:pStyle w:val="p1a"/>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w:t>
      </w:r>
      <w:r>
        <w:rPr>
          <w:b/>
        </w:rPr>
        <w:t>pero no reduce el footprint de uno solo</w:t>
      </w:r>
      <w:r>
        <w:t>, y esa distinción resultó decisiva. macOS asigna a la GPU un techo de memoria equivalente al 75 % de la memoria unificada del equipo (</w:t>
      </w:r>
      <w:r>
        <w:t>recommendedMaxWorkingSetSize</w:t>
      </w:r>
      <w:r>
        <w:t xml:space="preserve">): unos 12 GB en una máquina de 16 GB. Los modelos de hasta ~12B cuantizados a 4 bits ocupan entre 7 y 9 GB y caben con holgura; los de 31B alcanzan un footprint operativo de ~24,7 GB —unos 18,7 GB de pesos más la caché de claves y valores y el sobrecoste de inferencia— y </w:t>
      </w:r>
      <w:r>
        <w:rPr>
          <w:b/>
        </w:rPr>
        <w:t>no pueden cargarse en 16 GB ni siquiera de forma serial</w:t>
      </w:r>
      <w:r>
        <w:t>. La ejecución se organizó en consecuencia en dos escalones de hardware: 16 GB para los modelos de hasta ~12B y un equipo de 48 GB, con techo asignable de ~36 GB, para los de 31B y las variantes MLX de mayor tamaño.</w:t>
      </w:r>
    </w:p>
    <w:p>
      <w:pPr>
        <w:numPr>
          <w:ilvl w:val="0"/>
          <w:numId w:val="0"/>
        </w:numPr>
        <w:pStyle w:val="heading2"/>
      </w:pPr>
      <w:r>
        <w:t>3.4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w:t>
      </w:r>
      <w:r>
        <w:rPr>
          <w:b/>
        </w:rPr>
        <w:t>emparejamiento difuso</w:t>
      </w:r>
      <w:r>
        <w:t xml:space="preserve"> por similitud de tokens, aceptando como acierto toda coincidencia por encima de un umbral configurable, fijado en 85 sobre 100. La elección del umbral es un compromiso: por debajo admite falsos emparejamientos entre nombres distintos que comparten apellido; por encima rechaza variantes legítimas.</w:t>
      </w:r>
    </w:p>
    <w:p>
      <w:pPr>
        <w:numPr>
          <w:ilvl w:val="0"/>
          <w:numId w:val="0"/>
        </w:numPr>
        <w:pStyle w:val="p1a"/>
      </w:pPr>
      <w:r>
        <w:t xml:space="preserve">Sobre esa base se calculan precisión, exhaustividad y F1 por artículo, que después se promedian, y una </w:t>
      </w:r>
      <w:r>
        <w:rPr>
          <w:b/>
        </w:rPr>
        <w:t>tasa de alucinación</w:t>
      </w:r>
      <w:r>
        <w:t xml:space="preserve"> definida como la proporción de entidades propuestas sin correspondencia alguna en la referencia.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dos corpus complementarios:</w:t>
      </w:r>
    </w:p>
    <w:p>
      <w:pPr>
        <w:numPr>
          <w:ilvl w:val="0"/>
          <w:numId w:val="0"/>
        </w:numPr>
        <w:pStyle w:val="p1a"/>
      </w:pPr>
      <w:r>
        <w:rPr>
          <w:b/>
        </w:rPr>
        <w:t>Corpus 1 — Kleptotrace/CoNLL-2002 (N=15, Gold Standard):</w:t>
      </w:r>
      <w:r>
        <w:t xml:space="preserve"> 15 artículos periodísticos reales de la plataforma Kleptotrace/CoNLL-2002 sobre lavado de activos, sanciones internacionales y corrupción. Anotados manualmente por expertos en compliance con entidades Personas (PER) y Organizaciones (ORG) como ground truth. Longitud promedio: ~4.833 caracteres por artículo (mediana 5.280; rango 725–8.813).</w:t>
      </w:r>
    </w:p>
    <w:p>
      <w:pPr>
        <w:numPr>
          <w:ilvl w:val="0"/>
          <w:numId w:val="0"/>
        </w:numPr>
        <w:pStyle w:val="p1a"/>
      </w:pPr>
      <w:r>
        <w:rPr>
          <w:b/>
        </w:rPr>
        <w:t>Corpus 2 — Kleptotrace/CoNLL-2002 Augmented (N=30, Corpus de Validación Estadística):</w:t>
      </w:r>
      <w:r>
        <w:t xml:space="preserve"> 30 artículos breves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Método de Generación Sintética del Corpus N=30</w:t>
      </w:r>
    </w:p>
    <w:p>
      <w:pPr>
        <w:numPr>
          <w:ilvl w:val="0"/>
          <w:numId w:val="0"/>
        </w:numPr>
        <w:pStyle w:val="p1a"/>
      </w:pPr>
      <w:r>
        <w:t xml:space="preserve">Dado que el corpus real Kleptotrace/CoNLL-2002 cuenta con solo 15 artículos (N=15), resulta insuficiente para la aplicación de pruebas estadísticas paramétricas con potencia adecuada. Para subsanar esto se aplicó un método de </w:t>
      </w:r>
      <w:r>
        <w:rPr>
          <w:b/>
        </w:rPr>
        <w:t>aumento de datos guiado por LLM</w:t>
      </w:r>
      <w:r>
        <w:t xml:space="preserve"> (LLM-guided data augmentation), consistente en los siguientes pasos:</w:t>
      </w:r>
    </w:p>
    <w:p>
      <w:pPr>
        <w:numPr>
          <w:ilvl w:val="0"/>
          <w:numId w:val="0"/>
        </w:numPr>
        <w:pStyle w:val="p1a"/>
      </w:pPr>
      <w:r>
        <w:rPr>
          <w:b/>
        </w:rPr>
        <w:t>Paso 1 — Definición de la distribución temática:</w:t>
      </w:r>
      <w:r>
        <w:t xml:space="preserve">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p1a"/>
      </w:pPr>
      <w:r>
        <w:rPr>
          <w:b/>
        </w:rPr>
        <w:t>Paso 2 — Generación controlada por plantillas de entidad:</w:t>
      </w:r>
      <w:r>
        <w:t xml:space="preserve"> Para cada artículo sintético se definió a priori un par </w:t>
      </w:r>
      <w:r>
        <w:t>{entidad_PER, entidad_ORG}</w:t>
      </w:r>
      <w:r>
        <w:t xml:space="preserve"> que debía aparecer en el texto, actuando como ground truth objetivo. Las entidades fueron seleccionadas de la base de datos OpenSanctions para garantizar realismo regulatorio (personas y organizaciones sancionadas reales).</w:t>
      </w:r>
    </w:p>
    <w:p>
      <w:pPr>
        <w:numPr>
          <w:ilvl w:val="0"/>
          <w:numId w:val="0"/>
        </w:numPr>
        <w:pStyle w:val="p1a"/>
      </w:pPr>
      <w:r>
        <w:rPr>
          <w:b/>
        </w:rPr>
        <w:t>Paso 3 — Instrucción al LLM generador:</w:t>
      </w:r>
      <w:r>
        <w:t xml:space="preserve"> El modelo </w:t>
      </w:r>
      <w:r>
        <w:t>gemma4:31b</w:t>
      </w:r>
      <w:r>
        <w:t xml:space="preserve">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p1a"/>
      </w:pPr>
      <w:r>
        <w:rPr>
          <w:b/>
        </w:rPr>
        <w:t>Paso 4 — Verificación del ground truth:</w:t>
      </w:r>
      <w:r>
        <w:t xml:space="preserve">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p1a"/>
      </w:pPr>
      <w:r>
        <w:rPr>
          <w:b/>
        </w:rPr>
        <w:t>Paso 5 — Control de calidad por diversidad:</w:t>
      </w:r>
      <w:r>
        <w:t xml:space="preserve">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3"/>
      </w:pPr>
      <w:r>
        <w:t>4.1.2 Validez Estadística del Corpus Sintético</w:t>
      </w:r>
    </w:p>
    <w:p>
      <w:pPr>
        <w:numPr>
          <w:ilvl w:val="0"/>
          <w:numId w:val="0"/>
        </w:numPr>
        <w:pStyle w:val="p1a"/>
      </w:pPr>
      <w:r>
        <w:t>El uso de datos sintéticos generados por LLM para pruebas de hipótesis es válido bajo las siguientes condiciones, todas cumplidas en este estudio:</w:t>
      </w:r>
    </w:p>
    <w:p>
      <w:pPr>
        <w:numPr>
          <w:ilvl w:val="0"/>
          <w:numId w:val="0"/>
        </w:numPr>
        <w:pStyle w:val="p1a"/>
      </w:pPr>
      <w:r>
        <w:rPr>
          <w:b/>
        </w:rPr>
        <w:t>a) Teorema del Límite Central (TLC):</w:t>
      </w:r>
      <w:r>
        <w:t xml:space="preserve"> El TLC establece que, para N ≥ 30 observaciones independientes, la distribución de la media muestral se aproxima a una distribución normal independientemente de la distribución poblacional subyacente. Con N=30 artículos, las pruebas ANOVA (que asumen normalidad de las medias grupales, no de los datos individuales) son aplicables con validez asintótica.</w:t>
      </w:r>
    </w:p>
    <w:p>
      <w:pPr>
        <w:numPr>
          <w:ilvl w:val="0"/>
          <w:numId w:val="0"/>
        </w:numPr>
        <w:pStyle w:val="p1a"/>
      </w:pPr>
      <w:r>
        <w:rPr>
          <w:b/>
        </w:rPr>
        <w:t>b) Independencia de las observaciones:</w:t>
      </w:r>
      <w:r>
        <w:t xml:space="preserve"> Cada artículo generado es una muestra independiente — el desempeño del modelo en un artículo no afecta su desempeño en otro. El diseño experimental garantiza esta independencia al procesar cada artículo de forma aislada sin contexto de artículos previos.</w:t>
      </w:r>
    </w:p>
    <w:p>
      <w:pPr>
        <w:numPr>
          <w:ilvl w:val="0"/>
          <w:numId w:val="0"/>
        </w:numPr>
        <w:pStyle w:val="p1a"/>
      </w:pPr>
      <w:r>
        <w:rPr>
          <w:b/>
        </w:rPr>
        <w:t>c) Validez de constructo del corpus sintético:</w:t>
      </w:r>
      <w:r>
        <w:t xml:space="preserve"> La validez de los datos sintéticos como proxy del dominio real descansa en tres pilares: (1) la distribución temática del corpus sintético replica la del corpus real (Kleptotrace/CoNLL-2002); (2) las entidades provienen de una fuente oficial de sanciones reales (OpenSanctions); y (3) la capacidad del LLM para generar texto coherente con el dominio financiero ha sido validada empíricamente (el mismo modelo que genera los artículos es el que se evalúa, creando una condición de evaluación conservadora). Este enfoque es metodológicamente análogo al uso de paráfrasis automáticas para aumento de corpus en NLP, práctica ampliamente aceptada en la literatura [8], [5].</w:t>
      </w:r>
    </w:p>
    <w:p>
      <w:pPr>
        <w:numPr>
          <w:ilvl w:val="0"/>
          <w:numId w:val="0"/>
        </w:numPr>
        <w:pStyle w:val="p1a"/>
      </w:pPr>
      <w:r>
        <w:rPr>
          <w:b/>
        </w:rPr>
        <w:t>d) Consistencia entre corpus:</w:t>
      </w:r>
      <w:r>
        <w:t xml:space="preserve"> Los F1-Scores observados en el corpus N=30 (gemma4:31b: 78.55%) son consistentes con la tendencia observada en el corpus real N=15 (gemma4:31b: 69.12%), sin saltos discontinuos que indicarían artefactos del aumento. La diferencia es atribuible a la menor complejidad promedio de los artículos breves del corpus sintético, lo que es esperado y documentado.</w:t>
      </w:r>
    </w:p>
    <w:p>
      <w:pPr>
        <w:numPr>
          <w:ilvl w:val="0"/>
          <w:numId w:val="0"/>
        </w:numPr>
        <w:pStyle w:val="heading3"/>
      </w:pPr>
      <w:r>
        <w:t>4.1.3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xml:space="preserve">), se incorporó una tercera alternativa de corpus para reforzar la validez externa: en lugar de seguir aumentando el corpus por generación sintética, se amplió la base real combinando los 15 artículos Gold Standard de Kleptotrace/CoNLL-2002 con </w:t>
      </w:r>
      <w:r>
        <w:rPr>
          <w:b/>
        </w:rPr>
        <w:t>105 artículos reales del corpus público CoNLL-2002 en español</w:t>
      </w:r>
      <w:r>
        <w:t xml:space="preserve"> (</w:t>
      </w:r>
      <w:r>
        <w:t>data/conll2002_es.json</w:t>
      </w:r>
      <w:r>
        <w:t xml:space="preserve">, 833 artículos disponibles), generando el archivo </w:t>
      </w:r>
      <w:r>
        <w:t>data/benchmark_balanced_120.json</w:t>
      </w:r>
      <w:r>
        <w:t xml:space="preserve"> (N=120, script </w:t>
      </w:r>
      <w:r>
        <w:t>create_balanced_120.py</w:t>
      </w:r>
      <w:r>
        <w:t xml:space="preserve">). A diferencia del corpus N=30, </w:t>
      </w:r>
      <w:r>
        <w:rPr>
          <w:b/>
        </w:rPr>
        <w:t>ningún texto de este corpus fue generado por un LLM</w:t>
      </w:r>
      <w:r>
        <w:t>: los 120 artículos son noticias reales con anotación de entidades real.</w:t>
      </w:r>
    </w:p>
    <w:p>
      <w:pPr>
        <w:numPr>
          <w:ilvl w:val="0"/>
          <w:numId w:val="0"/>
        </w:numPr>
        <w:pStyle w:val="p1a"/>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p1a"/>
      </w:pPr>
      <w:r>
        <w:t xml:space="preserve">El trabajo comprende </w:t>
      </w:r>
      <w:r>
        <w:rPr>
          <w:b/>
        </w:rPr>
        <w:t>dos conjuntos de evaluación distintos</w:t>
      </w:r>
      <w:r>
        <w:t xml:space="preserve">, que no deben confundirse: el benchmark exploratorio de la Tabla 2 (§5.1), con </w:t>
      </w:r>
      <w:r>
        <w:rPr>
          <w:b/>
        </w:rPr>
        <w:t>12 modelos en 13 configuraciones</w:t>
      </w:r>
      <w:r>
        <w:t xml:space="preserve"> sobre N=15 en modo </w:t>
      </w:r>
      <w:r>
        <w:t>entities</w:t>
      </w:r>
      <w:r>
        <w:t xml:space="preserve"> (</w:t>
      </w:r>
      <w:r>
        <w:t>gemma4:latest</w:t>
      </w:r>
      <w:r>
        <w:t xml:space="preserve"> aparece dos veces: ZS-ES y FS-ES), y el estudio principal (§5.3.5), con </w:t>
      </w:r>
      <w:r>
        <w:rPr>
          <w:b/>
        </w:rPr>
        <w:t>13 modelos</w:t>
      </w:r>
      <w:r>
        <w:t xml:space="preserve"> sobre N=120 en modo </w:t>
      </w:r>
      <w:r>
        <w:t>kb_combined</w:t>
      </w:r>
      <w:r>
        <w:t xml:space="preserve">. El segundo incorpora </w:t>
      </w:r>
      <w:r>
        <w:t>gemma4:12b-mlx</w:t>
      </w:r>
      <w:r>
        <w:t xml:space="preserve"> y </w:t>
      </w:r>
      <w:r>
        <w:t>gpt-oss:20b</w:t>
      </w:r>
      <w:r>
        <w:t>, que no disponen de corrida N=15. Los modelos de la Tabla 2 se agrupan en tres categorías:</w:t>
      </w:r>
    </w:p>
    <w:p>
      <w:pPr>
        <w:numPr>
          <w:ilvl w:val="0"/>
          <w:numId w:val="0"/>
        </w:numPr>
        <w:pStyle w:val="bulletitem"/>
      </w:pPr>
      <w:r>
        <w:rPr>
          <w:b/>
        </w:rPr>
        <w:t>Modelos locales grandes (≥8B):</w:t>
      </w:r>
      <w:r>
        <w:t xml:space="preserve"> gemma4:31b, gemma4:31b-mlx, gemma4:latest (9B), llama3.1:8b, qwen2.5:14b, mistral-nemo:latest (12B). gemma4:12b se descargó pero no figura en el benchmark reportado.</w:t>
      </w:r>
    </w:p>
    <w:p>
      <w:pPr>
        <w:numPr>
          <w:ilvl w:val="0"/>
          <w:numId w:val="0"/>
        </w:numPr>
        <w:pStyle w:val="bulletitem"/>
      </w:pPr>
      <w:r>
        <w:rPr>
          <w:b/>
        </w:rPr>
        <w:t>Modelos locales compactos (&lt;8B):</w:t>
      </w:r>
      <w:r>
        <w:t xml:space="preserve"> llama3.2:latest (3B), nuextract:latest (3.8B), nemotron-mini:4b, deepseek-r1:1.5b.</w:t>
      </w:r>
    </w:p>
    <w:p>
      <w:pPr>
        <w:numPr>
          <w:ilvl w:val="0"/>
          <w:numId w:val="0"/>
        </w:numPr>
        <w:pStyle w:val="bulletitem"/>
      </w:pPr>
      <w:r>
        <w:rPr>
          <w:b/>
        </w:rPr>
        <w:t>Modelos cloud/híbridos:</w:t>
      </w:r>
      <w:r>
        <w:t xml:space="preserve"> gemma4:31b-cloud, gemini-3.1-flash-lite.</w:t>
      </w:r>
    </w:p>
    <w:p>
      <w:pPr>
        <w:numPr>
          <w:ilvl w:val="0"/>
          <w:numId w:val="0"/>
        </w:numPr>
        <w:pStyle w:val="heading2"/>
      </w:pPr>
      <w:r>
        <w:t>4.3 Análisis de Variantes de Prompts</w:t>
      </w:r>
    </w:p>
    <w:p>
      <w:pPr>
        <w:numPr>
          <w:ilvl w:val="0"/>
          <w:numId w:val="0"/>
        </w:numPr>
        <w:pStyle w:val="p1a"/>
      </w:pPr>
      <w:r>
        <w:t xml:space="preserve">Se evaluaron cuatro configuraciones de prompt sobre el modelo gemma4:latest (9B). El diseño cruza dos factores —idioma (inglés/español) y estrategia de demostración (sin ejemplos/con ejemplos)—, por lo que constituye un </w:t>
      </w:r>
      <w:r>
        <w:rPr>
          <w:b/>
        </w:rPr>
        <w:t>diseño factorial 2×2</w:t>
      </w:r>
      <w:r>
        <w:t xml:space="preserve">, procedimiento que la literatura anglosajona de aprendizaje automático denomina </w:t>
      </w:r>
      <w:r>
        <w:rPr>
          <w:i/>
        </w:rPr>
        <w:t>ablation study</w:t>
      </w:r>
      <w:r>
        <w:t>:</w:t>
      </w:r>
    </w:p>
    <w:p>
      <w:pPr>
        <w:numPr>
          <w:ilvl w:val="0"/>
          <w:numId w:val="0"/>
        </w:numPr>
        <w:pStyle w:val="numbereditem"/>
      </w:pPr>
      <w:r>
        <w:rPr>
          <w:b/>
        </w:rPr>
        <w:t>Zero-shot inglés (ZS-EN):</w:t>
      </w:r>
      <w:r>
        <w:t xml:space="preserve"> Prompt de sistema en inglés sin ejemplos.</w:t>
      </w:r>
    </w:p>
    <w:p>
      <w:pPr>
        <w:numPr>
          <w:ilvl w:val="0"/>
          <w:numId w:val="0"/>
        </w:numPr>
        <w:pStyle w:val="numbereditem"/>
      </w:pPr>
      <w:r>
        <w:rPr>
          <w:b/>
        </w:rPr>
        <w:t>Zero-shot español (ZS-ES):</w:t>
      </w:r>
      <w:r>
        <w:t xml:space="preserve"> Prompt de sistema traducido al español, sin ejemplos.</w:t>
      </w:r>
    </w:p>
    <w:p>
      <w:pPr>
        <w:numPr>
          <w:ilvl w:val="0"/>
          <w:numId w:val="0"/>
        </w:numPr>
        <w:pStyle w:val="numbereditem"/>
      </w:pPr>
      <w:r>
        <w:rPr>
          <w:b/>
        </w:rPr>
        <w:t>Few-shot inglés (FS-EN):</w:t>
      </w:r>
      <w:r>
        <w:t xml:space="preserve"> Prompt en inglés con 3 ejemplos del dominio compliance.</w:t>
      </w:r>
    </w:p>
    <w:p>
      <w:pPr>
        <w:numPr>
          <w:ilvl w:val="0"/>
          <w:numId w:val="0"/>
        </w:numPr>
        <w:pStyle w:val="numbereditem"/>
      </w:pPr>
      <w:r>
        <w:rPr>
          <w:b/>
        </w:rPr>
        <w:t>Few-shot español (FS-ES):</w:t>
      </w:r>
      <w:r>
        <w:t xml:space="preserve"> Prompt en español con 3 ejemplos del dominio compliance.</w:t>
      </w:r>
    </w:p>
    <w:p>
      <w:pPr>
        <w:numPr>
          <w:ilvl w:val="0"/>
          <w:numId w:val="0"/>
        </w:numPr>
        <w:pStyle w:val="heading3"/>
      </w:pPr>
      <w:r>
        <w:t>4.3.1 ¿Qué es el Prompting Few-Shot?</w:t>
      </w:r>
    </w:p>
    <w:p>
      <w:pPr>
        <w:numPr>
          <w:ilvl w:val="0"/>
          <w:numId w:val="0"/>
        </w:numPr>
        <w:pStyle w:val="p1a"/>
      </w:pPr>
      <w:r>
        <w:t xml:space="preserve">El </w:t>
      </w:r>
      <w:r>
        <w:rPr>
          <w:b/>
        </w:rPr>
        <w:t>aprendizaje en contexto</w:t>
      </w:r>
      <w:r>
        <w:t xml:space="preserve"> (</w:t>
      </w:r>
      <w:r>
        <w:rPr>
          <w:i/>
        </w:rPr>
        <w:t>in-context learning</w:t>
      </w:r>
      <w:r>
        <w:t>) es la capacidad de los LLMs de adaptarse a una nueva tarea sin actualizar sus pesos, únicamente a partir de instrucciones y ejemplos incluidos en el texto del prompt. Esta capacidad, documentada por Brown et al. [8] en el trabajo fundacional de GPT-3, distingue a los LLMs modernos de los modelos supervisados tradicionales.</w:t>
      </w:r>
    </w:p>
    <w:p>
      <w:pPr>
        <w:numPr>
          <w:ilvl w:val="0"/>
          <w:numId w:val="0"/>
        </w:numPr>
        <w:pStyle w:val="p1a"/>
      </w:pPr>
      <w:r>
        <w:t xml:space="preserve">El prompting </w:t>
      </w:r>
      <w:r>
        <w:rPr>
          <w:b/>
        </w:rPr>
        <w:t>few-shot</w:t>
      </w:r>
      <w:r>
        <w:t xml:space="preserve"> (de pocos disparos) es una variante del aprendizaje en contexto que incluye un número reducido de ejemplos demorativos (</w:t>
      </w:r>
      <w:r>
        <w:rPr>
          <w:i/>
        </w:rPr>
        <w:t>demonstrations</w:t>
      </w:r>
      <w:r>
        <w:t>) directamente en el prompt, antes de presentar la tarea real. La estructura canónica de un prompt few-shot es:</w:t>
      </w:r>
    </w:p>
    <w:p>
      <w:pPr>
        <w:numPr>
          <w:ilvl w:val="0"/>
          <w:numId w:val="0"/>
        </w:numPr>
        <w:pStyle w:val="tablecaption"/>
      </w:pPr>
      <w:r>
        <w:t>Tabla 4. ¿Qué es el Prompting Few-Shot?</w:t>
      </w:r>
    </w:p>
    <w:tbl>
      <w:tblPr>
        <w:tblStyle w:val="Table"/>
        <w:tblW w:type="dxa" w:w="8838"/>
        <w:tblLayout w:type="fixed"/>
        <w:tblLook w:firstRow="1" w:lastRow="0" w:firstColumn="0" w:lastColumn="0" w:noHBand="0" w:noVBand="0" w:val="0020"/>
      </w:tblPr>
      <w:tblGrid>
        <w:gridCol w:w="3374"/>
        <w:gridCol w:w="5464"/>
      </w:tblGrid>
      <w:tr>
        <w:trPr>
          <w:tblHeader w:val="on"/>
        </w:trPr>
        <w:tc>
          <w:tcPr>
            <w:tcW w:type="dxa" w:w="3374"/>
          </w:tcPr>
          <w:p>
            <w:pPr>
              <w:pStyle w:val="Compact"/>
              <w:jc w:val="left"/>
            </w:pPr>
            <w:r>
              <w:rPr>
                <w:b/>
              </w:rPr>
              <w:t>Posición en el prompt</w:t>
            </w:r>
          </w:p>
        </w:tc>
        <w:tc>
          <w:tcPr>
            <w:tcW w:type="dxa" w:w="5464"/>
          </w:tcPr>
          <w:p>
            <w:pPr>
              <w:pStyle w:val="Compact"/>
              <w:jc w:val="left"/>
            </w:pPr>
            <w:r>
              <w:rPr>
                <w:b/>
              </w:rPr>
              <w:t>Contenido</w:t>
            </w:r>
          </w:p>
        </w:tc>
      </w:tr>
      <w:tr>
        <w:tc>
          <w:tcPr>
            <w:tcW w:type="dxa" w:w="3374"/>
          </w:tcPr>
          <w:p>
            <w:pPr>
              <w:pStyle w:val="Compact"/>
              <w:jc w:val="left"/>
            </w:pPr>
            <w:r>
              <w:rPr>
                <w:b w:val="0"/>
              </w:rPr>
              <w:t>1</w:t>
            </w:r>
          </w:p>
        </w:tc>
        <w:tc>
          <w:tcPr>
            <w:tcW w:type="dxa" w:w="5464"/>
          </w:tcPr>
          <w:p>
            <w:pPr>
              <w:pStyle w:val="Compact"/>
              <w:jc w:val="left"/>
            </w:pPr>
            <w:r>
              <w:rPr>
                <w:b w:val="0"/>
              </w:rPr>
              <w:t>Instrucción de sistema</w:t>
            </w:r>
          </w:p>
        </w:tc>
      </w:tr>
      <w:tr>
        <w:tc>
          <w:tcPr>
            <w:tcW w:type="dxa" w:w="3374"/>
          </w:tcPr>
          <w:p>
            <w:pPr>
              <w:pStyle w:val="Compact"/>
              <w:jc w:val="left"/>
            </w:pPr>
            <w:r>
              <w:rPr>
                <w:b w:val="0"/>
              </w:rPr>
              <w:t>2</w:t>
            </w:r>
          </w:p>
        </w:tc>
        <w:tc>
          <w:tcPr>
            <w:tcW w:type="dxa" w:w="5464"/>
          </w:tcPr>
          <w:p>
            <w:pPr>
              <w:pStyle w:val="Compact"/>
              <w:jc w:val="left"/>
            </w:pPr>
            <w:r>
              <w:rPr>
                <w:b w:val="0"/>
              </w:rPr>
              <w:t>Ejemplo 1: entrada → salida esperada</w:t>
            </w:r>
          </w:p>
        </w:tc>
      </w:tr>
      <w:tr>
        <w:tc>
          <w:tcPr>
            <w:tcW w:type="dxa" w:w="3374"/>
          </w:tcPr>
          <w:p>
            <w:pPr>
              <w:pStyle w:val="Compact"/>
              <w:jc w:val="left"/>
            </w:pPr>
            <w:r>
              <w:rPr>
                <w:b w:val="0"/>
              </w:rPr>
              <w:t>3</w:t>
            </w:r>
          </w:p>
        </w:tc>
        <w:tc>
          <w:tcPr>
            <w:tcW w:type="dxa" w:w="5464"/>
          </w:tcPr>
          <w:p>
            <w:pPr>
              <w:pStyle w:val="Compact"/>
              <w:jc w:val="left"/>
            </w:pPr>
            <w:r>
              <w:rPr>
                <w:b w:val="0"/>
              </w:rPr>
              <w:t>Ejemplo 2: entrada → salida esperada</w:t>
            </w:r>
          </w:p>
        </w:tc>
      </w:tr>
      <w:tr>
        <w:tc>
          <w:tcPr>
            <w:tcW w:type="dxa" w:w="3374"/>
          </w:tcPr>
          <w:p>
            <w:pPr>
              <w:pStyle w:val="Compact"/>
              <w:jc w:val="left"/>
            </w:pPr>
            <w:r>
              <w:rPr>
                <w:b w:val="0"/>
              </w:rPr>
              <w:t>4</w:t>
            </w:r>
          </w:p>
        </w:tc>
        <w:tc>
          <w:tcPr>
            <w:tcW w:type="dxa" w:w="5464"/>
          </w:tcPr>
          <w:p>
            <w:pPr>
              <w:pStyle w:val="Compact"/>
              <w:jc w:val="left"/>
            </w:pPr>
            <w:r>
              <w:rPr>
                <w:b w:val="0"/>
              </w:rPr>
              <w:t>Ejemplo 3: entrada → salida esperada</w:t>
            </w:r>
          </w:p>
        </w:tc>
      </w:tr>
      <w:tr>
        <w:tc>
          <w:tcPr>
            <w:tcW w:type="dxa" w:w="3374"/>
          </w:tcPr>
          <w:p>
            <w:pPr>
              <w:pStyle w:val="Compact"/>
              <w:jc w:val="left"/>
            </w:pPr>
            <w:r>
              <w:rPr>
                <w:b w:val="0"/>
              </w:rPr>
              <w:t>5</w:t>
            </w:r>
          </w:p>
        </w:tc>
        <w:tc>
          <w:tcPr>
            <w:tcW w:type="dxa" w:w="5464"/>
          </w:tcPr>
          <w:p>
            <w:pPr>
              <w:pStyle w:val="Compact"/>
              <w:jc w:val="left"/>
            </w:pPr>
            <w:r>
              <w:rPr>
                <w:b w:val="0"/>
              </w:rPr>
              <w:t>Tarea real: entrada (el modelo genera la salida)</w:t>
            </w:r>
          </w:p>
        </w:tc>
      </w:tr>
    </w:tbl>
    <w:p>
      <w:pPr>
        <w:numPr>
          <w:ilvl w:val="0"/>
          <w:numId w:val="0"/>
        </w:numPr>
        <w:pStyle w:val="p1a"/>
      </w:pPr>
      <w:r>
        <w:t xml:space="preserve">En contraposición, el prompting </w:t>
      </w:r>
      <w:r>
        <w:rPr>
          <w:b/>
        </w:rPr>
        <w:t>zero-shot</w:t>
      </w:r>
      <w:r>
        <w:t xml:space="preserve"> no incluye ejemplos: el modelo debe inferir el formato y la estrategia de extracción únicamente desde la instrucción de sistema.</w:t>
      </w:r>
    </w:p>
    <w:p>
      <w:pPr>
        <w:numPr>
          <w:ilvl w:val="0"/>
          <w:numId w:val="0"/>
        </w:numPr>
        <w:pStyle w:val="heading3"/>
      </w:pPr>
      <w:r>
        <w:t>4.3.2 Mecanismo Cognitivo del Few-Shot Prompting en LLMs</w:t>
      </w:r>
    </w:p>
    <w:p>
      <w:pPr>
        <w:numPr>
          <w:ilvl w:val="0"/>
          <w:numId w:val="0"/>
        </w:numPr>
        <w:pStyle w:val="p1a"/>
      </w:pPr>
      <w:r>
        <w:t>Los ejemplos few-shot cumplen tres funciones cognitivas en el LLM:</w:t>
      </w:r>
    </w:p>
    <w:p>
      <w:pPr>
        <w:numPr>
          <w:ilvl w:val="0"/>
          <w:numId w:val="0"/>
        </w:numPr>
        <w:pStyle w:val="numbereditem"/>
      </w:pPr>
      <w:r>
        <w:rPr>
          <w:b/>
        </w:rPr>
        <w:t>Especificación del formato de salida:</w:t>
      </w:r>
      <w:r>
        <w:t xml:space="preserve"> Muestran al modelo exactamente qué estructura JSON se espera (cuáles campos, con qué nombres, qué tipos de valores). Sin este anclaje, los LLMs tienden a variar el formato de respuesta entre artículos, dificultando el parseo programático.</w:t>
      </w:r>
    </w:p>
    <w:p>
      <w:pPr>
        <w:numPr>
          <w:ilvl w:val="0"/>
          <w:numId w:val="0"/>
        </w:numPr>
        <w:pStyle w:val="numbereditem"/>
      </w:pPr>
      <w:r>
        <w:rPr>
          <w:b/>
        </w:rPr>
        <w:t>Calibración del umbral semántico:</w:t>
      </w:r>
      <w:r>
        <w:t xml:space="preserve"> Los ejemplos delimitan qué </w:t>
      </w:r>
      <w:r>
        <w:rPr>
          <w:i/>
        </w:rPr>
        <w:t>tipo</w:t>
      </w:r>
      <w:r>
        <w:t xml:space="preserve"> de mención califica como entidad: por ejemplo, solo personas nombradas individualmente (no cargos genéricos como "el presidente"), y solo organizaciones con nombre propio (no referencias como "la empresa"). Este criterio no puede especificarse exhautivamente en texto descriptivo, pero se transmite implícitamente mediante 2-3 ejemplos contrastivos.</w:t>
      </w:r>
    </w:p>
    <w:p>
      <w:pPr>
        <w:numPr>
          <w:ilvl w:val="0"/>
          <w:numId w:val="0"/>
        </w:numPr>
        <w:pStyle w:val="numbereditem"/>
      </w:pPr>
      <w:r>
        <w:rPr>
          <w:b/>
        </w:rPr>
        <w:t>Adaptación al dominio:</w:t>
      </w:r>
      <w:r>
        <w:t xml:space="preserve"> En un dominio especializado como AML/KYC, los ejemplos funcionan como un micro-corpus de fine-tuning en memoria de trabajo: el modelo ajusta la distribución de probabilidad de sus respuestas para seguir el patrón observado en los ejemplos, favoreciendo terminología y categorías del dominio regulatorio sobre el lenguaje general.</w:t>
      </w:r>
    </w:p>
    <w:p>
      <w:pPr>
        <w:numPr>
          <w:ilvl w:val="0"/>
          <w:numId w:val="0"/>
        </w:numPr>
        <w:pStyle w:val="heading3"/>
      </w:pPr>
      <w:r>
        <w:t>4.3.3 Prompts Utilizados en este Estudio</w:t>
      </w:r>
    </w:p>
    <w:p>
      <w:pPr>
        <w:numPr>
          <w:ilvl w:val="0"/>
          <w:numId w:val="0"/>
        </w:numPr>
        <w:pStyle w:val="p1a"/>
      </w:pPr>
      <w:r>
        <w:t>En este trabajo se diseñaron prompts específicos para el dominio de cumplimiento normativo AML/KYC. Los tres ejemplos few-shot utilizados en la configuración FS-ES tienen la siguiente estructura:</w:t>
      </w:r>
    </w:p>
    <w:p>
      <w:pPr>
        <w:numPr>
          <w:ilvl w:val="0"/>
          <w:numId w:val="0"/>
        </w:numPr>
        <w:pStyle w:val="p1a"/>
      </w:pPr>
      <w:r>
        <w:rPr>
          <w:b/>
        </w:rPr>
        <w:t>Ejemplo few-shot 1 (caso persona sancionada):</w:t>
      </w:r>
    </w:p>
    <w:p>
      <w:pPr>
        <w:numPr>
          <w:ilvl w:val="0"/>
          <w:numId w:val="0"/>
        </w:numPr>
        <w:pStyle w:val="programcode"/>
      </w:pPr>
      <w:r>
        <w:t>Texto: "El empresario ruso Roman Abramovich fue incluido en las listas de sanciones</w:t>
      </w:r>
      <w:r>
        <w:br/>
      </w:r>
      <w:r>
        <w:t xml:space="preserve">        de la Unión Europea por sus vínculos con el régimen del Kremlin a través de</w:t>
      </w:r>
      <w:r>
        <w:br/>
      </w:r>
      <w:r>
        <w:t xml:space="preserve">        su empresa Evraz PLC."</w:t>
      </w:r>
      <w:r>
        <w:br/>
      </w:r>
      <w:r>
        <w:t>Respuesta: {"Persons": ["Roman Abramovich"], "Organizations": ["Evraz PLC"]}</w:t>
      </w:r>
    </w:p>
    <w:p>
      <w:pPr>
        <w:numPr>
          <w:ilvl w:val="0"/>
          <w:numId w:val="0"/>
        </w:numPr>
        <w:pStyle w:val="p1a"/>
      </w:pPr>
      <w:r>
        <w:rPr>
          <w:b/>
        </w:rPr>
        <w:t>Ejemplo few-shot 2 (caso organización sancionada):</w:t>
      </w:r>
    </w:p>
    <w:p>
      <w:pPr>
        <w:numPr>
          <w:ilvl w:val="0"/>
          <w:numId w:val="0"/>
        </w:numPr>
        <w:pStyle w:val="programcode"/>
      </w:pPr>
      <w:r>
        <w:t>Texto: "El Departamento del Tesoro de los Estados Unidos sancionó al banco Rossiya,</w:t>
      </w:r>
      <w:r>
        <w:br/>
      </w:r>
      <w:r>
        <w:t xml:space="preserve">        señalándolo como banco personal de altos funcionarios del gobierno ruso."</w:t>
      </w:r>
      <w:r>
        <w:br/>
      </w:r>
      <w:r>
        <w:t>Respuesta: {"Persons": [], "Organizations": ["Banco Rossiya", "Departamento del Tesoro"]}</w:t>
      </w:r>
    </w:p>
    <w:p>
      <w:pPr>
        <w:numPr>
          <w:ilvl w:val="0"/>
          <w:numId w:val="0"/>
        </w:numPr>
        <w:pStyle w:val="p1a"/>
      </w:pPr>
      <w:r>
        <w:rPr>
          <w:b/>
        </w:rPr>
        <w:t>Ejemplo few-shot 3 (caso PEP complejo):</w:t>
      </w:r>
    </w:p>
    <w:p>
      <w:pPr>
        <w:numPr>
          <w:ilvl w:val="0"/>
          <w:numId w:val="0"/>
        </w:numPr>
        <w:pStyle w:val="programcode"/>
      </w:pPr>
      <w:r>
        <w:t>Texto: "Isabel dos Santos, hija del expresidente angoleño José Eduardo dos Santos,</w:t>
      </w:r>
      <w:r>
        <w:br/>
      </w:r>
      <w:r>
        <w:t xml:space="preserve">        figura en investigaciones de la empresa estatal Sonangol por presunto desvío</w:t>
      </w:r>
      <w:r>
        <w:br/>
      </w:r>
      <w:r>
        <w:t xml:space="preserve">        de fondos."</w:t>
      </w:r>
      <w:r>
        <w:br/>
      </w:r>
      <w:r>
        <w:t>Respuesta: {"Persons": ["Isabel dos Santos", "José Eduardo dos Santos"],</w:t>
      </w:r>
      <w:r>
        <w:br/>
      </w:r>
      <w:r>
        <w:t xml:space="preserve">             "Organizations": ["Sonangol"]}</w:t>
      </w:r>
    </w:p>
    <w:p>
      <w:pPr>
        <w:numPr>
          <w:ilvl w:val="0"/>
          <w:numId w:val="0"/>
        </w:numPr>
        <w:pStyle w:val="p1a"/>
      </w:pPr>
      <w:r>
        <w:t>Los tres ejemplos cubren deliberadamente: (a) extracción limpia de un solo sujeto, (b) caso sin personas nombradas con múltiples organizaciones, y (c) caso con múltiples personas en relación familiar y una organización ambigua. Esta diversidad de casos entrena al modelo a manejar la variabilidad del corpus real.</w:t>
      </w:r>
    </w:p>
    <w:p>
      <w:pPr>
        <w:numPr>
          <w:ilvl w:val="0"/>
          <w:numId w:val="0"/>
        </w:numPr>
        <w:pStyle w:val="heading3"/>
      </w:pPr>
      <w:r>
        <w:t>4.3.4 Impacto Empírico del Few-Shot en este Estudio</w:t>
      </w:r>
    </w:p>
    <w:p>
      <w:pPr>
        <w:numPr>
          <w:ilvl w:val="0"/>
          <w:numId w:val="0"/>
        </w:numPr>
        <w:pStyle w:val="p1a"/>
      </w:pPr>
      <w:r>
        <w:t xml:space="preserve">Los resultados del análisis de variantes de prompts revelan una </w:t>
      </w:r>
      <w:r>
        <w:rPr>
          <w:b/>
        </w:rPr>
        <w:t>interacción entre los dos factores</w:t>
      </w:r>
      <w:r>
        <w:t xml:space="preserve">: por separado, la localización al español aporta +4.38 pp de F1 y los ejemplos </w:t>
      </w:r>
      <w:r>
        <w:rPr>
          <w:i/>
        </w:rPr>
        <w:t>few-shot</w:t>
      </w:r>
      <w:r>
        <w:t xml:space="preserve"> en inglés no aportan nada (−0.73 pp), pero </w:t>
      </w:r>
      <w:r>
        <w:rPr>
          <w:b/>
        </w:rPr>
        <w:t>su combinación alcanza +11.12 pp</w:t>
      </w:r>
      <w:r>
        <w:t xml:space="preserve">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tablecaption"/>
      </w:pPr>
      <w:r>
        <w:t>Tabla 5. Métricas de Evaluación</w:t>
      </w:r>
    </w:p>
    <w:tbl>
      <w:tblPr>
        <w:tblStyle w:val="Table"/>
        <w:tblW w:type="dxa" w:w="8838"/>
        <w:tblLayout w:type="fixed"/>
        <w:tblLook w:firstRow="1" w:lastRow="0" w:firstColumn="0" w:lastColumn="0" w:noHBand="0" w:noVBand="0" w:val="0020"/>
      </w:tblPr>
      <w:tblGrid>
        <w:gridCol w:w="3059"/>
        <w:gridCol w:w="5779"/>
      </w:tblGrid>
      <w:tr>
        <w:trPr>
          <w:tblHeader w:val="on"/>
        </w:trPr>
        <w:tc>
          <w:tcPr>
            <w:tcW w:type="dxa" w:w="3059"/>
          </w:tcPr>
          <w:p>
            <w:pPr>
              <w:pStyle w:val="Compact"/>
              <w:jc w:val="left"/>
            </w:pPr>
            <w:r>
              <w:rPr>
                <w:b/>
              </w:rPr>
              <w:t>Métrica</w:t>
            </w:r>
          </w:p>
        </w:tc>
        <w:tc>
          <w:tcPr>
            <w:tcW w:type="dxa" w:w="5779"/>
          </w:tcPr>
          <w:p>
            <w:pPr>
              <w:pStyle w:val="Compact"/>
              <w:jc w:val="left"/>
            </w:pPr>
            <w:r>
              <w:rPr>
                <w:b/>
              </w:rPr>
              <w:t>Definición</w:t>
            </w:r>
          </w:p>
        </w:tc>
      </w:tr>
      <w:tr>
        <w:tc>
          <w:tcPr>
            <w:tcW w:type="dxa" w:w="3059"/>
          </w:tcPr>
          <w:p>
            <w:pPr>
              <w:pStyle w:val="Compact"/>
              <w:jc w:val="left"/>
            </w:pPr>
            <w:r>
              <w:rPr>
                <w:b/>
              </w:rPr>
              <w:t>F1-Score</w:t>
            </w:r>
          </w:p>
        </w:tc>
        <w:tc>
          <w:tcPr>
            <w:tcW w:type="dxa" w:w="5779"/>
          </w:tcPr>
          <w:p>
            <w:pPr>
              <w:pStyle w:val="Compact"/>
              <w:jc w:val="left"/>
            </w:pPr>
            <w:r>
              <w:rPr>
                <w:b w:val="0"/>
              </w:rPr>
              <w:t>Media armónica entre Precisión y Recall (métrica principal)</w:t>
            </w:r>
          </w:p>
        </w:tc>
      </w:tr>
      <w:tr>
        <w:tc>
          <w:tcPr>
            <w:tcW w:type="dxa" w:w="3059"/>
          </w:tcPr>
          <w:p>
            <w:pPr>
              <w:pStyle w:val="Compact"/>
              <w:jc w:val="left"/>
            </w:pPr>
            <w:r>
              <w:rPr>
                <w:b/>
              </w:rPr>
              <w:t>Precisión</w:t>
            </w:r>
          </w:p>
        </w:tc>
        <w:tc>
          <w:tcPr>
            <w:tcW w:type="dxa" w:w="5779"/>
          </w:tcPr>
          <w:p>
            <w:pPr>
              <w:pStyle w:val="Compact"/>
              <w:jc w:val="left"/>
            </w:pPr>
            <w:r>
              <w:rPr>
                <w:b w:val="0"/>
              </w:rPr>
              <w:t>TP / (TP + FP) — Exactitud de las entidades extraídas</w:t>
            </w:r>
          </w:p>
        </w:tc>
      </w:tr>
      <w:tr>
        <w:tc>
          <w:tcPr>
            <w:tcW w:type="dxa" w:w="3059"/>
          </w:tcPr>
          <w:p>
            <w:pPr>
              <w:pStyle w:val="Compact"/>
              <w:jc w:val="left"/>
            </w:pPr>
            <w:r>
              <w:rPr>
                <w:b/>
              </w:rPr>
              <w:t>Recall</w:t>
            </w:r>
          </w:p>
        </w:tc>
        <w:tc>
          <w:tcPr>
            <w:tcW w:type="dxa" w:w="5779"/>
          </w:tcPr>
          <w:p>
            <w:pPr>
              <w:pStyle w:val="Compact"/>
              <w:jc w:val="left"/>
            </w:pPr>
            <w:r>
              <w:rPr>
                <w:b w:val="0"/>
              </w:rPr>
              <w:t>TP / (TP + FN) — Cobertura de las entidades reales</w:t>
            </w:r>
          </w:p>
        </w:tc>
      </w:tr>
      <w:tr>
        <w:tc>
          <w:tcPr>
            <w:tcW w:type="dxa" w:w="3059"/>
          </w:tcPr>
          <w:p>
            <w:pPr>
              <w:pStyle w:val="Compact"/>
              <w:jc w:val="left"/>
            </w:pPr>
            <w:r>
              <w:rPr>
                <w:b/>
              </w:rPr>
              <w:t>Hallucination Rate</w:t>
            </w:r>
          </w:p>
        </w:tc>
        <w:tc>
          <w:tcPr>
            <w:tcW w:type="dxa" w:w="5779"/>
          </w:tcPr>
          <w:p>
            <w:pPr>
              <w:pStyle w:val="Compact"/>
              <w:jc w:val="left"/>
            </w:pPr>
            <w:r>
              <w:rPr>
                <w:b w:val="0"/>
              </w:rPr>
              <w:t>Entidades extraídas sin correspondencia en GT / Total extraídas</w:t>
            </w:r>
          </w:p>
        </w:tc>
      </w:tr>
      <w:tr>
        <w:tc>
          <w:tcPr>
            <w:tcW w:type="dxa" w:w="3059"/>
          </w:tcPr>
          <w:p>
            <w:pPr>
              <w:pStyle w:val="Compact"/>
              <w:jc w:val="left"/>
            </w:pPr>
            <w:r>
              <w:rPr>
                <w:b/>
              </w:rPr>
              <w:t>Latencia (s)</w:t>
            </w:r>
          </w:p>
        </w:tc>
        <w:tc>
          <w:tcPr>
            <w:tcW w:type="dxa" w:w="5779"/>
          </w:tcPr>
          <w:p>
            <w:pPr>
              <w:pStyle w:val="Compact"/>
              <w:jc w:val="left"/>
            </w:pPr>
            <w:r>
              <w:rPr>
                <w:b w:val="0"/>
              </w:rPr>
              <w:t>Tiempo promedio por artículo en segundos</w:t>
            </w:r>
          </w:p>
        </w:tc>
      </w:tr>
      <w:tr>
        <w:tc>
          <w:tcPr>
            <w:tcW w:type="dxa" w:w="3059"/>
          </w:tcPr>
          <w:p>
            <w:pPr>
              <w:pStyle w:val="Compact"/>
              <w:jc w:val="left"/>
            </w:pPr>
            <w:r>
              <w:rPr>
                <w:b/>
              </w:rPr>
              <w:t>Índice Tok/s/B</w:t>
            </w:r>
          </w:p>
        </w:tc>
        <w:tc>
          <w:tcPr>
            <w:tcW w:type="dxa" w:w="5779"/>
          </w:tcPr>
          <w:p>
            <w:pPr>
              <w:pStyle w:val="Compact"/>
              <w:jc w:val="left"/>
            </w:pPr>
            <w:r>
              <w:rPr>
                <w:b w:val="0"/>
              </w:rPr>
              <w:t>Tokens por segundo normalizados por cada mil millones (10⁹) de parámetros</w:t>
            </w:r>
          </w:p>
        </w:tc>
      </w:tr>
    </w:tbl>
    <w:p>
      <w:pPr>
        <w:numPr>
          <w:ilvl w:val="0"/>
          <w:numId w:val="0"/>
        </w:numPr>
        <w:pStyle w:val="p1a"/>
      </w:pPr>
      <w:r>
        <w:t xml:space="preserve">El cotejo entre la entidad extraída y la de referencia es </w:t>
      </w:r>
      <w:r>
        <w:rPr>
          <w:b/>
        </w:rPr>
        <w:t>difuso</w:t>
      </w:r>
      <w:r>
        <w:t>, con un umbral de similitud de 85 sobre 100, lo que tolera variaciones menores de forma sin admitir coincidencias espurias.</w:t>
      </w:r>
    </w:p>
    <w:p>
      <w:pPr>
        <w:numPr>
          <w:ilvl w:val="0"/>
          <w:numId w:val="0"/>
        </w:numPr>
        <w:pStyle w:val="p1a"/>
      </w:pPr>
      <w:r>
        <w:rPr>
          <w:b/>
        </w:rPr>
        <w:t>Convención ante la extracción vacía.</w:t>
      </w:r>
      <w:r>
        <w:t xml:space="preserve">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de modo que la totalidad de las cifras reportadas comparte un criterio único.</w:t>
      </w:r>
    </w:p>
    <w:p>
      <w:pPr>
        <w:numPr>
          <w:ilvl w:val="0"/>
          <w:numId w:val="0"/>
        </w:numPr>
        <w:pStyle w:val="heading2"/>
      </w:pPr>
      <w:r>
        <w:t>4.5 Infraestructura de Pruebas</w:t>
      </w:r>
    </w:p>
    <w:p>
      <w:pPr>
        <w:numPr>
          <w:ilvl w:val="0"/>
          <w:numId w:val="0"/>
        </w:numPr>
        <w:pStyle w:val="bulletitem"/>
      </w:pPr>
      <w:r>
        <w:rPr>
          <w:b/>
        </w:rPr>
        <w:t>Hardware:</w:t>
      </w:r>
      <w:r>
        <w:t xml:space="preserve"> Apple Silicon (Metal/MPS), en dos configuraciones según el footprint del modelo: 16 GB de memoria unificada para modelos de hasta ~12B, y 48 GB de memoria unificada para los modelos de 31B y variantes MLX de gran tamaño (ver §3.6).</w:t>
      </w:r>
    </w:p>
    <w:p>
      <w:pPr>
        <w:numPr>
          <w:ilvl w:val="0"/>
          <w:numId w:val="0"/>
        </w:numPr>
        <w:pStyle w:val="bulletitem"/>
      </w:pPr>
      <w:r>
        <w:rPr>
          <w:b/>
        </w:rPr>
        <w:t>Software:</w:t>
      </w:r>
      <w:r>
        <w:t xml:space="preserve"> Python 3.14, Ollama 0.6+, scikit-learn 1.9, statsmodels 0.14, pandas 3.0, Streamlit 1.60.</w:t>
      </w:r>
    </w:p>
    <w:p>
      <w:pPr>
        <w:numPr>
          <w:ilvl w:val="0"/>
          <w:numId w:val="0"/>
        </w:numPr>
        <w:pStyle w:val="bulletitem"/>
      </w:pPr>
      <w:r>
        <w:rPr>
          <w:b/>
        </w:rPr>
        <w:t>Reproducibilidad:</w:t>
      </w:r>
      <w:r>
        <w:t xml:space="preserve"> Checkpointing automático (</w:t>
      </w:r>
      <w:r>
        <w:t>.checkpoint.json</w:t>
      </w:r>
      <w:r>
        <w:t>) para reanudar benchmarks interrumpidos sin pérdida de datos.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6 presenta los resultados consolidados del benchmark completo agrupados por familia y tamaño de modelo:</w:t>
      </w:r>
    </w:p>
    <w:p>
      <w:pPr>
        <w:numPr>
          <w:ilvl w:val="0"/>
          <w:numId w:val="0"/>
        </w:numPr>
        <w:pStyle w:val="tablecaption"/>
      </w:pPr>
      <w:r>
        <w:t>Tabla 6. Benchmark General — 12 Modelos en 13 Configuraciones sobre Kleptotrace/CoNLL-2002 (N=15)</w:t>
      </w:r>
    </w:p>
    <w:tbl>
      <w:tblPr>
        <w:tblStyle w:val="Table"/>
        <w:tblW w:type="dxa" w:w="8838"/>
        <w:tblLayout w:type="fixed"/>
        <w:tblLook w:firstRow="1" w:lastRow="0" w:firstColumn="0" w:lastColumn="0" w:noHBand="0" w:noVBand="0" w:val="0020"/>
      </w:tblPr>
      <w:tblGrid>
        <w:gridCol w:w="1991"/>
        <w:gridCol w:w="668"/>
        <w:gridCol w:w="948"/>
        <w:gridCol w:w="668"/>
        <w:gridCol w:w="853"/>
        <w:gridCol w:w="668"/>
        <w:gridCol w:w="1232"/>
        <w:gridCol w:w="1137"/>
        <w:gridCol w:w="673"/>
      </w:tblGrid>
      <w:tr>
        <w:trPr>
          <w:tblHeader w:val="on"/>
        </w:trPr>
        <w:tc>
          <w:tcPr>
            <w:tcW w:type="dxa" w:w="1991"/>
          </w:tcPr>
          <w:p>
            <w:pPr>
              <w:pStyle w:val="Compact"/>
              <w:jc w:val="left"/>
            </w:pPr>
            <w:r>
              <w:rPr>
                <w:b/>
              </w:rPr>
              <w:t>Modelo</w:t>
            </w:r>
          </w:p>
        </w:tc>
        <w:tc>
          <w:tcPr>
            <w:tcW w:type="dxa" w:w="668"/>
          </w:tcPr>
          <w:p>
            <w:pPr>
              <w:pStyle w:val="Compact"/>
              <w:jc w:val="left"/>
            </w:pPr>
            <w:r>
              <w:rPr>
                <w:b/>
              </w:rPr>
              <w:t>Tipo</w:t>
            </w:r>
          </w:p>
        </w:tc>
        <w:tc>
          <w:tcPr>
            <w:tcW w:type="dxa" w:w="948"/>
          </w:tcPr>
          <w:p>
            <w:pPr>
              <w:pStyle w:val="Compact"/>
              <w:jc w:val="left"/>
            </w:pPr>
            <w:r>
              <w:rPr>
                <w:b/>
              </w:rPr>
              <w:t>Parámetros</w:t>
            </w:r>
          </w:p>
        </w:tc>
        <w:tc>
          <w:tcPr>
            <w:tcW w:type="dxa" w:w="668"/>
          </w:tcPr>
          <w:p>
            <w:pPr>
              <w:pStyle w:val="Compact"/>
              <w:jc w:val="center"/>
            </w:pPr>
            <w:r>
              <w:rPr>
                <w:b/>
              </w:rPr>
              <w:t>F1</w:t>
            </w:r>
          </w:p>
        </w:tc>
        <w:tc>
          <w:tcPr>
            <w:tcW w:type="dxa" w:w="853"/>
          </w:tcPr>
          <w:p>
            <w:pPr>
              <w:pStyle w:val="Compact"/>
              <w:jc w:val="center"/>
            </w:pPr>
            <w:r>
              <w:rPr>
                <w:b/>
              </w:rPr>
              <w:t>Precisión</w:t>
            </w:r>
          </w:p>
        </w:tc>
        <w:tc>
          <w:tcPr>
            <w:tcW w:type="dxa" w:w="668"/>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673"/>
          </w:tcPr>
          <w:p>
            <w:pPr>
              <w:pStyle w:val="Compact"/>
              <w:jc w:val="left"/>
            </w:pPr>
            <w:r>
              <w:rPr>
                <w:b/>
              </w:rPr>
              <w:t>Tok/s/B</w:t>
            </w:r>
          </w:p>
        </w:tc>
      </w:tr>
      <w:tr>
        <w:tc>
          <w:tcPr>
            <w:tcW w:type="dxa" w:w="1991"/>
          </w:tcPr>
          <w:p>
            <w:pPr>
              <w:pStyle w:val="Compact"/>
              <w:jc w:val="left"/>
            </w:pPr>
            <w:r>
              <w:rPr>
                <w:b w:val="0"/>
              </w:rPr>
              <w:t>gemma4:latest (FS-ES)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rPr>
              <w:t>74.44%</w:t>
            </w:r>
          </w:p>
        </w:tc>
        <w:tc>
          <w:tcPr>
            <w:tcW w:type="dxa" w:w="853"/>
          </w:tcPr>
          <w:p>
            <w:pPr>
              <w:pStyle w:val="Compact"/>
              <w:jc w:val="center"/>
            </w:pPr>
            <w:r>
              <w:rPr>
                <w:b w:val="0"/>
              </w:rPr>
              <w:t>66.78%</w:t>
            </w:r>
          </w:p>
        </w:tc>
        <w:tc>
          <w:tcPr>
            <w:tcW w:type="dxa" w:w="668"/>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673"/>
          </w:tcPr>
          <w:p>
            <w:pPr>
              <w:pStyle w:val="Compact"/>
              <w:jc w:val="left"/>
            </w:pPr>
            <w:r>
              <w:rPr>
                <w:b w:val="0"/>
              </w:rPr>
              <w:t>5.33</w:t>
            </w:r>
          </w:p>
        </w:tc>
      </w:tr>
      <w:tr>
        <w:tc>
          <w:tcPr>
            <w:tcW w:type="dxa" w:w="1991"/>
          </w:tcPr>
          <w:p>
            <w:pPr>
              <w:pStyle w:val="Compact"/>
              <w:jc w:val="left"/>
            </w:pPr>
            <w:r>
              <w:rPr>
                <w:b/>
              </w:rPr>
              <w:t>gemma4:31b</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69.12%</w:t>
            </w:r>
          </w:p>
        </w:tc>
        <w:tc>
          <w:tcPr>
            <w:tcW w:type="dxa" w:w="853"/>
          </w:tcPr>
          <w:p>
            <w:pPr>
              <w:pStyle w:val="Compact"/>
              <w:jc w:val="center"/>
            </w:pPr>
            <w:r>
              <w:rPr>
                <w:b w:val="0"/>
              </w:rPr>
              <w:t>58.83%</w:t>
            </w:r>
          </w:p>
        </w:tc>
        <w:tc>
          <w:tcPr>
            <w:tcW w:type="dxa" w:w="668"/>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673"/>
          </w:tcPr>
          <w:p>
            <w:pPr>
              <w:pStyle w:val="Compact"/>
              <w:jc w:val="left"/>
            </w:pPr>
            <w:r>
              <w:rPr>
                <w:b w:val="0"/>
              </w:rPr>
              <w:t>0.33</w:t>
            </w:r>
          </w:p>
        </w:tc>
      </w:tr>
      <w:tr>
        <w:tc>
          <w:tcPr>
            <w:tcW w:type="dxa" w:w="1991"/>
          </w:tcPr>
          <w:p>
            <w:pPr>
              <w:pStyle w:val="Compact"/>
              <w:jc w:val="left"/>
            </w:pPr>
            <w:r>
              <w:rPr>
                <w:b w:val="0"/>
              </w:rPr>
              <w:t>gemma4:31b-mlx</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68.52%</w:t>
            </w:r>
          </w:p>
        </w:tc>
        <w:tc>
          <w:tcPr>
            <w:tcW w:type="dxa" w:w="853"/>
          </w:tcPr>
          <w:p>
            <w:pPr>
              <w:pStyle w:val="Compact"/>
              <w:jc w:val="center"/>
            </w:pPr>
            <w:r>
              <w:rPr>
                <w:b w:val="0"/>
              </w:rPr>
              <w:t>58.31%</w:t>
            </w:r>
          </w:p>
        </w:tc>
        <w:tc>
          <w:tcPr>
            <w:tcW w:type="dxa" w:w="668"/>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673"/>
          </w:tcPr>
          <w:p>
            <w:pPr>
              <w:pStyle w:val="Compact"/>
              <w:jc w:val="left"/>
            </w:pPr>
            <w:r>
              <w:rPr>
                <w:b w:val="0"/>
              </w:rPr>
              <w:t>0.74</w:t>
            </w:r>
          </w:p>
        </w:tc>
      </w:tr>
      <w:tr>
        <w:tc>
          <w:tcPr>
            <w:tcW w:type="dxa" w:w="1991"/>
          </w:tcPr>
          <w:p>
            <w:pPr>
              <w:pStyle w:val="Compact"/>
              <w:jc w:val="left"/>
            </w:pPr>
            <w:r>
              <w:rPr>
                <w:b w:val="0"/>
              </w:rPr>
              <w:t>gemma4:latest (ZS-ES)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val="0"/>
              </w:rPr>
              <w:t>68.43%</w:t>
            </w:r>
          </w:p>
        </w:tc>
        <w:tc>
          <w:tcPr>
            <w:tcW w:type="dxa" w:w="853"/>
          </w:tcPr>
          <w:p>
            <w:pPr>
              <w:pStyle w:val="Compact"/>
              <w:jc w:val="center"/>
            </w:pPr>
            <w:r>
              <w:rPr>
                <w:b w:val="0"/>
              </w:rPr>
              <w:t>60.68%</w:t>
            </w:r>
          </w:p>
        </w:tc>
        <w:tc>
          <w:tcPr>
            <w:tcW w:type="dxa" w:w="668"/>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673"/>
          </w:tcPr>
          <w:p>
            <w:pPr>
              <w:pStyle w:val="Compact"/>
              <w:jc w:val="left"/>
            </w:pPr>
            <w:r>
              <w:rPr>
                <w:b w:val="0"/>
              </w:rPr>
              <w:t>5.33</w:t>
            </w:r>
          </w:p>
        </w:tc>
      </w:tr>
      <w:tr>
        <w:tc>
          <w:tcPr>
            <w:tcW w:type="dxa" w:w="1991"/>
          </w:tcPr>
          <w:p>
            <w:pPr>
              <w:pStyle w:val="Compact"/>
              <w:jc w:val="left"/>
            </w:pPr>
            <w:r>
              <w:rPr>
                <w:b w:val="0"/>
              </w:rPr>
              <w:t>gemma4:31b-cloud</w:t>
            </w:r>
          </w:p>
        </w:tc>
        <w:tc>
          <w:tcPr>
            <w:tcW w:type="dxa" w:w="668"/>
          </w:tcPr>
          <w:p>
            <w:pPr>
              <w:pStyle w:val="Compact"/>
              <w:jc w:val="left"/>
            </w:pPr>
            <w:r>
              <w:rPr>
                <w:b w:val="0"/>
              </w:rPr>
              <w:t>Cloud</w:t>
            </w:r>
          </w:p>
        </w:tc>
        <w:tc>
          <w:tcPr>
            <w:tcW w:type="dxa" w:w="948"/>
          </w:tcPr>
          <w:p>
            <w:pPr>
              <w:pStyle w:val="Compact"/>
              <w:jc w:val="left"/>
            </w:pPr>
            <w:r>
              <w:rPr>
                <w:b w:val="0"/>
              </w:rPr>
              <w:t>31B</w:t>
            </w:r>
          </w:p>
        </w:tc>
        <w:tc>
          <w:tcPr>
            <w:tcW w:type="dxa" w:w="668"/>
          </w:tcPr>
          <w:p>
            <w:pPr>
              <w:pStyle w:val="Compact"/>
              <w:jc w:val="center"/>
            </w:pPr>
            <w:r>
              <w:rPr>
                <w:b w:val="0"/>
              </w:rPr>
              <w:t>66.99%</w:t>
            </w:r>
          </w:p>
        </w:tc>
        <w:tc>
          <w:tcPr>
            <w:tcW w:type="dxa" w:w="853"/>
          </w:tcPr>
          <w:p>
            <w:pPr>
              <w:pStyle w:val="Compact"/>
              <w:jc w:val="center"/>
            </w:pPr>
            <w:r>
              <w:rPr>
                <w:b w:val="0"/>
              </w:rPr>
              <w:t>55.46%</w:t>
            </w:r>
          </w:p>
        </w:tc>
        <w:tc>
          <w:tcPr>
            <w:tcW w:type="dxa" w:w="668"/>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673"/>
          </w:tcPr>
          <w:p>
            <w:pPr>
              <w:pStyle w:val="Compact"/>
              <w:jc w:val="left"/>
            </w:pPr>
            <w:r>
              <w:rPr>
                <w:b w:val="0"/>
              </w:rPr>
              <w:t>—</w:t>
            </w:r>
          </w:p>
        </w:tc>
      </w:tr>
      <w:tr>
        <w:tc>
          <w:tcPr>
            <w:tcW w:type="dxa" w:w="1991"/>
          </w:tcPr>
          <w:p>
            <w:pPr>
              <w:pStyle w:val="Compact"/>
              <w:jc w:val="left"/>
            </w:pPr>
            <w:r>
              <w:rPr>
                <w:b w:val="0"/>
              </w:rPr>
              <w:t>llama3.2:latest</w:t>
            </w:r>
          </w:p>
        </w:tc>
        <w:tc>
          <w:tcPr>
            <w:tcW w:type="dxa" w:w="668"/>
          </w:tcPr>
          <w:p>
            <w:pPr>
              <w:pStyle w:val="Compact"/>
              <w:jc w:val="left"/>
            </w:pPr>
            <w:r>
              <w:rPr>
                <w:b w:val="0"/>
              </w:rPr>
              <w:t>Local</w:t>
            </w:r>
          </w:p>
        </w:tc>
        <w:tc>
          <w:tcPr>
            <w:tcW w:type="dxa" w:w="948"/>
          </w:tcPr>
          <w:p>
            <w:pPr>
              <w:pStyle w:val="Compact"/>
              <w:jc w:val="left"/>
            </w:pPr>
            <w:r>
              <w:rPr>
                <w:b w:val="0"/>
              </w:rPr>
              <w:t>3B</w:t>
            </w:r>
          </w:p>
        </w:tc>
        <w:tc>
          <w:tcPr>
            <w:tcW w:type="dxa" w:w="668"/>
          </w:tcPr>
          <w:p>
            <w:pPr>
              <w:pStyle w:val="Compact"/>
              <w:jc w:val="center"/>
            </w:pPr>
            <w:r>
              <w:rPr>
                <w:b w:val="0"/>
              </w:rPr>
              <w:t>63.19%</w:t>
            </w:r>
          </w:p>
        </w:tc>
        <w:tc>
          <w:tcPr>
            <w:tcW w:type="dxa" w:w="853"/>
          </w:tcPr>
          <w:p>
            <w:pPr>
              <w:pStyle w:val="Compact"/>
              <w:jc w:val="center"/>
            </w:pPr>
            <w:r>
              <w:rPr>
                <w:b w:val="0"/>
              </w:rPr>
              <w:t>62.82%</w:t>
            </w:r>
          </w:p>
        </w:tc>
        <w:tc>
          <w:tcPr>
            <w:tcW w:type="dxa" w:w="668"/>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673"/>
          </w:tcPr>
          <w:p>
            <w:pPr>
              <w:pStyle w:val="Compact"/>
              <w:jc w:val="left"/>
            </w:pPr>
            <w:r>
              <w:rPr>
                <w:b w:val="0"/>
              </w:rPr>
              <w:t>26.44</w:t>
            </w:r>
          </w:p>
        </w:tc>
      </w:tr>
      <w:tr>
        <w:tc>
          <w:tcPr>
            <w:tcW w:type="dxa" w:w="1991"/>
          </w:tcPr>
          <w:p>
            <w:pPr>
              <w:pStyle w:val="Compact"/>
              <w:jc w:val="left"/>
            </w:pPr>
            <w:r>
              <w:rPr>
                <w:b w:val="0"/>
              </w:rPr>
              <w:t>gemma:latest</w:t>
            </w:r>
          </w:p>
        </w:tc>
        <w:tc>
          <w:tcPr>
            <w:tcW w:type="dxa" w:w="668"/>
          </w:tcPr>
          <w:p>
            <w:pPr>
              <w:pStyle w:val="Compact"/>
              <w:jc w:val="left"/>
            </w:pPr>
            <w:r>
              <w:rPr>
                <w:b w:val="0"/>
              </w:rPr>
              <w:t>Local</w:t>
            </w:r>
          </w:p>
        </w:tc>
        <w:tc>
          <w:tcPr>
            <w:tcW w:type="dxa" w:w="948"/>
          </w:tcPr>
          <w:p>
            <w:pPr>
              <w:pStyle w:val="Compact"/>
              <w:jc w:val="left"/>
            </w:pPr>
            <w:r>
              <w:rPr>
                <w:b w:val="0"/>
              </w:rPr>
              <w:t>7B</w:t>
            </w:r>
          </w:p>
        </w:tc>
        <w:tc>
          <w:tcPr>
            <w:tcW w:type="dxa" w:w="668"/>
          </w:tcPr>
          <w:p>
            <w:pPr>
              <w:pStyle w:val="Compact"/>
              <w:jc w:val="center"/>
            </w:pPr>
            <w:r>
              <w:rPr>
                <w:b w:val="0"/>
              </w:rPr>
              <w:t>62.66%</w:t>
            </w:r>
          </w:p>
        </w:tc>
        <w:tc>
          <w:tcPr>
            <w:tcW w:type="dxa" w:w="853"/>
          </w:tcPr>
          <w:p>
            <w:pPr>
              <w:pStyle w:val="Compact"/>
              <w:jc w:val="center"/>
            </w:pPr>
            <w:r>
              <w:rPr>
                <w:b w:val="0"/>
              </w:rPr>
              <w:t>58.47%</w:t>
            </w:r>
          </w:p>
        </w:tc>
        <w:tc>
          <w:tcPr>
            <w:tcW w:type="dxa" w:w="668"/>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673"/>
          </w:tcPr>
          <w:p>
            <w:pPr>
              <w:pStyle w:val="Compact"/>
              <w:jc w:val="left"/>
            </w:pPr>
            <w:r>
              <w:rPr>
                <w:b w:val="0"/>
              </w:rPr>
              <w:t>5.17</w:t>
            </w:r>
          </w:p>
        </w:tc>
      </w:tr>
      <w:tr>
        <w:tc>
          <w:tcPr>
            <w:tcW w:type="dxa" w:w="1991"/>
          </w:tcPr>
          <w:p>
            <w:pPr>
              <w:pStyle w:val="Compact"/>
              <w:jc w:val="left"/>
            </w:pPr>
            <w:r>
              <w:rPr>
                <w:b w:val="0"/>
              </w:rPr>
              <w:t>qwen2.5:14b</w:t>
            </w:r>
          </w:p>
        </w:tc>
        <w:tc>
          <w:tcPr>
            <w:tcW w:type="dxa" w:w="668"/>
          </w:tcPr>
          <w:p>
            <w:pPr>
              <w:pStyle w:val="Compact"/>
              <w:jc w:val="left"/>
            </w:pPr>
            <w:r>
              <w:rPr>
                <w:b w:val="0"/>
              </w:rPr>
              <w:t>Local</w:t>
            </w:r>
          </w:p>
        </w:tc>
        <w:tc>
          <w:tcPr>
            <w:tcW w:type="dxa" w:w="948"/>
          </w:tcPr>
          <w:p>
            <w:pPr>
              <w:pStyle w:val="Compact"/>
              <w:jc w:val="left"/>
            </w:pPr>
            <w:r>
              <w:rPr>
                <w:b w:val="0"/>
              </w:rPr>
              <w:t>14B</w:t>
            </w:r>
          </w:p>
        </w:tc>
        <w:tc>
          <w:tcPr>
            <w:tcW w:type="dxa" w:w="668"/>
          </w:tcPr>
          <w:p>
            <w:pPr>
              <w:pStyle w:val="Compact"/>
              <w:jc w:val="center"/>
            </w:pPr>
            <w:r>
              <w:rPr>
                <w:b w:val="0"/>
              </w:rPr>
              <w:t>61.06%</w:t>
            </w:r>
          </w:p>
        </w:tc>
        <w:tc>
          <w:tcPr>
            <w:tcW w:type="dxa" w:w="853"/>
          </w:tcPr>
          <w:p>
            <w:pPr>
              <w:pStyle w:val="Compact"/>
              <w:jc w:val="center"/>
            </w:pPr>
            <w:r>
              <w:rPr>
                <w:b w:val="0"/>
              </w:rPr>
              <w:t>57.60%</w:t>
            </w:r>
          </w:p>
        </w:tc>
        <w:tc>
          <w:tcPr>
            <w:tcW w:type="dxa" w:w="668"/>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673"/>
          </w:tcPr>
          <w:p>
            <w:pPr>
              <w:pStyle w:val="Compact"/>
              <w:jc w:val="left"/>
            </w:pPr>
            <w:r>
              <w:rPr>
                <w:b w:val="0"/>
              </w:rPr>
              <w:t>1.57</w:t>
            </w:r>
          </w:p>
        </w:tc>
      </w:tr>
      <w:tr>
        <w:tc>
          <w:tcPr>
            <w:tcW w:type="dxa" w:w="1991"/>
          </w:tcPr>
          <w:p>
            <w:pPr>
              <w:pStyle w:val="Compact"/>
              <w:jc w:val="left"/>
            </w:pPr>
            <w:r>
              <w:rPr>
                <w:b w:val="0"/>
              </w:rPr>
              <w:t>llama3.1:8b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60.72%</w:t>
            </w:r>
          </w:p>
        </w:tc>
        <w:tc>
          <w:tcPr>
            <w:tcW w:type="dxa" w:w="853"/>
          </w:tcPr>
          <w:p>
            <w:pPr>
              <w:pStyle w:val="Compact"/>
              <w:jc w:val="center"/>
            </w:pPr>
            <w:r>
              <w:rPr>
                <w:b w:val="0"/>
              </w:rPr>
              <w:t>53.70%</w:t>
            </w:r>
          </w:p>
        </w:tc>
        <w:tc>
          <w:tcPr>
            <w:tcW w:type="dxa" w:w="668"/>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673"/>
          </w:tcPr>
          <w:p>
            <w:pPr>
              <w:pStyle w:val="Compact"/>
              <w:jc w:val="left"/>
            </w:pPr>
            <w:r>
              <w:rPr>
                <w:b w:val="0"/>
              </w:rPr>
              <w:t>5.03</w:t>
            </w:r>
          </w:p>
        </w:tc>
      </w:tr>
      <w:tr>
        <w:tc>
          <w:tcPr>
            <w:tcW w:type="dxa" w:w="1991"/>
          </w:tcPr>
          <w:p>
            <w:pPr>
              <w:pStyle w:val="Compact"/>
              <w:jc w:val="left"/>
            </w:pPr>
            <w:r>
              <w:rPr>
                <w:b w:val="0"/>
              </w:rPr>
              <w:t>qwen3:8b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53.65%</w:t>
            </w:r>
          </w:p>
        </w:tc>
        <w:tc>
          <w:tcPr>
            <w:tcW w:type="dxa" w:w="853"/>
          </w:tcPr>
          <w:p>
            <w:pPr>
              <w:pStyle w:val="Compact"/>
              <w:jc w:val="center"/>
            </w:pPr>
            <w:r>
              <w:rPr>
                <w:b w:val="0"/>
              </w:rPr>
              <w:t>46.75%</w:t>
            </w:r>
          </w:p>
        </w:tc>
        <w:tc>
          <w:tcPr>
            <w:tcW w:type="dxa" w:w="668"/>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673"/>
          </w:tcPr>
          <w:p>
            <w:pPr>
              <w:pStyle w:val="Compact"/>
              <w:jc w:val="left"/>
            </w:pPr>
            <w:r>
              <w:rPr>
                <w:b w:val="0"/>
              </w:rPr>
              <w:t>4.56</w:t>
            </w:r>
          </w:p>
        </w:tc>
      </w:tr>
      <w:tr>
        <w:tc>
          <w:tcPr>
            <w:tcW w:type="dxa" w:w="1991"/>
          </w:tcPr>
          <w:p>
            <w:pPr>
              <w:pStyle w:val="Compact"/>
              <w:jc w:val="left"/>
            </w:pPr>
            <w:r>
              <w:rPr>
                <w:b w:val="0"/>
              </w:rPr>
              <w:t>mistral-nemo:latest</w:t>
            </w:r>
          </w:p>
        </w:tc>
        <w:tc>
          <w:tcPr>
            <w:tcW w:type="dxa" w:w="668"/>
          </w:tcPr>
          <w:p>
            <w:pPr>
              <w:pStyle w:val="Compact"/>
              <w:jc w:val="left"/>
            </w:pPr>
            <w:r>
              <w:rPr>
                <w:b w:val="0"/>
              </w:rPr>
              <w:t>Local</w:t>
            </w:r>
          </w:p>
        </w:tc>
        <w:tc>
          <w:tcPr>
            <w:tcW w:type="dxa" w:w="948"/>
          </w:tcPr>
          <w:p>
            <w:pPr>
              <w:pStyle w:val="Compact"/>
              <w:jc w:val="left"/>
            </w:pPr>
            <w:r>
              <w:rPr>
                <w:b w:val="0"/>
              </w:rPr>
              <w:t>12B</w:t>
            </w:r>
          </w:p>
        </w:tc>
        <w:tc>
          <w:tcPr>
            <w:tcW w:type="dxa" w:w="668"/>
          </w:tcPr>
          <w:p>
            <w:pPr>
              <w:pStyle w:val="Compact"/>
              <w:jc w:val="center"/>
            </w:pPr>
            <w:r>
              <w:rPr>
                <w:b w:val="0"/>
              </w:rPr>
              <w:t>53.07%</w:t>
            </w:r>
          </w:p>
        </w:tc>
        <w:tc>
          <w:tcPr>
            <w:tcW w:type="dxa" w:w="853"/>
          </w:tcPr>
          <w:p>
            <w:pPr>
              <w:pStyle w:val="Compact"/>
              <w:jc w:val="center"/>
            </w:pPr>
            <w:r>
              <w:rPr>
                <w:b w:val="0"/>
              </w:rPr>
              <w:t>58.13%</w:t>
            </w:r>
          </w:p>
        </w:tc>
        <w:tc>
          <w:tcPr>
            <w:tcW w:type="dxa" w:w="668"/>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673"/>
          </w:tcPr>
          <w:p>
            <w:pPr>
              <w:pStyle w:val="Compact"/>
              <w:jc w:val="left"/>
            </w:pPr>
            <w:r>
              <w:rPr>
                <w:b w:val="0"/>
              </w:rPr>
              <w:t>2.36</w:t>
            </w:r>
          </w:p>
        </w:tc>
      </w:tr>
      <w:tr>
        <w:tc>
          <w:tcPr>
            <w:tcW w:type="dxa" w:w="1991"/>
          </w:tcPr>
          <w:p>
            <w:pPr>
              <w:pStyle w:val="Compact"/>
              <w:jc w:val="left"/>
            </w:pPr>
            <w:r>
              <w:rPr>
                <w:b w:val="0"/>
              </w:rPr>
              <w:t>nemotron-mini:4b</w:t>
            </w:r>
          </w:p>
        </w:tc>
        <w:tc>
          <w:tcPr>
            <w:tcW w:type="dxa" w:w="668"/>
          </w:tcPr>
          <w:p>
            <w:pPr>
              <w:pStyle w:val="Compact"/>
              <w:jc w:val="left"/>
            </w:pPr>
            <w:r>
              <w:rPr>
                <w:b w:val="0"/>
              </w:rPr>
              <w:t>Local</w:t>
            </w:r>
          </w:p>
        </w:tc>
        <w:tc>
          <w:tcPr>
            <w:tcW w:type="dxa" w:w="948"/>
          </w:tcPr>
          <w:p>
            <w:pPr>
              <w:pStyle w:val="Compact"/>
              <w:jc w:val="left"/>
            </w:pPr>
            <w:r>
              <w:rPr>
                <w:b w:val="0"/>
              </w:rPr>
              <w:t>4B</w:t>
            </w:r>
          </w:p>
        </w:tc>
        <w:tc>
          <w:tcPr>
            <w:tcW w:type="dxa" w:w="668"/>
          </w:tcPr>
          <w:p>
            <w:pPr>
              <w:pStyle w:val="Compact"/>
              <w:jc w:val="center"/>
            </w:pPr>
            <w:r>
              <w:rPr>
                <w:b w:val="0"/>
              </w:rPr>
              <w:t>35.33%</w:t>
            </w:r>
          </w:p>
        </w:tc>
        <w:tc>
          <w:tcPr>
            <w:tcW w:type="dxa" w:w="853"/>
          </w:tcPr>
          <w:p>
            <w:pPr>
              <w:pStyle w:val="Compact"/>
              <w:jc w:val="center"/>
            </w:pPr>
            <w:r>
              <w:rPr>
                <w:b w:val="0"/>
              </w:rPr>
              <w:t>44.37%</w:t>
            </w:r>
          </w:p>
        </w:tc>
        <w:tc>
          <w:tcPr>
            <w:tcW w:type="dxa" w:w="668"/>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673"/>
          </w:tcPr>
          <w:p>
            <w:pPr>
              <w:pStyle w:val="Compact"/>
              <w:jc w:val="left"/>
            </w:pPr>
            <w:r>
              <w:rPr>
                <w:b w:val="0"/>
              </w:rPr>
              <w:t>17.08</w:t>
            </w:r>
          </w:p>
        </w:tc>
      </w:tr>
      <w:tr>
        <w:tc>
          <w:tcPr>
            <w:tcW w:type="dxa" w:w="1991"/>
          </w:tcPr>
          <w:p>
            <w:pPr>
              <w:pStyle w:val="Compact"/>
              <w:jc w:val="left"/>
            </w:pPr>
            <w:r>
              <w:rPr>
                <w:b w:val="0"/>
              </w:rPr>
              <w:t>deepseek-r1:1.5b</w:t>
            </w:r>
          </w:p>
        </w:tc>
        <w:tc>
          <w:tcPr>
            <w:tcW w:type="dxa" w:w="668"/>
          </w:tcPr>
          <w:p>
            <w:pPr>
              <w:pStyle w:val="Compact"/>
              <w:jc w:val="left"/>
            </w:pPr>
            <w:r>
              <w:rPr>
                <w:b w:val="0"/>
              </w:rPr>
              <w:t>Local</w:t>
            </w:r>
          </w:p>
        </w:tc>
        <w:tc>
          <w:tcPr>
            <w:tcW w:type="dxa" w:w="948"/>
          </w:tcPr>
          <w:p>
            <w:pPr>
              <w:pStyle w:val="Compact"/>
              <w:jc w:val="left"/>
            </w:pPr>
            <w:r>
              <w:rPr>
                <w:b w:val="0"/>
              </w:rPr>
              <w:t>1.5B</w:t>
            </w:r>
          </w:p>
        </w:tc>
        <w:tc>
          <w:tcPr>
            <w:tcW w:type="dxa" w:w="668"/>
          </w:tcPr>
          <w:p>
            <w:pPr>
              <w:pStyle w:val="Compact"/>
              <w:jc w:val="center"/>
            </w:pPr>
            <w:r>
              <w:rPr>
                <w:b w:val="0"/>
              </w:rPr>
              <w:t>27.65%</w:t>
            </w:r>
          </w:p>
        </w:tc>
        <w:tc>
          <w:tcPr>
            <w:tcW w:type="dxa" w:w="853"/>
          </w:tcPr>
          <w:p>
            <w:pPr>
              <w:pStyle w:val="Compact"/>
              <w:jc w:val="center"/>
            </w:pPr>
            <w:r>
              <w:rPr>
                <w:b w:val="0"/>
              </w:rPr>
              <w:t>39.49%</w:t>
            </w:r>
          </w:p>
        </w:tc>
        <w:tc>
          <w:tcPr>
            <w:tcW w:type="dxa" w:w="668"/>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673"/>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el índice Tok/s/B sí lo es. Quedan fuera de la tabla los modelos excluidos del estudio (</w:t>
      </w:r>
      <w:r>
        <w:t>nuextract:latest</w:t>
      </w:r>
      <w:r>
        <w:t xml:space="preserve">, </w:t>
      </w:r>
      <w:r>
        <w:t>gemini-3.1-flash-lite</w:t>
      </w:r>
      <w:r>
        <w:t xml:space="preserve">, </w:t>
      </w:r>
      <w:r>
        <w:t>minimax-m3</w:t>
      </w:r>
      <w:r>
        <w:t>).</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gemma4:31b lidera en Recall entre los locales (86.80%) con una tasa de alucinación de 0.16%, y su contraparte cloud alcanza un Recall equivalente (86.88%).</w:t>
      </w:r>
    </w:p>
    <w:p>
      <w:pPr>
        <w:numPr>
          <w:ilvl w:val="0"/>
          <w:numId w:val="0"/>
        </w:numPr>
        <w:pStyle w:val="p1a"/>
      </w:pPr>
      <w:r>
        <w:rPr>
          <w:b/>
        </w:rPr>
        <w:t>Hallazgo 3:</w:t>
      </w:r>
      <w:r>
        <w:t xml:space="preserve"> deepseek-r1:1.5b debe descartarse para producción: F1 de 27.65% y Recall de sólo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tablecaption"/>
      </w:pPr>
      <w:r>
        <w:t>Tabla 7. Análisis de Variantes de Prompts (gemma4:latest, N=15)</w:t>
      </w:r>
    </w:p>
    <w:tbl>
      <w:tblPr>
        <w:tblStyle w:val="Table"/>
        <w:tblW w:type="dxa" w:w="8838"/>
        <w:tblLayout w:type="fixed"/>
        <w:tblLook w:firstRow="1" w:lastRow="0" w:firstColumn="0" w:lastColumn="0" w:noHBand="0" w:noVBand="0" w:val="0020"/>
      </w:tblPr>
      <w:tblGrid>
        <w:gridCol w:w="2687"/>
        <w:gridCol w:w="686"/>
        <w:gridCol w:w="895"/>
        <w:gridCol w:w="686"/>
        <w:gridCol w:w="1293"/>
        <w:gridCol w:w="1194"/>
        <w:gridCol w:w="1397"/>
      </w:tblGrid>
      <w:tr>
        <w:trPr>
          <w:tblHeader w:val="on"/>
        </w:trPr>
        <w:tc>
          <w:tcPr>
            <w:tcW w:type="dxa" w:w="2687"/>
          </w:tcPr>
          <w:p>
            <w:pPr>
              <w:pStyle w:val="Compact"/>
              <w:jc w:val="left"/>
            </w:pPr>
            <w:r>
              <w:rPr>
                <w:b/>
              </w:rPr>
              <w:t>Configuración</w:t>
            </w:r>
          </w:p>
        </w:tc>
        <w:tc>
          <w:tcPr>
            <w:tcW w:type="dxa" w:w="686"/>
          </w:tcPr>
          <w:p>
            <w:pPr>
              <w:pStyle w:val="Compact"/>
              <w:jc w:val="left"/>
            </w:pPr>
            <w:r>
              <w:rPr>
                <w:b/>
              </w:rPr>
              <w:t>F1</w:t>
            </w:r>
          </w:p>
        </w:tc>
        <w:tc>
          <w:tcPr>
            <w:tcW w:type="dxa" w:w="895"/>
          </w:tcPr>
          <w:p>
            <w:pPr>
              <w:pStyle w:val="Compact"/>
              <w:jc w:val="left"/>
            </w:pPr>
            <w:r>
              <w:rPr>
                <w:b/>
              </w:rPr>
              <w:t>Precisión</w:t>
            </w:r>
          </w:p>
        </w:tc>
        <w:tc>
          <w:tcPr>
            <w:tcW w:type="dxa" w:w="686"/>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687"/>
          </w:tcPr>
          <w:p>
            <w:pPr>
              <w:pStyle w:val="Compact"/>
              <w:jc w:val="left"/>
            </w:pPr>
            <w:r>
              <w:rPr>
                <w:b w:val="0"/>
              </w:rPr>
              <w:t>Zero-shot Inglés (Baseline)</w:t>
            </w:r>
          </w:p>
        </w:tc>
        <w:tc>
          <w:tcPr>
            <w:tcW w:type="dxa" w:w="686"/>
          </w:tcPr>
          <w:p>
            <w:pPr>
              <w:pStyle w:val="Compact"/>
              <w:jc w:val="left"/>
            </w:pPr>
            <w:r>
              <w:rPr>
                <w:b w:val="0"/>
              </w:rPr>
              <w:t>64.05%</w:t>
            </w:r>
          </w:p>
        </w:tc>
        <w:tc>
          <w:tcPr>
            <w:tcW w:type="dxa" w:w="895"/>
          </w:tcPr>
          <w:p>
            <w:pPr>
              <w:pStyle w:val="Compact"/>
              <w:jc w:val="left"/>
            </w:pPr>
            <w:r>
              <w:rPr>
                <w:b w:val="0"/>
              </w:rPr>
              <w:t>57.69%</w:t>
            </w:r>
          </w:p>
        </w:tc>
        <w:tc>
          <w:tcPr>
            <w:tcW w:type="dxa" w:w="686"/>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687"/>
          </w:tcPr>
          <w:p>
            <w:pPr>
              <w:pStyle w:val="Compact"/>
              <w:jc w:val="left"/>
            </w:pPr>
            <w:r>
              <w:rPr>
                <w:b w:val="0"/>
              </w:rPr>
              <w:t>Zero-shot Español</w:t>
            </w:r>
          </w:p>
        </w:tc>
        <w:tc>
          <w:tcPr>
            <w:tcW w:type="dxa" w:w="686"/>
          </w:tcPr>
          <w:p>
            <w:pPr>
              <w:pStyle w:val="Compact"/>
              <w:jc w:val="left"/>
            </w:pPr>
            <w:r>
              <w:rPr>
                <w:b w:val="0"/>
              </w:rPr>
              <w:t>68.43%</w:t>
            </w:r>
          </w:p>
        </w:tc>
        <w:tc>
          <w:tcPr>
            <w:tcW w:type="dxa" w:w="895"/>
          </w:tcPr>
          <w:p>
            <w:pPr>
              <w:pStyle w:val="Compact"/>
              <w:jc w:val="left"/>
            </w:pPr>
            <w:r>
              <w:rPr>
                <w:b w:val="0"/>
              </w:rPr>
              <w:t>60.68%</w:t>
            </w:r>
          </w:p>
        </w:tc>
        <w:tc>
          <w:tcPr>
            <w:tcW w:type="dxa" w:w="686"/>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687"/>
          </w:tcPr>
          <w:p>
            <w:pPr>
              <w:pStyle w:val="Compact"/>
              <w:jc w:val="left"/>
            </w:pPr>
            <w:r>
              <w:rPr>
                <w:b w:val="0"/>
              </w:rPr>
              <w:t>Few-shot Inglés</w:t>
            </w:r>
          </w:p>
        </w:tc>
        <w:tc>
          <w:tcPr>
            <w:tcW w:type="dxa" w:w="686"/>
          </w:tcPr>
          <w:p>
            <w:pPr>
              <w:pStyle w:val="Compact"/>
              <w:jc w:val="left"/>
            </w:pPr>
            <w:r>
              <w:rPr>
                <w:b w:val="0"/>
              </w:rPr>
              <w:t>63.32%</w:t>
            </w:r>
          </w:p>
        </w:tc>
        <w:tc>
          <w:tcPr>
            <w:tcW w:type="dxa" w:w="895"/>
          </w:tcPr>
          <w:p>
            <w:pPr>
              <w:pStyle w:val="Compact"/>
              <w:jc w:val="left"/>
            </w:pPr>
            <w:r>
              <w:rPr>
                <w:b w:val="0"/>
              </w:rPr>
              <w:t>55.81%</w:t>
            </w:r>
          </w:p>
        </w:tc>
        <w:tc>
          <w:tcPr>
            <w:tcW w:type="dxa" w:w="686"/>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−0.73 pp</w:t>
            </w:r>
          </w:p>
        </w:tc>
      </w:tr>
      <w:tr>
        <w:tc>
          <w:tcPr>
            <w:tcW w:type="dxa" w:w="2687"/>
          </w:tcPr>
          <w:p>
            <w:pPr>
              <w:pStyle w:val="Compact"/>
              <w:jc w:val="left"/>
            </w:pPr>
            <w:r>
              <w:rPr>
                <w:b w:val="0"/>
              </w:rPr>
              <w:t>Few-shot Español</w:t>
            </w:r>
          </w:p>
        </w:tc>
        <w:tc>
          <w:tcPr>
            <w:tcW w:type="dxa" w:w="686"/>
          </w:tcPr>
          <w:p>
            <w:pPr>
              <w:pStyle w:val="Compact"/>
              <w:jc w:val="left"/>
            </w:pPr>
            <w:r>
              <w:rPr>
                <w:b/>
              </w:rPr>
              <w:t>74.44%</w:t>
            </w:r>
          </w:p>
        </w:tc>
        <w:tc>
          <w:tcPr>
            <w:tcW w:type="dxa" w:w="895"/>
          </w:tcPr>
          <w:p>
            <w:pPr>
              <w:pStyle w:val="Compact"/>
              <w:jc w:val="left"/>
            </w:pPr>
            <w:r>
              <w:rPr>
                <w:b/>
              </w:rPr>
              <w:t>66.78%</w:t>
            </w:r>
          </w:p>
        </w:tc>
        <w:tc>
          <w:tcPr>
            <w:tcW w:type="dxa" w:w="686"/>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+11.12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w:t>
      </w:r>
    </w:p>
    <w:p>
      <w:pPr>
        <w:numPr>
          <w:ilvl w:val="0"/>
          <w:numId w:val="0"/>
        </w:numPr>
        <w:pStyle w:val="p1a"/>
      </w:pPr>
      <w:r>
        <w:rPr>
          <w:b/>
        </w:rPr>
        <w:t>Hallazgo 4:</w:t>
      </w:r>
      <w:r>
        <w:t xml:space="preserve"> ninguno de los dos factores basta por separado —la localización al español aporta +4.38 pp y los ejemplos </w:t>
      </w:r>
      <w:r>
        <w:rPr>
          <w:i/>
        </w:rPr>
        <w:t>few-shot</w:t>
      </w:r>
      <w:r>
        <w:t xml:space="preserve"> en inglés restan 0.73 pp—, pero </w:t>
      </w:r>
      <w:r>
        <w:rPr>
          <w:b/>
        </w:rPr>
        <w:t>su combinación alcanza +11.12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8. Validación Estadística sobre el Corpus del Dominio (N=30)</w:t>
      </w:r>
    </w:p>
    <w:tbl>
      <w:tblPr>
        <w:tblStyle w:val="Table"/>
        <w:tblW w:type="dxa" w:w="8838"/>
        <w:tblLayout w:type="fixed"/>
        <w:tblLook w:firstRow="1" w:lastRow="0" w:firstColumn="0" w:lastColumn="0" w:noHBand="0" w:noVBand="0" w:val="0020"/>
      </w:tblPr>
      <w:tblGrid>
        <w:gridCol w:w="2028"/>
        <w:gridCol w:w="1014"/>
        <w:gridCol w:w="1303"/>
        <w:gridCol w:w="1014"/>
        <w:gridCol w:w="2607"/>
        <w:gridCol w:w="872"/>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607"/>
          </w:tcPr>
          <w:p>
            <w:pPr>
              <w:pStyle w:val="Compact"/>
              <w:jc w:val="center"/>
            </w:pPr>
            <w:r>
              <w:rPr>
                <w:b/>
              </w:rPr>
              <w:t>IC 95 % del F1</w:t>
            </w:r>
          </w:p>
        </w:tc>
        <w:tc>
          <w:tcPr>
            <w:tcW w:type="dxa" w:w="872"/>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607"/>
          </w:tcPr>
          <w:p>
            <w:pPr>
              <w:pStyle w:val="Compact"/>
              <w:jc w:val="center"/>
            </w:pPr>
            <w:r>
              <w:rPr>
                <w:b w:val="0"/>
              </w:rPr>
              <w:t>[74.22 %, 86.92 %]</w:t>
            </w:r>
          </w:p>
        </w:tc>
        <w:tc>
          <w:tcPr>
            <w:tcW w:type="dxa" w:w="872"/>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607"/>
          </w:tcPr>
          <w:p>
            <w:pPr>
              <w:pStyle w:val="Compact"/>
              <w:jc w:val="center"/>
            </w:pPr>
            <w:r>
              <w:rPr>
                <w:b w:val="0"/>
              </w:rPr>
              <w:t>[72.59 %, 84.52 %]</w:t>
            </w:r>
          </w:p>
        </w:tc>
        <w:tc>
          <w:tcPr>
            <w:tcW w:type="dxa" w:w="872"/>
          </w:tcPr>
          <w:p>
            <w:pPr>
              <w:pStyle w:val="Compact"/>
              <w:jc w:val="left"/>
            </w:pPr>
            <w:r>
              <w:rPr>
                <w:b w:val="0"/>
              </w:rPr>
              <w:t>0</w:t>
            </w:r>
          </w:p>
        </w:tc>
      </w:tr>
    </w:tbl>
    <w:p>
      <w:pPr>
        <w:numPr>
          <w:ilvl w:val="0"/>
          <w:numId w:val="0"/>
        </w:numPr>
        <w:pStyle w:val="p1a"/>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w:t>
      </w:r>
      <w:r>
        <w:rPr>
          <w:b/>
        </w:rPr>
        <w:t>F = 0,2235 con p = 0,6382</w:t>
      </w:r>
      <w:r>
        <w:t>,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p1a"/>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p1a"/>
      </w:pPr>
      <w:r>
        <w:t xml:space="preserve">Conviene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w:t>
      </w:r>
      <w:r>
        <w:rPr>
          <w:b/>
        </w:rPr>
        <w:t>la precisión coincide hasta el cuarto decimal (73,34 %) y el F1 difiere en menos de medio punto</w:t>
      </w:r>
      <w:r>
        <w:t>,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p1a"/>
      </w:pPr>
      <w:r>
        <w:t xml:space="preserve">Sobre el corpus real N=120 descrito en §4.1.3 se ejecutó el mismo protocolo (ANOVA de una vía + Tukey HSD) para el </w:t>
      </w:r>
      <w:r>
        <w:rPr>
          <w:b/>
        </w:rPr>
        <w:t>estudio completo de 13 modelos</w:t>
      </w:r>
      <w:r>
        <w:t xml:space="preserve">,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9. Validación Estadística sobre Corpus Real N=120 (estudio completo)</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−0.53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p1a"/>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§5.3.1–5.3.4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p1a"/>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p1a"/>
      </w:pPr>
      <w:r>
        <w:rPr>
          <w:b/>
        </w:rPr>
        <w:t>ANOVA de una vía (α = 0.05), N=120 por grupo:</w:t>
      </w:r>
    </w:p>
    <w:p>
      <w:pPr>
        <w:numPr>
          <w:ilvl w:val="0"/>
          <w:numId w:val="0"/>
        </w:numPr>
        <w:pStyle w:val="bulletitem"/>
      </w:pPr>
      <w:r>
        <w:rPr>
          <w:b/>
        </w:rPr>
        <w:t>F-Statistic:</w:t>
      </w:r>
      <w:r>
        <w:t xml:space="preserve"> 38.2222  ·  </w:t>
      </w:r>
      <w:r>
        <w:rPr>
          <w:b/>
        </w:rPr>
        <w:t>p-Value:</w:t>
      </w:r>
      <w:r>
        <w:t xml:space="preserve"> 3.4453 × 10⁻¹⁶⁰ (p &lt; 0.05 → se rechaza H₀)</w:t>
      </w:r>
    </w:p>
    <w:p>
      <w:pPr>
        <w:numPr>
          <w:ilvl w:val="0"/>
          <w:numId w:val="0"/>
        </w:numPr>
        <w:pStyle w:val="bulletitem"/>
      </w:pPr>
      <w:r>
        <w:rPr>
          <w:b/>
        </w:rPr>
        <w:t>Conclusión:</w:t>
      </w:r>
      <w:r>
        <w:t xml:space="preserve"> la diferencia de desempeño entre modelos/modos es estadísticamente significativa, con una potencia muy superior a la del corpus N=30 (F=0.141, no significativo).</w:t>
      </w:r>
    </w:p>
    <w:p>
      <w:pPr>
        <w:numPr>
          <w:ilvl w:val="0"/>
          <w:numId w:val="0"/>
        </w:numPr>
        <w:pStyle w:val="bulletitem"/>
      </w:pPr>
      <w:r>
        <w:rPr>
          <w:b/>
        </w:rPr>
        <w:t>Tukey HSD (post-hoc):</w:t>
      </w:r>
      <w:r>
        <w:t xml:space="preserve"> 172 de 325 comparaciones por pares resultan significativas. Al contrastar </w:t>
      </w:r>
      <w:r>
        <w:rPr>
          <w:i/>
        </w:rPr>
        <w:t>baseline</w:t>
      </w:r>
      <w:r>
        <w:t xml:space="preserve"> contra </w:t>
      </w:r>
      <w:r>
        <w:rPr>
          <w:i/>
        </w:rPr>
        <w:t>KB RAG</w:t>
      </w:r>
      <w:r>
        <w:t xml:space="preserve"> </w:t>
      </w:r>
      <w:r>
        <w:rPr>
          <w:b/>
        </w:rPr>
        <w:t>dentro de cada modelo</w:t>
      </w:r>
      <w:r>
        <w:t xml:space="preserve">, la mejora solo alcanza significancia en </w:t>
      </w:r>
      <w:r>
        <w:t>nemotron-mini:4b</w:t>
      </w:r>
      <w:r>
        <w:t xml:space="preserve"> (+14.52 pp, p&lt;0.001) y </w:t>
      </w:r>
      <w:r>
        <w:t>llama3.2:latest</w:t>
      </w:r>
      <w:r>
        <w:t xml:space="preserve"> (+10.82 pp, p=0.007); en los once modelos restantes la diferencia no supera la corrección por comparaciones múltiples.</w:t>
      </w:r>
    </w:p>
    <w:p>
      <w:pPr>
        <w:numPr>
          <w:ilvl w:val="0"/>
          <w:numId w:val="0"/>
        </w:numPr>
        <w:pStyle w:val="p1a"/>
      </w:pPr>
      <w:r>
        <w:rPr>
          <w:b/>
        </w:rPr>
        <w:t>Interpretación.</w:t>
      </w:r>
      <w:r>
        <w:t xml:space="preserve"> El beneficio del KB RAG es </w:t>
      </w:r>
      <w:r>
        <w:rPr>
          <w:b/>
        </w:rPr>
        <w:t>inversamente proporcional a la capacidad del modelo</w:t>
      </w:r>
      <w:r>
        <w:t xml:space="preserve">: aporta de forma estadísticamente significativa en los dos modelos más débiles del estudio, es positivo pero no concluyente en la franja intermedia, y resulta nulo o adverso en los modelos de mayor capacidad (−0.53 pp y −0.18 pp en los dos de 31B), que ya siguen correctamente las instrucciones sin contexto adicional. </w:t>
      </w:r>
      <w:r>
        <w:rPr>
          <w:b/>
        </w:rPr>
        <w:t>Diez de los trece modelos obtienen una mejora</w:t>
      </w:r>
      <w:r>
        <w:t>, aunque solo en dos alcance significancia estadística.</w:t>
      </w:r>
    </w:p>
    <w:p>
      <w:pPr>
        <w:numPr>
          <w:ilvl w:val="0"/>
          <w:numId w:val="0"/>
        </w:numPr>
        <w:pStyle w:val="p1a"/>
      </w:pPr>
      <w:r>
        <w:rPr>
          <w:b/>
        </w:rPr>
        <w:t>Lectura conjunta con el corpus N=30 (§5.3):</w:t>
      </w:r>
      <w:r>
        <w:t xml:space="preserve">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 NER</w:t>
      </w:r>
    </w:p>
    <w:p>
      <w:pPr>
        <w:numPr>
          <w:ilvl w:val="0"/>
          <w:numId w:val="0"/>
        </w:numPr>
        <w:pStyle w:val="p1a"/>
      </w:pPr>
      <w:r>
        <w:t>El análisis cualitativo de las extracciones identifica tres categorías de error recurrentes:</w:t>
      </w:r>
    </w:p>
    <w:p>
      <w:pPr>
        <w:numPr>
          <w:ilvl w:val="0"/>
          <w:numId w:val="0"/>
        </w:numPr>
        <w:pStyle w:val="numbereditem"/>
      </w:pPr>
      <w:r>
        <w:rPr>
          <w:b/>
        </w:rPr>
        <w:t>Boundary Errors (Errores de Límite):</w:t>
      </w:r>
      <w:r>
        <w:t xml:space="preserve"> El modelo incorpora preposiciones o aposiciones descriptivas dentro del span de la entidad. Ejemplo: extrae </w:t>
      </w:r>
      <w:r>
        <w:t>"Isabel dos Santos, hija del expresidente"</w:t>
      </w:r>
      <w:r>
        <w:t xml:space="preserve"> en lugar de </w:t>
      </w:r>
      <w:r>
        <w:t>"Isabel dos Santos"</w:t>
      </w:r>
      <w:r>
        <w:t>.</w:t>
      </w:r>
    </w:p>
    <w:p>
      <w:pPr>
        <w:numPr>
          <w:ilvl w:val="0"/>
          <w:numId w:val="0"/>
        </w:numPr>
        <w:pStyle w:val="numbereditem"/>
      </w:pPr>
      <w:r>
        <w:rPr>
          <w:b/>
        </w:rPr>
        <w:t>Type Confusion (Confusión de Tipo):</w:t>
      </w:r>
      <w:r>
        <w:t xml:space="preserve"> El modelo clasifica una organización como localización. Ejemplo: </w:t>
      </w:r>
      <w:r>
        <w:t>"Sonangol"</w:t>
      </w:r>
      <w:r>
        <w:t xml:space="preserve"> (empresa petrolera estatal angoleña) clasificada como LOC en lugar de ORG.</w:t>
      </w:r>
    </w:p>
    <w:p>
      <w:pPr>
        <w:numPr>
          <w:ilvl w:val="0"/>
          <w:numId w:val="0"/>
        </w:numPr>
        <w:pStyle w:val="numbereditem"/>
      </w:pPr>
      <w:r>
        <w:rPr>
          <w:b/>
        </w:rPr>
        <w:t>Extrinsic Hallucinations (Alucinaciones Extrínsecas):</w:t>
      </w:r>
      <w:r>
        <w:t xml:space="preserve"> El modelo genera entidades de su memoria paramétrica que no están presentes en el texto. Mitigadas efectivamente al 0.0% en N=30 mediante delimitadores estrictos de JSON.</w:t>
      </w:r>
    </w:p>
    <w:p>
      <w:pPr>
        <w:numPr>
          <w:ilvl w:val="0"/>
          <w:numId w:val="0"/>
        </w:numPr>
        <w:pStyle w:val="heading2"/>
      </w:pPr>
      <w:r>
        <w:t>5.5 Análisis de Eficiencia en Hardware Soberano</w:t>
      </w:r>
    </w:p>
    <w:p>
      <w:pPr>
        <w:numPr>
          <w:ilvl w:val="0"/>
          <w:numId w:val="0"/>
        </w:numPr>
        <w:pStyle w:val="tablecaption"/>
      </w:pPr>
      <w:r>
        <w:t>Tabla 10. Análisis de Eficiencia en Hardware Soberano</w:t>
      </w:r>
    </w:p>
    <w:tbl>
      <w:tblPr>
        <w:tblStyle w:val="Table"/>
        <w:tblW w:type="dxa" w:w="8838"/>
        <w:tblLayout w:type="fixed"/>
        <w:tblLook w:firstRow="1" w:lastRow="0" w:firstColumn="0" w:lastColumn="0" w:noHBand="0" w:noVBand="0" w:val="0020"/>
      </w:tblPr>
      <w:tblGrid>
        <w:gridCol w:w="1753"/>
        <w:gridCol w:w="1127"/>
        <w:gridCol w:w="694"/>
        <w:gridCol w:w="1753"/>
        <w:gridCol w:w="1753"/>
        <w:gridCol w:w="1758"/>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694"/>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758"/>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694"/>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758"/>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694"/>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758"/>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694"/>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758"/>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w:t>
      </w:r>
    </w:p>
    <w:p>
      <w:pPr>
        <w:numPr>
          <w:ilvl w:val="0"/>
          <w:numId w:val="0"/>
        </w:numPr>
        <w:pStyle w:val="p1a"/>
      </w:pPr>
      <w:r>
        <w:t xml:space="preserve">El costo por artículo en el sistema soberano local se estima en USD 0.052, versus USD 8.75 en revisión manual, representando una reducción del </w:t>
      </w:r>
      <w:r>
        <w:rPr>
          <w:b/>
        </w:rPr>
        <w:t>99.4%</w:t>
      </w:r>
      <w:r>
        <w:t xml:space="preserve"> en costo unitario.</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y anteponía al </w:t>
      </w:r>
      <w:r>
        <w:rPr>
          <w:i/>
        </w:rPr>
        <w:t>prompt</w:t>
      </w:r>
      <w:r>
        <w:t xml:space="preserve"> los más próximos al artículo según similitud vectorial. El resultado fue el contrario del esperado: sobre el corpus N=120, siete de los quince modelos evaluados empeoraron al activarlo, y entre ellos los de mejor desempeño base.</w:t>
      </w:r>
    </w:p>
    <w:p>
      <w:pPr>
        <w:numPr>
          <w:ilvl w:val="0"/>
          <w:numId w:val="0"/>
        </w:numPr>
        <w:pStyle w:val="p1a"/>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p1a"/>
      </w:pPr>
      <w:r>
        <w:t xml:space="preserve">La segunda versión invierte la naturaleza de lo recuperado. En lugar de entidades, la base de conocimientos almacena </w:t>
      </w:r>
      <w:r>
        <w:rPr>
          <w:b/>
        </w:rPr>
        <w:t>criterios</w:t>
      </w:r>
      <w:r>
        <w:t xml:space="preserve">: guías tipológicas por dominio —sanciones financieras, política, deportes, empresas—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p1a"/>
      </w:pPr>
      <w:r>
        <w:t xml:space="preserve">Los resultados de esta segunda versión sobre el corpus completo se recogen en la tabla de §5.3.5, que compara los trece modelos del estudio en ambos modos. Su lectura confirma que el cambio de estrategia revierte la degradación —diez de los trece modelos mejoran— y revela un patrón que la primera versión no permitía observar: el beneficio </w:t>
      </w:r>
      <w:r>
        <w:rPr>
          <w:b/>
        </w:rPr>
        <w:t>decrece conforme aumenta la capacidad del modelo</w:t>
      </w:r>
      <w:r>
        <w:t>,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 xml:space="preserve">La hipótesis fijaba un F1 igual o superior al 70 % como umbral de viabilidad. El umbral </w:t>
      </w:r>
      <w:r>
        <w:rPr>
          <w:b/>
        </w:rPr>
        <w:t>se alcanza sobre el corpus del dominio</w:t>
      </w:r>
      <w:r>
        <w:t xml:space="preserve"> —</w:t>
      </w:r>
      <w:r>
        <w:t>gemma4:31b-mlx</w:t>
      </w:r>
      <w:r>
        <w:t xml:space="preserve"> obtiene 80,57 % con intervalo de confianza al 95 % de [74,22 %, 86,92 %] y ninguna extracción fallida sobre N=30— y </w:t>
      </w:r>
      <w:r>
        <w:rPr>
          <w:b/>
        </w:rPr>
        <w:t>no se alcanza sobre el corpus periodístico general</w:t>
      </w:r>
      <w:r>
        <w:t>, cuyo mejor resultado local es 59,25 % (</w:t>
      </w:r>
      <w:r>
        <w:t>gemma4:31b-mlx</w:t>
      </w:r>
      <w:r>
        <w:t xml:space="preserve">) sobre N=120. La hipótesis queda por tanto </w:t>
      </w:r>
      <w:r>
        <w:rPr>
          <w:b/>
        </w:rPr>
        <w:t>confirmada para el dominio específico de sanciones financieras y no confirmada para corpus periodísticos heterogéneos</w:t>
      </w:r>
      <w:r>
        <w:t>.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p1a"/>
      </w:pPr>
      <w:r>
        <w:t xml:space="preserve">Tres factores explican la distribución de resultados observada. El primero es </w:t>
      </w:r>
      <w:r>
        <w:rPr>
          <w:b/>
        </w:rPr>
        <w:t>el idioma del prompt y de sus ejemplos</w:t>
      </w:r>
      <w:r>
        <w:t>. Redactar ambos en español aporta 11,12 puntos de F1 sin cambiar de modelo, mejora que ninguno de los dos factores consigue por separado: traducir solo el prompt aporta 4,38 puntos y añadir ejemplos en inglés resta 0,73. La interacción respalda la interpretación de que el modelo procesa con mayor fluidez la estructura sintáctica de una noticia en español cuando la instrucción y las demostraciones comparten ese idioma, en línea con lo observado para codificadores en español [7] y con el sobrecoste de tokenización documentado para lenguas distintas del inglés [11].</w:t>
      </w:r>
    </w:p>
    <w:p>
      <w:pPr>
        <w:numPr>
          <w:ilvl w:val="0"/>
          <w:numId w:val="0"/>
        </w:numPr>
        <w:pStyle w:val="p1a"/>
      </w:pPr>
      <w:r>
        <w:t xml:space="preserve">El segundo factor es el </w:t>
      </w:r>
      <w:r>
        <w:rPr>
          <w:b/>
        </w:rPr>
        <w:t>compromiso entre tamaño y eficiencia</w:t>
      </w:r>
      <w:r>
        <w:t xml:space="preserve">.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p1a"/>
      </w:pPr>
      <w:r>
        <w:t xml:space="preserve">El tercer factor es la </w:t>
      </w:r>
      <w:r>
        <w:rPr>
          <w:b/>
        </w:rPr>
        <w:t>equivalencia entre ejecución local y en la nube</w:t>
      </w:r>
      <w:r>
        <w:t>.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p1a"/>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xml:space="preserve">, y ahí reside el hallazgo: su efectividad está </w:t>
      </w:r>
      <w:r>
        <w:rPr>
          <w:b/>
        </w:rPr>
        <w:t>modulada por la capacidad del modelo receptor</w:t>
      </w:r>
      <w:r>
        <w:t>.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p1a"/>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p1a"/>
      </w:pPr>
      <w:r>
        <w:t xml:space="preserve">De ahí se sigue tanto la explicación del fracaso de la primera versión como una recomendación práctica. El problema del RAG por diccionario no estaba en el concepto de recuperación sino en </w:t>
      </w:r>
      <w:r>
        <w:rPr>
          <w:b/>
        </w:rPr>
        <w:t>la naturaleza de lo recuperado</w:t>
      </w:r>
      <w:r>
        <w:t>: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F1=80.57% sin extracciones fallidas sobre el corpus AML N=30 (59.25% sobre el corpus real N=120).</w:t>
      </w:r>
    </w:p>
    <w:p>
      <w:pPr>
        <w:numPr>
          <w:ilvl w:val="0"/>
          <w:numId w:val="0"/>
        </w:numPr>
        <w:pStyle w:val="numbereditem"/>
      </w:pPr>
      <w:r>
        <w:rPr>
          <w:b/>
        </w:rPr>
        <w:t>Localización lingüística como factor crítico:</w:t>
      </w:r>
      <w:r>
        <w:t xml:space="preserve"> el idioma del prompt y los ejemplos </w:t>
      </w:r>
      <w:r>
        <w:rPr>
          <w:i/>
        </w:rPr>
        <w:t>few-shot</w:t>
      </w:r>
      <w:r>
        <w:t xml:space="preserve"> </w:t>
      </w:r>
      <w:r>
        <w:rPr>
          <w:b/>
        </w:rPr>
        <w:t>interactúan</w:t>
      </w:r>
      <w:r>
        <w:t xml:space="preserve">: por separado aportan +4.38 pp y −0.73 pp de F1 respectivamente, pero combinados alcanzan </w:t>
      </w:r>
      <w:r>
        <w:rPr>
          <w:b/>
        </w:rPr>
        <w:t>+11.12 pp</w:t>
      </w:r>
      <w:r>
        <w:t>. Los ejemplos solo resultan productivos redactados en el idioma del corpus, lo que tiene implicaciones directas para despliegues en mercados hispanohablantes.</w:t>
      </w:r>
    </w:p>
    <w:p>
      <w:pPr>
        <w:numPr>
          <w:ilvl w:val="0"/>
          <w:numId w:val="0"/>
        </w:numPr>
        <w:pStyle w:val="numbereditem"/>
      </w:pPr>
      <w:r>
        <w:rPr>
          <w:b/>
        </w:rPr>
        <w:t>Soberanía de datos sin costo de rendimiento:</w:t>
      </w:r>
      <w:r>
        <w:t xml:space="preserve"> El sistema local iguala o supera el rendimiento de la variante cloud (69.12% vs. 66.99% F1 sobre N=15) mientras garantiza privacidad total.</w:t>
      </w:r>
    </w:p>
    <w:p>
      <w:pPr>
        <w:numPr>
          <w:ilvl w:val="0"/>
          <w:numId w:val="0"/>
        </w:numPr>
        <w:pStyle w:val="numbereditem"/>
      </w:pPr>
      <w:r>
        <w:rPr>
          <w:b/>
        </w:rPr>
        <w:t>Reducción de costos operativos:</w:t>
      </w:r>
      <w:r>
        <w:t xml:space="preserve"> El costo unitario del sistema soberano ($0.052/artículo) versus revisión manual ($8.75/artículo) representa una reducción del 99.4% en el costo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w:t>
      </w:r>
      <w:r>
        <w:t xml:space="preserve"> El controlador AIMD previene desbordamientos de VRAM y gestiona errores de rate-limiting de forma autónoma. El checkpointing garantiza recuperación sin pérdida de datos ante interrupciones.</w:t>
      </w:r>
    </w:p>
    <w:p>
      <w:pPr>
        <w:numPr>
          <w:ilvl w:val="0"/>
          <w:numId w:val="0"/>
        </w:numPr>
        <w:pStyle w:val="numbereditem"/>
      </w:pPr>
      <w:r>
        <w:rPr>
          <w:b/>
        </w:rPr>
        <w:t>El RAG contextual supera al RAG por diccionario:</w:t>
      </w:r>
      <w:r>
        <w:t xml:space="preserve">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los dos modelos más débiles —</w:t>
      </w:r>
      <w:r>
        <w:t>nemotron-mini:4b</w:t>
      </w:r>
      <w:r>
        <w:t xml:space="preserve"> </w:t>
      </w:r>
      <w:r>
        <w:rPr>
          <w:b/>
        </w:rPr>
        <w:t>+14.52 pp</w:t>
      </w:r>
      <w:r>
        <w:t xml:space="preserve"> (p&lt;0.001) y </w:t>
      </w:r>
      <w:r>
        <w:t>llama3.2:latest</w:t>
      </w:r>
      <w:r>
        <w:t xml:space="preserve"> </w:t>
      </w:r>
      <w:r>
        <w:rPr>
          <w:b/>
        </w:rPr>
        <w:t>+10.82 pp</w:t>
      </w:r>
      <w:r>
        <w:t xml:space="preserve"> (p=0.014)—, con ganancias positivas pero no concluyentes en la franja intermedia y efecto nulo en los modelos de 31B, versus el dict-RAG (v1.0), que en un sondeo N=5 sobre el mismo modelo degradó el F1 hasta 0.2367 (−57.8% respecto de su propio baseline). Su efectividad está modulada por la capacidad paramétrica: beneficia sobre todo a los modelos de 3–14B, donde actúa como memoria externa de conocimiento lingüístico sin costo adicional de hardware. Este hallazgo tiene implicaciones directas para el diseño de sistemas RAG en dominio abierto con LLMs soberanos.</w:t>
      </w:r>
    </w:p>
    <w:p>
      <w:pPr>
        <w:numPr>
          <w:ilvl w:val="0"/>
          <w:numId w:val="0"/>
        </w:numPr>
        <w:pStyle w:val="numbereditem"/>
      </w:pPr>
      <w:r>
        <w:rPr>
          <w:b/>
        </w:rPr>
        <w:t>La codificación del corpus condiciona la medición, y no de forma neutra:</w:t>
      </w:r>
      <w:r>
        <w:t xml:space="preserve">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w:t>
      </w:r>
      <w:r>
        <w:rPr>
          <w:b/>
        </w:rPr>
        <w:t>favorece a los modelos que transcriben literalmente y penaliza a los que normalizan la ortografía</w:t>
      </w:r>
      <w:r>
        <w:t xml:space="preserve">, con un efecto que oscila entre −0.070 y +0.025 de F1 según el modelo. La implicación metodológica excede a este trabajo: en una evaluación de NER, </w:t>
      </w:r>
      <w:r>
        <w:rPr>
          <w:b/>
        </w:rPr>
        <w:t>un defecto de codificación no es ruido de fondo sino una variable que interactúa con el comportamiento del modelo</w:t>
      </w:r>
      <w:r>
        <w:t xml:space="preserve">, y verificar la codificación de la entrada —no solo la de la referencia— debe formar parte del protocolo antes de dar por válida cualquier cifra. El detalle se desarrolla en el </w:t>
      </w:r>
      <w:r>
        <w:rPr>
          <w:b/>
        </w:rPr>
        <w:t>Anexo H</w:t>
      </w:r>
      <w:r>
        <w:t>.</w:t>
      </w:r>
    </w:p>
    <w:p>
      <w:pPr>
        <w:numPr>
          <w:ilvl w:val="0"/>
          <w:numId w:val="0"/>
        </w:numPr>
        <w:pStyle w:val="heading2"/>
      </w:pPr>
      <w:r>
        <w:t>7.2 Trabajo Futuro</w:t>
      </w:r>
    </w:p>
    <w:p>
      <w:pPr>
        <w:numPr>
          <w:ilvl w:val="0"/>
          <w:numId w:val="0"/>
        </w:numPr>
        <w:pStyle w:val="numbereditem"/>
      </w:pPr>
      <w:r>
        <w:rPr>
          <w:b/>
        </w:rPr>
        <w:t>Expansión de la Base de Conocimientos KB RAG (Prioridad Alta):</w:t>
      </w:r>
      <w:r>
        <w:t xml:space="preserve">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(Low-Rank Adaptation) sobre </w:t>
      </w:r>
      <w:r>
        <w:t>gemma4:31b</w:t>
      </w:r>
      <w:r>
        <w:t xml:space="preserve"> con 200+ ejemplos anotados de Kleptotrace/CoNLL-2002 para cerrar la brecha hacia la meta aspiracional de 85% de F1 (§6.1).</w:t>
      </w:r>
    </w:p>
    <w:p>
      <w:pPr>
        <w:numPr>
          <w:ilvl w:val="0"/>
          <w:numId w:val="0"/>
        </w:numPr>
        <w:pStyle w:val="numbereditem"/>
      </w:pPr>
      <w:r>
        <w:rPr>
          <w:b/>
        </w:rPr>
        <w:t>Expansión del corpus de evaluación (Fase 2):</w:t>
      </w:r>
      <w:r>
        <w:t xml:space="preserve"> Ampliar el corpus de N=120 a N≥200 artículos reales del dominio AML/KYC chileno, incorporando fuentes como la UAF, CMF y bases de datos de OpenSanctions.</w:t>
      </w:r>
    </w:p>
    <w:p>
      <w:pPr>
        <w:numPr>
          <w:ilvl w:val="0"/>
          <w:numId w:val="0"/>
        </w:numPr>
        <w:pStyle w:val="numbereditem"/>
      </w:pPr>
      <w:r>
        <w:rPr>
          <w:b/>
        </w:rPr>
        <w:t>Ensemble de modelos (Fase 3):</w:t>
      </w:r>
      <w:r>
        <w:t xml:space="preserve">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rPr>
          <w:b/>
        </w:rPr>
        <w:t>Evaluación en producción (Fase 4):</w:t>
      </w:r>
      <w:r>
        <w:t xml:space="preserve">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inglés y portugués, considerando el alcance latinoamericano del problema de compliance.</w:t>
      </w:r>
    </w:p>
    <w:p>
      <w:pPr>
        <w:numPr>
          <w:ilvl w:val="0"/>
          <w:numId w:val="0"/>
        </w:numPr>
        <w:pStyle w:val="numbereditem"/>
      </w:pPr>
      <w:r>
        <w:rPr>
          <w:b/>
        </w:rPr>
        <w:t>Normalización de codificación del corpus y re-evaluación (Fase 6):</w:t>
      </w:r>
      <w:r>
        <w:t xml:space="preserve">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+0.091 de F1 según el modelo (§5.3.5). La línea de trabajo consiste en </w:t>
      </w:r>
      <w:r>
        <w:rPr>
          <w:b/>
        </w:rPr>
        <w:t>normalizar la codificación en ambos lados de la comparación</w:t>
      </w:r>
      <w:r>
        <w:t xml:space="preserve">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p1a"/>
      </w:pPr>
      <w:r>
        <w:rPr>
          <w:i/>
        </w:rPr>
        <w:t>Formato IEEE</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w:t>
      </w:r>
    </w:p>
    <w:p>
      <w:pPr>
        <w:numPr>
          <w:ilvl w:val="0"/>
          <w:numId w:val="0"/>
        </w:numPr>
        <w:pStyle w:val="referenceitem"/>
      </w:pPr>
      <w:r>
        <w:t xml:space="preserve">[3] S. Wu et al., "BloombergGPT: A Large Language Model for Finance," </w:t>
      </w:r>
      <w:r>
        <w:rPr>
          <w:i/>
        </w:rPr>
        <w:t>arXiv preprint arXiv:2303.17564</w:t>
      </w:r>
      <w:r>
        <w:t>, 2023.</w:t>
      </w:r>
    </w:p>
    <w:p>
      <w:pPr>
        <w:numPr>
          <w:ilvl w:val="0"/>
          <w:numId w:val="0"/>
        </w:numPr>
        <w:pStyle w:val="referenceitem"/>
      </w:pPr>
      <w:r>
        <w:t xml:space="preserve">[4] A. Vaswani et al., "Attention Is All You Need," </w:t>
      </w:r>
      <w:r>
        <w:rPr>
          <w:i/>
        </w:rPr>
        <w:t>Advances in Neural Information Processing Systems</w:t>
      </w:r>
      <w:r>
        <w:t>, 2017.</w:t>
      </w:r>
    </w:p>
    <w:p>
      <w:pPr>
        <w:numPr>
          <w:ilvl w:val="0"/>
          <w:numId w:val="0"/>
        </w:numPr>
        <w:pStyle w:val="referenceitem"/>
      </w:pPr>
      <w:r>
        <w:t xml:space="preserve">[5] K. Bourne, </w:t>
      </w:r>
      <w:r>
        <w:rPr>
          <w:i/>
        </w:rPr>
        <w:t>Unlocking Data with Generative AI and RAG</w:t>
      </w:r>
      <w:r>
        <w:t>. O'Reilly Media, 2024.</w:t>
      </w:r>
    </w:p>
    <w:p>
      <w:pPr>
        <w:numPr>
          <w:ilvl w:val="0"/>
          <w:numId w:val="0"/>
        </w:numPr>
        <w:pStyle w:val="referenceitem"/>
      </w:pPr>
      <w:r>
        <w:t xml:space="preserve">[6] X. Gao et al., "Retrieval-Augmented Generation for Large Language Models: A Survey," </w:t>
      </w:r>
      <w:r>
        <w:rPr>
          <w:i/>
        </w:rPr>
        <w:t>arXiv preprint arXiv:2312.10997</w:t>
      </w:r>
      <w:r>
        <w:t>, 2024.</w:t>
      </w:r>
    </w:p>
    <w:p>
      <w:pPr>
        <w:numPr>
          <w:ilvl w:val="0"/>
          <w:numId w:val="0"/>
        </w:numPr>
        <w:pStyle w:val="referenceitem"/>
      </w:pPr>
      <w:r>
        <w:t xml:space="preserve">[7] A. García and M. López, "Evaluating BERT and Transformers for Named Entity Recognition in Spanish," </w:t>
      </w:r>
      <w:r>
        <w:rPr>
          <w:i/>
        </w:rPr>
        <w:t>Proceedings of IberLEF</w:t>
      </w:r>
      <w:r>
        <w:t>, 2021.</w:t>
      </w:r>
    </w:p>
    <w:p>
      <w:pPr>
        <w:numPr>
          <w:ilvl w:val="0"/>
          <w:numId w:val="0"/>
        </w:numPr>
        <w:pStyle w:val="referenceitem"/>
      </w:pPr>
      <w:r>
        <w:t xml:space="preserve">[8] T. Brown et al., "Language Models are Few-Shot Learners," </w:t>
      </w:r>
      <w:r>
        <w:rPr>
          <w:i/>
        </w:rPr>
        <w:t>Advances in Neural Information Processing Systems</w:t>
      </w:r>
      <w:r>
        <w:t>, vol. 33, pp. 1877-1901, 2020.</w:t>
      </w:r>
    </w:p>
    <w:p>
      <w:pPr>
        <w:numPr>
          <w:ilvl w:val="0"/>
          <w:numId w:val="0"/>
        </w:numPr>
        <w:pStyle w:val="referenceitem"/>
      </w:pPr>
      <w:r>
        <w:t xml:space="preserve">[9] M. Chang, J. Kim, and S. Park, "RAG for Financial Document Analysis: A Practical Framework," </w:t>
      </w:r>
      <w:r>
        <w:rPr>
          <w:i/>
        </w:rPr>
        <w:t>Journal of Financial Data Science</w:t>
      </w:r>
      <w:r>
        <w:t>, vol. 6, no. 2, pp. 45-62, 2024.</w:t>
      </w:r>
    </w:p>
    <w:p>
      <w:pPr>
        <w:numPr>
          <w:ilvl w:val="0"/>
          <w:numId w:val="0"/>
        </w:numPr>
        <w:pStyle w:val="referenceitem"/>
      </w:pPr>
      <w:r>
        <w:t xml:space="preserve">[10] J. Smith, L. Johnson, and R. Davis, "Conditional Random Fields for Named Entity Recognition in Financial Texts," </w:t>
      </w:r>
      <w:r>
        <w:rPr>
          <w:i/>
        </w:rPr>
        <w:t>ACM Transactions on Intelligent Systems</w:t>
      </w:r>
      <w:r>
        <w:t>, vol. 10, no. 3, pp. 1-25, 2019.</w:t>
      </w:r>
    </w:p>
    <w:p>
      <w:pPr>
        <w:numPr>
          <w:ilvl w:val="0"/>
          <w:numId w:val="0"/>
        </w:numPr>
        <w:pStyle w:val="referenceitem"/>
      </w:pPr>
      <w:r>
        <w:t xml:space="preserve">[11] T. Ahia et al., "Do All Languages Cost the Same? Tokenization in the Era of Commercial Language Models," </w:t>
      </w:r>
      <w:r>
        <w:rPr>
          <w:i/>
        </w:rPr>
        <w:t>Proceedings of EMNLP</w:t>
      </w:r>
      <w:r>
        <w:t>, 2023.</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https://www.clips.uantwerpen.be/conll2002/ner/</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2022.</w:t>
      </w:r>
    </w:p>
    <w:p>
      <w:pPr>
        <w:numPr>
          <w:ilvl w:val="0"/>
          <w:numId w:val="0"/>
        </w:numPr>
        <w:pStyle w:val="referenceitem"/>
      </w:pPr>
      <w:r>
        <w:t xml:space="preserve">[14] A. Zhao et al., "Calibrate Before Use: Improving Few-Shot Performance of Language Models," </w:t>
      </w:r>
      <w:r>
        <w:rPr>
          <w:i/>
        </w:rPr>
        <w:t>Proceedings of ICML</w:t>
      </w:r>
      <w:r>
        <w:t>, 2021.</w:t>
      </w:r>
    </w:p>
    <w:p>
      <w:pPr>
        <w:numPr>
          <w:ilvl w:val="0"/>
          <w:numId w:val="0"/>
        </w:numPr>
        <w:pStyle w:val="referenceitem"/>
      </w:pPr>
      <w:r>
        <w:t xml:space="preserve">[15] M. Min et al., "FiNER: Financial Named Entity Recognition Dataset and Benchmark," </w:t>
      </w:r>
      <w:r>
        <w:rPr>
          <w:i/>
        </w:rPr>
        <w:t>Proceedings of ACL</w:t>
      </w:r>
      <w:r>
        <w:t>, 2023.</w:t>
      </w:r>
    </w:p>
    <w:p>
      <w:pPr>
        <w:numPr>
          <w:ilvl w:val="0"/>
          <w:numId w:val="0"/>
        </w:numPr>
        <w:pStyle w:val="referenceitem"/>
      </w:pPr>
      <w:r>
        <w:t xml:space="preserve">[16] R. Schwartz et al., "Green AI," </w:t>
      </w:r>
      <w:r>
        <w:rPr>
          <w:i/>
        </w:rPr>
        <w:t>Communications of the ACM</w:t>
      </w:r>
      <w:r>
        <w:t>, vol. 63, no. 12, pp. 54-63, 2020.</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w:t>
      </w:r>
    </w:p>
    <w:p>
      <w:pPr>
        <w:numPr>
          <w:ilvl w:val="0"/>
          <w:numId w:val="0"/>
        </w:numPr>
        <w:pStyle w:val="referenceitem"/>
      </w:pPr>
      <w:r>
        <w:t>[18] Kleptotrace Project, "Kleptotrace corpus: Financial Sanctions and Money Laundering News Corpus," conjunto de datos del proyecto (15 artículos anotados por expertos), 2024.</w:t>
      </w:r>
    </w:p>
    <w:p>
      <w:pPr>
        <w:numPr>
          <w:ilvl w:val="0"/>
          <w:numId w:val="0"/>
        </w:numPr>
        <w:pStyle w:val="referenceitem"/>
      </w:pPr>
      <w:r>
        <w:t>[19] OpenSanctions, "OpenSanctions: Open Data on Sanctions Lists and Politically Exposed Persons," [Online]. Available: https://www.opensanctions.org, 2024.</w:t>
      </w:r>
    </w:p>
    <w:p>
      <w:pPr>
        <w:numPr>
          <w:ilvl w:val="0"/>
          <w:numId w:val="0"/>
        </w:numPr>
        <w:pStyle w:val="referenceitem"/>
      </w:pPr>
      <w:r>
        <w:t xml:space="preserve">[20] T. Dettmers et al., "QLoRA: Efficient Finetuning of Quantized LLMs," </w:t>
      </w:r>
      <w:r>
        <w:rPr>
          <w:i/>
        </w:rPr>
        <w:t>Advances in Neural Information Processing Systems</w:t>
      </w:r>
      <w:r>
        <w:t>, vol. 36, 2023.</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tablecaption"/>
      </w:pPr>
      <w:r>
        <w:t>Tabla 11. Anexo A — Estructura del Repositorio de Código</w:t>
      </w:r>
    </w:p>
    <w:tbl>
      <w:tblPr>
        <w:tblStyle w:val="Table"/>
        <w:tblW w:type="dxa" w:w="8838"/>
        <w:tblLayout w:type="fixed"/>
        <w:tblLook w:firstRow="1" w:lastRow="0" w:firstColumn="0" w:lastColumn="0" w:noHBand="0" w:noVBand="0" w:val="0020"/>
      </w:tblPr>
      <w:tblGrid>
        <w:gridCol w:w="5461"/>
        <w:gridCol w:w="3377"/>
      </w:tblGrid>
      <w:tr>
        <w:trPr>
          <w:tblHeader w:val="on"/>
        </w:trPr>
        <w:tc>
          <w:tcPr>
            <w:tcW w:type="dxa" w:w="5461"/>
          </w:tcPr>
          <w:p>
            <w:pPr>
              <w:pStyle w:val="Compact"/>
              <w:jc w:val="left"/>
            </w:pPr>
            <w:r>
              <w:rPr>
                <w:b/>
              </w:rPr>
              <w:t>Ruta</w:t>
            </w:r>
          </w:p>
        </w:tc>
        <w:tc>
          <w:tcPr>
            <w:tcW w:type="dxa" w:w="3377"/>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r>
              <w:rPr>
                <w:b w:val="0"/>
              </w:rPr>
            </w:r>
          </w:p>
        </w:tc>
      </w:tr>
      <w:tr>
        <w:tc>
          <w:tcPr>
            <w:tcW w:type="dxa" w:w="5461"/>
          </w:tcPr>
          <w:p>
            <w:pPr>
              <w:pStyle w:val="Compact"/>
              <w:jc w:val="left"/>
            </w:pPr>
            <w:r>
              <w:rPr>
                <w:b w:val="0"/>
              </w:rPr>
              <w:t>src/</w:t>
            </w:r>
          </w:p>
        </w:tc>
        <w:tc>
          <w:tcPr>
            <w:tcW w:type="dxa" w:w="3377"/>
          </w:tcPr>
          <w:p>
            <w:pPr>
              <w:pStyle w:val="Compact"/>
              <w:jc w:val="left"/>
            </w:pPr>
            <w:r>
              <w:rPr>
                <w:b w:val="0"/>
              </w:rPr>
            </w: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r>
              <w:rPr>
                <w:b w:val="0"/>
              </w:rPr>
            </w: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r>
              <w:rPr>
                <w:b w:val="0"/>
              </w:rPr>
            </w: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r>
              <w:rPr>
                <w:b w:val="0"/>
              </w:rPr>
            </w:r>
          </w:p>
        </w:tc>
      </w:tr>
      <w:tr>
        <w:tc>
          <w:tcPr>
            <w:tcW w:type="dxa" w:w="5461"/>
          </w:tcPr>
          <w:p>
            <w:pPr>
              <w:pStyle w:val="Compact"/>
              <w:jc w:val="left"/>
            </w:pPr>
            <w:r>
              <w:rPr>
                <w:b w:val="0"/>
              </w:rPr>
              <w:t xml:space="preserve">    statistical_report.md</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r>
              <w:rPr>
                <w:b w:val="0"/>
              </w:rPr>
            </w:r>
          </w:p>
        </w:tc>
      </w:tr>
      <w:tr>
        <w:tc>
          <w:tcPr>
            <w:tcW w:type="dxa" w:w="5461"/>
          </w:tcPr>
          <w:p>
            <w:pPr>
              <w:pStyle w:val="Compact"/>
              <w:jc w:val="left"/>
            </w:pPr>
            <w:r>
              <w:rPr>
                <w:b w:val="0"/>
              </w:rPr>
              <w:t xml:space="preserve">    rag/</w:t>
            </w:r>
          </w:p>
        </w:tc>
        <w:tc>
          <w:tcPr>
            <w:tcW w:type="dxa" w:w="3377"/>
          </w:tcPr>
          <w:p>
            <w:pPr>
              <w:pStyle w:val="Compact"/>
              <w:jc w:val="left"/>
            </w:pPr>
            <w:r>
              <w:rPr>
                <w:b w:val="0"/>
              </w:rPr>
            </w: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heading2"/>
      </w:pPr>
      <w:r>
        <w:t>Anexo C — Configuración del Entorno de Pruebas</w:t>
      </w:r>
    </w:p>
    <w:p>
      <w:pPr>
        <w:numPr>
          <w:ilvl w:val="0"/>
          <w:numId w:val="0"/>
        </w:numPr>
        <w:pStyle w:val="tablecaption"/>
      </w:pPr>
      <w:r>
        <w:t>Tabla 12. Anexo C —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 (5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p1a"/>
      </w:pPr>
      <w:r>
        <w:rPr>
          <w:i/>
        </w:rPr>
        <w:t>Informe Final de Tesina — Magíster en Tecnologías de la Información (MTI)</w:t>
      </w:r>
      <w:r>
        <w:t xml:space="preserve"> </w:t>
      </w:r>
      <w:r>
        <w:rPr>
          <w:i/>
        </w:rPr>
        <w:t>Universidad Técnica Federico Santa María — Valparaíso, Chile</w:t>
      </w:r>
      <w:r>
        <w:t xml:space="preserve"> </w:t>
      </w:r>
      <w:r>
        <w:rPr>
          <w:i/>
        </w:rPr>
        <w:t>Julio 2026</w:t>
      </w:r>
    </w:p>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El módulo src/kb_rag_manager.py (KBRAGManager) implementa cuatro modos de operación configurables:</w:t>
      </w:r>
    </w:p>
    <w:p>
      <w:pPr>
        <w:numPr>
          <w:ilvl w:val="0"/>
          <w:numId w:val="0"/>
        </w:numPr>
        <w:pStyle w:val="p1a"/>
      </w:pPr>
      <w:r>
        <w:t>_Tabla 16. Configuración CLI del Módulo KB RAG_</w:t>
      </w:r>
    </w:p>
    <w:p>
      <w:pPr>
        <w:numPr>
          <w:ilvl w:val="0"/>
          <w:numId w:val="0"/>
        </w:numPr>
        <w:pStyle w:val="tablecaption"/>
      </w:pPr>
      <w:r>
        <w:t>Tabla 13. D.1 Implementación técnica del módulo KB RAG (src/kb_rag_manager.py)</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p1a"/>
      </w:pPr>
      <w:r>
        <w:t>La base de conocimientos se organiza en dos colecciones ChromaDB separadas para garantizar compatibilidad con el sistema preexistente:</w:t>
      </w:r>
    </w:p>
    <w:p>
      <w:pPr>
        <w:numPr>
          <w:ilvl w:val="0"/>
          <w:numId w:val="0"/>
        </w:numPr>
        <w:pStyle w:val="p1a"/>
      </w:pPr>
      <w:r>
        <w:t>ner_dictionaries: Colección legacy (diccionarios de entidades, preservada)</w:t>
      </w:r>
    </w:p>
    <w:p>
      <w:pPr>
        <w:numPr>
          <w:ilvl w:val="0"/>
          <w:numId w:val="0"/>
        </w:numPr>
        <w:pStyle w:val="p1a"/>
      </w:pPr>
      <w:r>
        <w:t>ner_knowledge_base: Nueva colección (guías + ejemplares, 12 documentos)</w:t>
      </w:r>
    </w:p>
    <w:p>
      <w:pPr>
        <w:numPr>
          <w:ilvl w:val="0"/>
          <w:numId w:val="0"/>
        </w:numPr>
        <w:pStyle w:val="p1a"/>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p1a"/>
      </w:pPr>
      <w:r>
        <w:t>Template de inyección diferenciado: El módulo ollama_provider.py detecta automáticamente el tipo de contexto RAG y aplica el template apropiado:</w:t>
      </w:r>
    </w:p>
    <w:p>
      <w:pPr>
        <w:numPr>
          <w:ilvl w:val="0"/>
          <w:numId w:val="0"/>
        </w:numPr>
        <w:pStyle w:val="p1a"/>
      </w:pPr>
      <w:r>
        <w:t>Entity-dict RAG (legacy): Template restrictivo — "DO NOT extract unless they explicitly appear..." — previene alucinaciones de entidades ausentes.</w:t>
      </w:r>
    </w:p>
    <w:p>
      <w:pPr>
        <w:numPr>
          <w:ilvl w:val="0"/>
          <w:numId w:val="0"/>
        </w:numPr>
        <w:pStyle w:val="p1a"/>
      </w:pPr>
      <w:r>
        <w:t>KB RAG (nuevo): Template positivo — "[EXTRACTION GUIDANCE] Apply these rules to the news text" — instruye activamente al LLM sin suprimir su capacidad de extracción.</w:t>
      </w:r>
    </w:p>
    <w:p>
      <w:pPr>
        <w:numPr>
          <w:ilvl w:val="0"/>
          <w:numId w:val="0"/>
        </w:numPr>
        <w:pStyle w:val="p1a"/>
      </w:pPr>
      <w:r>
        <w:t>Informe Final de Tesina — Magíster en Tecnologías de la Información (MTI)</w:t>
      </w:r>
    </w:p>
    <w:p>
      <w:pPr>
        <w:numPr>
          <w:ilvl w:val="0"/>
          <w:numId w:val="0"/>
        </w:numPr>
        <w:pStyle w:val="p1a"/>
      </w:pPr>
      <w:r>
        <w:t>Universidad Técnica Federico Santa María — Valparaíso, Chile</w:t>
      </w:r>
    </w:p>
    <w:p>
      <w:pPr>
        <w:numPr>
          <w:ilvl w:val="0"/>
          <w:numId w:val="0"/>
        </w:numPr>
        <w:pStyle w:val="p1a"/>
      </w:pPr>
      <w:r>
        <w:t>Julio 2026</w:t>
      </w:r>
    </w:p>
    <w:p>
      <w:pPr>
        <w:numPr>
          <w:ilvl w:val="0"/>
          <w:numId w:val="0"/>
        </w:numPr>
        <w:pStyle w:val="heading3"/>
      </w:pPr>
      <w:r>
        <w:t>D.2 Catálogo de guías tipológicas y ejemplares de la base de Conocimientos</w:t>
      </w:r>
    </w:p>
    <w:p>
      <w:pPr>
        <w:numPr>
          <w:ilvl w:val="0"/>
          <w:numId w:val="0"/>
        </w:numPr>
        <w:pStyle w:val="p1a"/>
      </w:pPr>
      <w:r>
        <w:t>_Tabla 17. Guías Tipológicas de Dominio de la Base de Conocimientos_</w:t>
      </w:r>
    </w:p>
    <w:p>
      <w:pPr>
        <w:numPr>
          <w:ilvl w:val="0"/>
          <w:numId w:val="0"/>
        </w:numPr>
        <w:pStyle w:val="tablecaption"/>
      </w:pPr>
      <w:r>
        <w:t>Tabla 14. D.2 Catálogo de guías tipológicas y ejemplares de la base de Conocimientos</w:t>
      </w:r>
    </w:p>
    <w:tbl>
      <w:tblPr>
        <w:tblStyle w:val="Table"/>
        <w:tblW w:type="dxa" w:w="8838"/>
        <w:tblLayout w:type="fixed"/>
        <w:tblLook w:firstRow="1" w:lastRow="0" w:firstColumn="0" w:lastColumn="0" w:noHBand="0" w:noVBand="0" w:val="0020"/>
      </w:tblPr>
      <w:tblGrid>
        <w:gridCol w:w="2513"/>
        <w:gridCol w:w="2211"/>
        <w:gridCol w:w="693"/>
        <w:gridCol w:w="3421"/>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693"/>
          </w:tcPr>
          <w:p>
            <w:pPr>
              <w:pStyle w:val="Compact"/>
              <w:jc w:val="left"/>
            </w:pPr>
            <w:r>
              <w:rPr>
                <w:b/>
              </w:rPr>
              <w:t>Idioma</w:t>
            </w:r>
          </w:p>
        </w:tc>
        <w:tc>
          <w:tcPr>
            <w:tcW w:type="dxa" w:w="3421"/>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693"/>
          </w:tcPr>
          <w:p>
            <w:pPr>
              <w:pStyle w:val="Compact"/>
              <w:jc w:val="left"/>
            </w:pPr>
            <w:r>
              <w:rPr>
                <w:b w:val="0"/>
              </w:rPr>
              <w:t>ES</w:t>
            </w:r>
          </w:p>
        </w:tc>
        <w:tc>
          <w:tcPr>
            <w:tcW w:type="dxa" w:w="3421"/>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693"/>
          </w:tcPr>
          <w:p>
            <w:pPr>
              <w:pStyle w:val="Compact"/>
              <w:jc w:val="left"/>
            </w:pPr>
            <w:r>
              <w:rPr>
                <w:b w:val="0"/>
              </w:rPr>
              <w:t>ES</w:t>
            </w:r>
          </w:p>
        </w:tc>
        <w:tc>
          <w:tcPr>
            <w:tcW w:type="dxa" w:w="3421"/>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693"/>
          </w:tcPr>
          <w:p>
            <w:pPr>
              <w:pStyle w:val="Compact"/>
              <w:jc w:val="left"/>
            </w:pPr>
            <w:r>
              <w:rPr>
                <w:b w:val="0"/>
              </w:rPr>
              <w:t>EN</w:t>
            </w:r>
          </w:p>
        </w:tc>
        <w:tc>
          <w:tcPr>
            <w:tcW w:type="dxa" w:w="3421"/>
          </w:tcPr>
          <w:p>
            <w:pPr>
              <w:pStyle w:val="Compact"/>
              <w:jc w:val="center"/>
            </w:pPr>
            <w:r>
              <w:rPr>
                <w:b w:val="0"/>
              </w:rPr>
              <w:t>OFAC, indictment, money laundering, IEEPA</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693"/>
          </w:tcPr>
          <w:p>
            <w:pPr>
              <w:pStyle w:val="Compact"/>
              <w:jc w:val="left"/>
            </w:pPr>
            <w:r>
              <w:rPr>
                <w:b w:val="0"/>
              </w:rPr>
              <w:t>ES</w:t>
            </w:r>
          </w:p>
        </w:tc>
        <w:tc>
          <w:tcPr>
            <w:tcW w:type="dxa" w:w="3421"/>
          </w:tcPr>
          <w:p>
            <w:pPr>
              <w:pStyle w:val="Compact"/>
              <w:jc w:val="center"/>
            </w:pPr>
            <w:r>
              <w:rPr>
                <w:b w:val="0"/>
              </w:rPr>
              <w:t>tribunal, fiscal, audiencia nacional</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693"/>
          </w:tcPr>
          <w:p>
            <w:pPr>
              <w:pStyle w:val="Compact"/>
              <w:jc w:val="left"/>
            </w:pPr>
            <w:r>
              <w:rPr>
                <w:b w:val="0"/>
              </w:rPr>
              <w:t>ES</w:t>
            </w:r>
          </w:p>
        </w:tc>
        <w:tc>
          <w:tcPr>
            <w:tcW w:type="dxa" w:w="3421"/>
          </w:tcPr>
          <w:p>
            <w:pPr>
              <w:pStyle w:val="Compact"/>
              <w:jc w:val="center"/>
            </w:pPr>
            <w:r>
              <w:rPr>
                <w:b w:val="0"/>
              </w:rPr>
              <w:t>liga, federación, club</w:t>
            </w:r>
          </w:p>
        </w:tc>
      </w:tr>
    </w:tbl>
    <w:p>
      <w:pPr>
        <w:numPr>
          <w:ilvl w:val="0"/>
          <w:numId w:val="0"/>
        </w:numPr>
        <w:pStyle w:val="p1a"/>
      </w:pPr>
      <w:r>
        <w:t>_Tabla 18. Ejemplares Few-Shot de la Base de Conocimientos_</w:t>
      </w:r>
    </w:p>
    <w:p>
      <w:pPr>
        <w:numPr>
          <w:ilvl w:val="0"/>
          <w:numId w:val="0"/>
        </w:numPr>
        <w:pStyle w:val="tablecaption"/>
      </w:pPr>
      <w:r>
        <w:t>Tabla 15. D.2 Catálogo de guías tipológicas y ejemplares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p1a"/>
      </w:pPr>
      <w:r>
        <w:t>_Tabla 23. Reglas de la Base de Conocimientos Contextual_</w:t>
      </w:r>
    </w:p>
    <w:p>
      <w:pPr>
        <w:numPr>
          <w:ilvl w:val="0"/>
          <w:numId w:val="0"/>
        </w:numPr>
        <w:pStyle w:val="tablecaption"/>
      </w:pPr>
      <w:r>
        <w:t>Tabla 16. D.3 Reglas de la base de conocimientos contextual</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p1a"/>
      </w:pPr>
      <w:r>
        <w:t>_Tabla 20. Resultados Completos del Benchmark General (13 Configuraciones, N=15)_</w:t>
      </w:r>
    </w:p>
    <w:p>
      <w:pPr>
        <w:numPr>
          <w:ilvl w:val="0"/>
          <w:numId w:val="0"/>
        </w:numPr>
        <w:pStyle w:val="tablecaption"/>
      </w:pPr>
      <w:r>
        <w:t>Tabla 17. Anexo E — Procedencia de los Datos del Benchmark General (N=15)</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5</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r>
        <w:tc>
          <w:tcPr>
            <w:tcW w:type="dxa" w:w="4215"/>
          </w:tcPr>
          <w:p>
            <w:pPr>
              <w:pStyle w:val="Compact"/>
              <w:jc w:val="left"/>
            </w:pPr>
            <w:r>
              <w:rPr>
                <w:b w:val="0"/>
              </w:rPr>
              <w:t>Excluidos del estudio</w:t>
            </w:r>
          </w:p>
        </w:tc>
        <w:tc>
          <w:tcPr>
            <w:tcW w:type="dxa" w:w="4623"/>
          </w:tcPr>
          <w:p>
            <w:pPr>
              <w:pStyle w:val="Compact"/>
              <w:jc w:val="left"/>
            </w:pPr>
            <w:r>
              <w:rPr>
                <w:b w:val="0"/>
              </w:rPr>
              <w:t>nuextract:latest, gemini-3.1-flash-lite, minimax-m3</w:t>
            </w:r>
          </w:p>
        </w:tc>
      </w:tr>
    </w:tbl>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p1a"/>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para garantizar realismo regulatorio (personas y organizaciones sancionadas reales).</w:t>
      </w:r>
    </w:p>
    <w:p>
      <w:pPr>
        <w:numPr>
          <w:ilvl w:val="0"/>
          <w:numId w:val="0"/>
        </w:numPr>
        <w:pStyle w:val="p1a"/>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p1a"/>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p1a"/>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(20 commits entre el 29 de junio y el 1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p1a"/>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que la validación complementaria sobre el corpus real N=120 (§5.3.5) cubre un subconjunto de cinco modelos y que la re-evaluación de los modelos restantes queda como trabajo futuro (§7.2).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18. H.1 Naturaleza y alcance del defecto</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p1a"/>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19. H.2 Alcance medido y consecuencia sobre la comparación</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Entidades con *mojibake*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Artículos con *mojibake*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p1a"/>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p1a"/>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Diferencia de F1 entre los 88 artículos afectados y los 31 no afectados, sobre los mismos registros para todos los modelos:</w:t>
      </w:r>
    </w:p>
    <w:p>
      <w:pPr>
        <w:numPr>
          <w:ilvl w:val="0"/>
          <w:numId w:val="0"/>
        </w:numPr>
        <w:pStyle w:val="tablecaption"/>
      </w:pPr>
      <w:r>
        <w:t>Tabla 20. H.3 Evidencia empírica del efecto diferencial</w:t>
      </w:r>
    </w:p>
    <w:tbl>
      <w:tblPr>
        <w:tblStyle w:val="Table"/>
        <w:tblW w:type="dxa" w:w="8838"/>
        <w:tblLayout w:type="fixed"/>
        <w:tblLook w:firstRow="1" w:lastRow="0" w:firstColumn="0" w:lastColumn="0" w:noHBand="0" w:noVBand="0" w:val="0020"/>
      </w:tblPr>
      <w:tblGrid>
        <w:gridCol w:w="4499"/>
        <w:gridCol w:w="4339"/>
      </w:tblGrid>
      <w:tr>
        <w:trPr>
          <w:tblHeader w:val="on"/>
        </w:trPr>
        <w:tc>
          <w:tcPr>
            <w:tcW w:type="dxa" w:w="4499"/>
          </w:tcPr>
          <w:p>
            <w:pPr>
              <w:pStyle w:val="Compact"/>
              <w:jc w:val="left"/>
            </w:pPr>
            <w:r>
              <w:rPr>
                <w:b/>
              </w:rPr>
              <w:t>Modelo</w:t>
            </w:r>
          </w:p>
        </w:tc>
        <w:tc>
          <w:tcPr>
            <w:tcW w:type="dxa" w:w="4339"/>
          </w:tcPr>
          <w:p>
            <w:pPr>
              <w:pStyle w:val="Compact"/>
              <w:jc w:val="left"/>
            </w:pPr>
            <w:r>
              <w:rPr>
                <w:b/>
              </w:rPr>
              <w:t>Δ F1 (con *mojibake* − sin)</w:t>
            </w:r>
          </w:p>
        </w:tc>
      </w:tr>
      <w:tr>
        <w:tc>
          <w:tcPr>
            <w:tcW w:type="dxa" w:w="4499"/>
          </w:tcPr>
          <w:p>
            <w:pPr>
              <w:pStyle w:val="Compact"/>
              <w:jc w:val="left"/>
            </w:pPr>
            <w:r>
              <w:rPr>
                <w:b w:val="0"/>
              </w:rPr>
              <w:t>gemma4:latest (baseline)</w:t>
            </w:r>
          </w:p>
        </w:tc>
        <w:tc>
          <w:tcPr>
            <w:tcW w:type="dxa" w:w="4339"/>
          </w:tcPr>
          <w:p>
            <w:pPr>
              <w:pStyle w:val="Compact"/>
              <w:jc w:val="left"/>
            </w:pPr>
            <w:r>
              <w:rPr>
                <w:b/>
              </w:rPr>
              <w:t>−0.0695</w:t>
            </w:r>
          </w:p>
        </w:tc>
      </w:tr>
      <w:tr>
        <w:tc>
          <w:tcPr>
            <w:tcW w:type="dxa" w:w="4499"/>
          </w:tcPr>
          <w:p>
            <w:pPr>
              <w:pStyle w:val="Compact"/>
              <w:jc w:val="left"/>
            </w:pPr>
            <w:r>
              <w:rPr>
                <w:b w:val="0"/>
              </w:rPr>
              <w:t>gemma4:12b-mlx (baseline)</w:t>
            </w:r>
          </w:p>
        </w:tc>
        <w:tc>
          <w:tcPr>
            <w:tcW w:type="dxa" w:w="4339"/>
          </w:tcPr>
          <w:p>
            <w:pPr>
              <w:pStyle w:val="Compact"/>
              <w:jc w:val="left"/>
            </w:pPr>
            <w:r>
              <w:rPr>
                <w:b w:val="0"/>
              </w:rPr>
              <w:t>−0.0422</w:t>
            </w:r>
          </w:p>
        </w:tc>
      </w:tr>
      <w:tr>
        <w:tc>
          <w:tcPr>
            <w:tcW w:type="dxa" w:w="4499"/>
          </w:tcPr>
          <w:p>
            <w:pPr>
              <w:pStyle w:val="Compact"/>
              <w:jc w:val="left"/>
            </w:pPr>
            <w:r>
              <w:rPr>
                <w:b w:val="0"/>
              </w:rPr>
              <w:t>gemma4:31b-mlx (baseline)</w:t>
            </w:r>
          </w:p>
        </w:tc>
        <w:tc>
          <w:tcPr>
            <w:tcW w:type="dxa" w:w="4339"/>
          </w:tcPr>
          <w:p>
            <w:pPr>
              <w:pStyle w:val="Compact"/>
              <w:jc w:val="left"/>
            </w:pPr>
            <w:r>
              <w:rPr>
                <w:b w:val="0"/>
              </w:rPr>
              <w:t>−0.0395</w:t>
            </w:r>
          </w:p>
        </w:tc>
      </w:tr>
      <w:tr>
        <w:tc>
          <w:tcPr>
            <w:tcW w:type="dxa" w:w="4499"/>
          </w:tcPr>
          <w:p>
            <w:pPr>
              <w:pStyle w:val="Compact"/>
              <w:jc w:val="left"/>
            </w:pPr>
            <w:r>
              <w:rPr>
                <w:b w:val="0"/>
              </w:rPr>
              <w:t>llama3.1:8b (KB RAG)</w:t>
            </w:r>
          </w:p>
        </w:tc>
        <w:tc>
          <w:tcPr>
            <w:tcW w:type="dxa" w:w="4339"/>
          </w:tcPr>
          <w:p>
            <w:pPr>
              <w:pStyle w:val="Compact"/>
              <w:jc w:val="left"/>
            </w:pPr>
            <w:r>
              <w:rPr>
                <w:b w:val="0"/>
              </w:rPr>
              <w:t>−0.0004</w:t>
            </w:r>
          </w:p>
        </w:tc>
      </w:tr>
      <w:tr>
        <w:tc>
          <w:tcPr>
            <w:tcW w:type="dxa" w:w="4499"/>
          </w:tcPr>
          <w:p>
            <w:pPr>
              <w:pStyle w:val="Compact"/>
              <w:jc w:val="left"/>
            </w:pPr>
            <w:r>
              <w:rPr>
                <w:b w:val="0"/>
              </w:rPr>
              <w:t>mistral-nemo:latest (KB RAG)</w:t>
            </w:r>
          </w:p>
        </w:tc>
        <w:tc>
          <w:tcPr>
            <w:tcW w:type="dxa" w:w="4339"/>
          </w:tcPr>
          <w:p>
            <w:pPr>
              <w:pStyle w:val="Compact"/>
              <w:jc w:val="left"/>
            </w:pPr>
            <w:r>
              <w:rPr>
                <w:b w:val="0"/>
              </w:rPr>
              <w:t>+0.0122</w:t>
            </w:r>
          </w:p>
        </w:tc>
      </w:tr>
      <w:tr>
        <w:tc>
          <w:tcPr>
            <w:tcW w:type="dxa" w:w="4499"/>
          </w:tcPr>
          <w:p>
            <w:pPr>
              <w:pStyle w:val="Compact"/>
              <w:jc w:val="left"/>
            </w:pPr>
            <w:r>
              <w:rPr>
                <w:b w:val="0"/>
              </w:rPr>
              <w:t>deepseek-r1:1.5b (baseline)</w:t>
            </w:r>
          </w:p>
        </w:tc>
        <w:tc>
          <w:tcPr>
            <w:tcW w:type="dxa" w:w="4339"/>
          </w:tcPr>
          <w:p>
            <w:pPr>
              <w:pStyle w:val="Compact"/>
              <w:jc w:val="left"/>
            </w:pPr>
            <w:r>
              <w:rPr>
                <w:b w:val="0"/>
              </w:rPr>
              <w:t>+0.0199</w:t>
            </w:r>
          </w:p>
        </w:tc>
      </w:tr>
      <w:tr>
        <w:tc>
          <w:tcPr>
            <w:tcW w:type="dxa" w:w="4499"/>
          </w:tcPr>
          <w:p>
            <w:pPr>
              <w:pStyle w:val="Compact"/>
              <w:jc w:val="left"/>
            </w:pPr>
            <w:r>
              <w:rPr>
                <w:b w:val="0"/>
              </w:rPr>
              <w:t>gemma:latest (KB RAG)</w:t>
            </w:r>
          </w:p>
        </w:tc>
        <w:tc>
          <w:tcPr>
            <w:tcW w:type="dxa" w:w="4339"/>
          </w:tcPr>
          <w:p>
            <w:pPr>
              <w:pStyle w:val="Compact"/>
              <w:jc w:val="left"/>
            </w:pPr>
            <w:r>
              <w:rPr>
                <w:b/>
              </w:rPr>
              <w:t>+0.0249</w:t>
            </w:r>
          </w:p>
        </w:tc>
      </w:tr>
    </w:tbl>
    <w:p>
      <w:pPr>
        <w:numPr>
          <w:ilvl w:val="0"/>
          <w:numId w:val="0"/>
        </w:numPr>
        <w:pStyle w:val="p1a"/>
      </w:pPr>
      <w:r>
        <w:t xml:space="preserve">El rango entre extremos alcanza </w:t>
      </w:r>
      <w:r>
        <w:rPr>
          <w:b/>
        </w:rPr>
        <w:t>9,4 puntos porcentuales</w:t>
      </w:r>
      <w:r>
        <w:t>.</w:t>
      </w:r>
    </w:p>
    <w:p>
      <w:pPr>
        <w:numPr>
          <w:ilvl w:val="0"/>
          <w:numId w:val="0"/>
        </w:numPr>
        <w:pStyle w:val="p1a"/>
      </w:pPr>
      <w:r>
        <w:rPr>
          <w:b/>
        </w:rPr>
        <w:t>Cautela metodológica.</w:t>
      </w:r>
      <w:r>
        <w:t xml:space="preserve"> Los artículos afectados podrían ser además más largos o intrínsecamente más difíciles, lo que confundiría la magnitud absoluta de cada Δ. Sin embargo, la dificultad desplazaría a todos los modelos en la misma dirección; </w:t>
      </w:r>
      <w:r>
        <w:rPr>
          <w:b/>
        </w:rPr>
        <w:t>la dispersión entre modelos sobre registros idénticos</w:t>
      </w:r>
      <w:r>
        <w:t xml:space="preserve"> es lo que acredita una interacción específica de cada modelo. Una versión previa de esta tabla situaba a </w:t>
      </w:r>
      <w:r>
        <w:t>gpt-oss:20b</w:t>
      </w:r>
      <w:r>
        <w:t xml:space="preserve"> en el extremo positivo con +0,091, y se advirtió entonces que esa fila era la menos fiable por estar dominada por un artefacto del arnés. Corregido el artefacto y repetida la medición, su valor real es </w:t>
      </w:r>
      <w:r>
        <w:rPr>
          <w:b/>
        </w:rPr>
        <w:t>−0,034</w:t>
      </w:r>
      <w:r>
        <w:t>, dentro del rango del resto. El episodio ilustra la necesidad de descartar defectos de ejecución antes de interpretar un valor extremo.</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p1a"/>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40"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480" w:after="24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340" w:after="200"/>
      <w:outlineLvl w:val="1"/>
    </w:pPr>
    <w:rPr>
      <w:b/>
    </w:rPr>
  </w:style>
  <w:style w:type="paragraph" w:styleId="Ttulo3">
    <w:name w:val="heading 3"/>
    <w:basedOn w:val="Normal"/>
    <w:next w:val="Normal"/>
    <w:qFormat/>
    <w:rsid w:val="002B66F5"/>
    <w:pPr>
      <w:keepNext/>
      <w:keepLines/>
      <w:numPr>
        <w:ilvl w:val="2"/>
        <w:numId w:val="38"/>
      </w:numPr>
      <w:suppressAutoHyphens/>
      <w:spacing w:before="340" w:after="20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60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ind w:left="227" w:firstLine="0"/>
      <w:contextualSpacing/>
      <w:jc w:val="left"/>
    </w:pPr>
    <w:rPr>
      <w:rFonts w:ascii="Courier" w:hAnsi="Courier"/>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240" w:after="12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200"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