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base de conocimiento contextual, y evaluó las diferencias mediante ANOVA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0"/>
        <w:tblLook w:firstRow="1"/>
      </w:tblPr>
      <w:tblGrid>
        <w:gridCol w:w="3059"/>
        <w:gridCol w:w="5779"/>
      </w:tblGrid>
      <w:tr>
        <w:trPr>
          <w:cnfStyle w:firstRow="1"/>
        </w:trPr>
        <w:tc>
          <w:tcPr>
            <w:tcW w:type="dxa" w:w="3059"/>
            <w:tcBorders>
              <w:bottom w:val="single"/>
            </w:tcBorders>
            <w:vAlign w:val="bottom"/>
          </w:tcPr>
          <w:p>
            <w:pPr>
              <w:pStyle w:val="Compact"/>
              <w:jc w:val="left"/>
            </w:pPr>
            <w:r>
              <w:rPr>
                <w:b/>
              </w:rPr>
              <w:t>Métrica</w:t>
            </w:r>
          </w:p>
        </w:tc>
        <w:tc>
          <w:tcPr>
            <w:tcW w:type="dxa" w:w="5779"/>
            <w:tcBorders>
              <w:bottom w:val="single"/>
            </w:tcBorders>
            <w:vAlign w:val="bottom"/>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rPr>
          <w:b/>
        </w:rPr>
        <w:t>Ejemplos few-shot de la configuración FS-ES</w:t>
      </w:r>
      <w:r>
        <w:t xml:space="preserve">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12. D.1 Implementación técnica del módulo KB RAG (src/kb_rag_manager.py)</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13. D.2 Catálogo de guías tipológicas y ejemplares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14. D.2 Catálogo de guías tipológicas y ejemplares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15. D.3 Reglas de la base de conocimientos contextual</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16. Anexo E — Procedencia de los Datos del Benchmark General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