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en busca de entidades de riesgo. Hacerlo manualmente resulta costoso y no escala; delegarlo en APIs en la nube expone información sensible a terceros. Este trabajo evalúa un sistema soberano de reconocimiento de entidades nombradas (NER) con modelos de lenguaje grande de código abierto ejecutados en local mediante Ollama sobre hardware Apple Silicon. La validación comparó trece modelos sobre un corpus real de 120 artículos en español, contrastando la extracción directa frente a la generación aumentada por recuperación con base de conocimiento contextual, y evaluó las diferencias mediante ANOVA y pruebas post-hoc de Tukey HSD. El beneficio del RAG contextual resulta inversamente proporcional a la capacidad del modelo: alcanza significancia estadística solo en los dos modelos más débiles (+14,5 y +10,8 puntos de F1) y es nulo o adverso en los mayores. Redactar el prompt en español e incorporar ejemplos </w:t>
      </w:r>
      <w:r>
        <w:rPr>
          <w:i/>
        </w:rPr>
        <w:t>few-shot</w:t>
      </w:r>
      <w:r>
        <w:t xml:space="preserve"> aporta conjuntamente +11,1 puntos sobre el baseline en inglés, mejora que ninguno de los dos factores logra por separado. El sistema reduce el costo unitario de revisión y preserva íntegramente la confidencialidad de los datos.</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Financial institutions operating under AML and KYC regulatory frameworks face the challenge of monitoring large volumes of unstructured news for risk entities (persons, organizations). Manual execution of this process is costly, slow, and unscalable, while cloud API usage exposes sensitive financial data to third parties, violating data sovereignty. This work designs, implements, and empirically evaluates a sovereign Named Entity Recognition (NER) system based on open-source Large Language Models (Gemma, Llama, DeepSeek families) executed 100% locally via Ollama on Apple Silicon M4 hardware.</w:t>
      </w:r>
    </w:p>
    <w:p>
      <w:pPr>
        <w:numPr>
          <w:ilvl w:val="0"/>
          <w:numId w:val="0"/>
        </w:numPr>
        <w:pStyle w:val="p1a"/>
      </w:pPr>
      <w:r>
        <w:t>The system incorporates a multithreading pub/sub processing architecture with an adaptive concurrency controller (AIMD) and a Factory/Facade layer unifying four model providers. Experimental validation was performed on the real financial sanctions dataset Kleptotrace/CoNLL-2002 (N=15 expert-annotated articles) and a statistically significant corpus of 30 short articles (N=30). The prompt-variant analysis demonstrates that combining Spanish-language localization with few-shot examples yields a +11.1 F1-point improvement over the English zero-shot baseline, and the best evaluated models reach an F1-Score of 80.57% on the domain corpus (N=30) with no failed extractions. The system reduces manual review operational costs by 60–80% while guaranteeing total data privacy.</w:t>
      </w:r>
    </w:p>
    <w:p>
      <w:pPr>
        <w:numPr>
          <w:ilvl w:val="0"/>
          <w:numId w:val="0"/>
        </w:numPr>
        <w:pStyle w:val="keywords"/>
      </w:pPr>
      <w:r>
        <w:rPr>
          <w:b/>
        </w:rPr>
        <w:t>Keywords:</w:t>
      </w:r>
      <w:r>
        <w:t xml:space="preserve"> Named Entity Recognition (NER), Large Language Models (LLM), Regulatory Compliance (AML/KYC), Data Sovereignty, Prompt Engineering.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p1a"/>
      </w:pPr>
      <w:r>
        <w:t>El proceso actual en instituciones como Austranet implica la revisión manual de cientos de artículos periodísticos diarios por analistas especializados, un proceso con un costo promedio estimado de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p1a"/>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w:t>
      </w:r>
      <w:r>
        <w:rPr>
          <w:b/>
        </w:rPr>
        <w:t>sistemas basados en reglas y expresiones regulares</w:t>
      </w:r>
      <w:r>
        <w:t xml:space="preserve"> resultan frágiles ante la variación morfológica del español, donde un mismo nombre admite múltiples formas según la posición, la partícula y la acentuación. Las </w:t>
      </w:r>
      <w:r>
        <w:rPr>
          <w:b/>
        </w:rPr>
        <w:t>APIs comerciales en la nube</w:t>
      </w:r>
      <w:r>
        <w:t xml:space="preserv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p1a"/>
      </w:pPr>
      <w:r>
        <w:t xml:space="preserve">La brecha que este trabajo aborda se sitúa precisamente en esa intersección vacía: obtener un desempeño aprovechable </w:t>
      </w:r>
      <w:r>
        <w:rPr>
          <w:b/>
        </w:rPr>
        <w:t>sin datos etiquetados del dominio y sin ceder los datos a un tercero</w:t>
      </w:r>
      <w:r>
        <w:t>.</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p1a"/>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p1a"/>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p1a"/>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w:t>
      </w:r>
      <w:r>
        <w:rPr>
          <w:b/>
        </w:rPr>
        <w:t>ANOVA de una vía y pruebas post-hoc de Tukey HSD</w:t>
      </w:r>
      <w:r>
        <w:t xml:space="preserve">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p1a"/>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p1a"/>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p1a"/>
      </w:pPr>
      <w:r>
        <w:t>Las aproximaciones al problema pueden ordenarse por el tipo de conocimiento que requieren y por el coste de adaptarlas a un dominio nuevo.</w:t>
      </w:r>
    </w:p>
    <w:p>
      <w:pPr>
        <w:numPr>
          <w:ilvl w:val="0"/>
          <w:numId w:val="0"/>
        </w:numPr>
        <w:pStyle w:val="p1a"/>
      </w:pPr>
      <w:r>
        <w:t xml:space="preserve">Los </w:t>
      </w:r>
      <w:r>
        <w:rPr>
          <w:b/>
        </w:rPr>
        <w:t>sistemas basados en reglas y diccionarios</w:t>
      </w:r>
      <w:r>
        <w:t xml:space="preserve">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p1a"/>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p1a"/>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p1a"/>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p1a"/>
      </w:pPr>
      <w:r>
        <w:t xml:space="preserve">Los </w:t>
      </w:r>
      <w:r>
        <w:rPr>
          <w:b/>
        </w:rPr>
        <w:t>modelos de lenguaje grande generativos</w:t>
      </w:r>
      <w:r>
        <w:t xml:space="preserve">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Inmediata mediante *prompt*</w:t>
            </w:r>
          </w:p>
        </w:tc>
        <w:tc>
          <w:tcPr>
            <w:tcW w:type="dxa" w:w="2444"/>
          </w:tcPr>
          <w:p>
            <w:pPr>
              <w:pStyle w:val="Compact"/>
              <w:jc w:val="center"/>
            </w:pPr>
            <w:r>
              <w:rPr>
                <w:b w:val="0"/>
              </w:rPr>
              <w:t>Alucinación y salida no estructurada</w:t>
            </w:r>
          </w:p>
        </w:tc>
      </w:tr>
    </w:tbl>
    <w:p>
      <w:pPr>
        <w:numPr>
          <w:ilvl w:val="0"/>
          <w:numId w:val="0"/>
        </w:numPr>
        <w:pStyle w:val="p1a"/>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p1a"/>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p1a"/>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p1a"/>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p1a"/>
      </w:pPr>
      <w:r>
        <w:t xml:space="preserve">Una segunda variante es el </w:t>
      </w:r>
      <w:r>
        <w:rPr>
          <w:b/>
        </w:rPr>
        <w:t>RAG contextual o de conocimiento</w:t>
      </w:r>
      <w:r>
        <w:t xml:space="preserve">,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p1a"/>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p1a"/>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p1a"/>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p1a"/>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p1a"/>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p1a"/>
      </w:pPr>
      <w:r>
        <w:t xml:space="preserve">La revisión anterior deja fijados los criterios con los que el capítulo 3 justifica cada decisión de diseño: </w:t>
      </w:r>
      <w:r>
        <w:rPr>
          <w:b/>
        </w:rPr>
        <w:t>(C1) prescindir de datos etiquetados</w:t>
      </w:r>
      <w:r>
        <w:t xml:space="preserve">, por no existir corpus del dominio en español; </w:t>
      </w:r>
      <w:r>
        <w:rPr>
          <w:b/>
        </w:rPr>
        <w:t>(C2) preservar la soberanía del dato</w:t>
      </w:r>
      <w:r>
        <w:t xml:space="preserve">, lo que excluye toda API externa; </w:t>
      </w:r>
      <w:r>
        <w:rPr>
          <w:b/>
        </w:rPr>
        <w:t>(C3) operar sobre hardware de consumo</w:t>
      </w:r>
      <w:r>
        <w:t xml:space="preserve">, lo que obliga a cuantización y a gestión explícita de memoria; </w:t>
      </w:r>
      <w:r>
        <w:rPr>
          <w:b/>
        </w:rPr>
        <w:t>(C4) producir salida verificable</w:t>
      </w:r>
      <w:r>
        <w:t xml:space="preserve">, dado que el modelo elegido genera texto libre; y </w:t>
      </w:r>
      <w:r>
        <w:rPr>
          <w:b/>
        </w:rPr>
        <w:t>(C5) permitir comparación empírica entre variantes</w:t>
      </w:r>
      <w:r>
        <w:t xml:space="preserve">,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p1a"/>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p1a"/>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p1a"/>
      </w:pPr>
      <w:r>
        <w:t xml:space="preserve">El tercer criterio, operar sobre hardware de consumo, obliga a cuantizar a 4 bits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p1a"/>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p1a"/>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p1a"/>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p1a"/>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p1a"/>
      </w:pPr>
      <w:r>
        <w:t xml:space="preserve">El número de consumidores no es fijo, sino que lo regula un controlador </w:t>
      </w:r>
      <w:r>
        <w:rPr>
          <w:b/>
        </w:rPr>
        <w:t>AIMD</w:t>
      </w:r>
      <w:r>
        <w:t xml:space="preserve"> (</w:t>
      </w:r>
      <w:r>
        <w:rPr>
          <w:i/>
        </w:rPr>
        <w:t>Additive Increase, Multiplicative Decrease</w:t>
      </w:r>
      <w:r>
        <w:t xml:space="preserve">), política tomada del control de congestión en redes. Mientras el sistema permanece estable —sin errores de limitación de tasa ni excepciones— durante una ventana de 600 segundos, el controlador </w:t>
      </w:r>
      <w:r>
        <w:rPr>
          <w:b/>
        </w:rPr>
        <w:t>añade un consumidor cada 120 segundos</w:t>
      </w:r>
      <w:r>
        <w:t xml:space="preserve"> hasta un techo del 75 % del máximo configurado; ante el primer error de saturación </w:t>
      </w:r>
      <w:r>
        <w:rPr>
          <w:b/>
        </w:rPr>
        <w:t>reduce los consumidores a la mitad</w:t>
      </w:r>
      <w:r>
        <w:t>. Un cortacircuitos complementa la política: cinco fallos consecutivos abren el circuito y suspenden el procesamiento durante 60 segundos. La asimetría entre el aumento prudente y el recorte agresivo es deliberada, pues el coste de saturar un servicio de inferencia —reintentos, respuestas truncadas, penalización por cuota— excede con mucho al de infrautilizarlo. Sobre Apple Silicon M4 con 16 GB, el sistema escaló de forma estable hasta nueve consumidores concurrentes para modelos de 8B parámetros.</w:t>
      </w:r>
    </w:p>
    <w:p>
      <w:pPr>
        <w:numPr>
          <w:ilvl w:val="0"/>
          <w:numId w:val="0"/>
        </w:numPr>
        <w:pStyle w:val="p1a"/>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w:t>
      </w:r>
      <w:r>
        <w:rPr>
          <w:b/>
        </w:rPr>
        <w:t>pero no reduce el footprint de uno solo</w:t>
      </w:r>
      <w:r>
        <w:t>, y esa distinción resultó decisiva. macOS asigna a la GPU un techo de memoria equivalente al 75 % de la memoria unificada del equipo (</w:t>
      </w:r>
      <w:r>
        <w:t>recommendedMaxWorkingSetSize</w:t>
      </w:r>
      <w:r>
        <w:t xml:space="preserve">): unos 12 GB en una máquina de 16 GB. Los modelos de hasta ~12B cuantizados a 4 bits ocupan entre 7 y 9 GB y caben con holgura; los de 31B alcanzan un footprint operativo de ~24,7 GB —unos 18,7 GB de pesos más la caché de claves y valores y el sobrecoste de inferencia— y </w:t>
      </w:r>
      <w:r>
        <w:rPr>
          <w:b/>
        </w:rPr>
        <w:t>no pueden cargarse en 16 GB ni siquiera de forma serial</w:t>
      </w:r>
      <w:r>
        <w:t>. La ejecución se organizó en consecuencia en dos escalones de hardware: 16 GB para los modelos de hasta ~12B y un equipo de 48 GB, con techo asignable de ~36 GB, para los de 31B y las variantes MLX de mayor tamaño.</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w:t>
      </w:r>
      <w:r>
        <w:rPr>
          <w:b/>
        </w:rPr>
        <w:t>emparejamiento difuso</w:t>
      </w:r>
      <w:r>
        <w:t xml:space="preserve"> por similitud de tokens, aceptando como acierto toda coincidencia por encima de un umbral configurable, fijado en 85 sobre 100. La elección del umbral es un compromiso: por debajo admite falsos emparejamientos entre nombres distintos que comparten apellido; por encima rechaza variantes legítimas.</w:t>
      </w:r>
    </w:p>
    <w:p>
      <w:pPr>
        <w:numPr>
          <w:ilvl w:val="0"/>
          <w:numId w:val="0"/>
        </w:numPr>
        <w:pStyle w:val="p1a"/>
      </w:pPr>
      <w:r>
        <w:t xml:space="preserve">Sobre esa base se calculan precisión, exhaustividad y F1 por artículo, que después se promedian, y una </w:t>
      </w:r>
      <w:r>
        <w:rPr>
          <w:b/>
        </w:rPr>
        <w:t>tasa de alucinación</w:t>
      </w:r>
      <w:r>
        <w:t xml:space="preserve"> definida como la proporción de entidades propuestas sin correspondencia alguna en la referencia.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p1a"/>
      </w:pPr>
      <w:r>
        <w:rPr>
          <w:b/>
        </w:rPr>
        <w:t>Corpus 1 — Kleptotrace/CoNLL-2002 (N=15, Gold Standard):</w:t>
      </w:r>
      <w:r>
        <w:t xml:space="preserve">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p1a"/>
      </w:pPr>
      <w:r>
        <w:rPr>
          <w:b/>
        </w:rPr>
        <w:t>Corpus 2 — Kleptotrace/CoNLL-2002 Augmented (N=30, Corpus de Validación Estadística):</w:t>
      </w:r>
      <w:r>
        <w:t xml:space="preserve">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p1a"/>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p1a"/>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con </w:t>
      </w:r>
      <w:r>
        <w:rPr>
          <w:b/>
        </w:rPr>
        <w:t>105 artículos reales del corpus público CoNLL-2002 en español</w:t>
      </w:r>
      <w:r>
        <w:t xml:space="preserve"> (</w:t>
      </w:r>
      <w:r>
        <w:t>data/conll2002_es.json</w:t>
      </w:r>
      <w:r>
        <w:t xml:space="preserve">, 833 artículos disponibles), generando el archivo </w:t>
      </w:r>
      <w:r>
        <w:t>data/benchmark_balanced_120.json</w:t>
      </w:r>
      <w:r>
        <w:t xml:space="preserve"> (N=120, script </w:t>
      </w:r>
      <w:r>
        <w:t>create_balanced_120.py</w:t>
      </w:r>
      <w:r>
        <w:t xml:space="preserve">). A diferencia del corpus N=30, </w:t>
      </w:r>
      <w:r>
        <w:rPr>
          <w:b/>
        </w:rPr>
        <w:t>ningún texto de este corpus fue generado por un LLM</w:t>
      </w:r>
      <w:r>
        <w:t>: los 120 artículos son noticias reales con anotación de entidades real.</w:t>
      </w:r>
    </w:p>
    <w:p>
      <w:pPr>
        <w:numPr>
          <w:ilvl w:val="0"/>
          <w:numId w:val="0"/>
        </w:numPr>
        <w:pStyle w:val="p1a"/>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p1a"/>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p1a"/>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p1a"/>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p1a"/>
      </w:pPr>
      <w:r>
        <w:t>Los tres ejemplos empleados en la configuración few-shot en español cubren un caso de persona sancionada, uno de organización y uno de mención ambigua; se reproducen íntegros en el Anexo B.</w:t>
      </w:r>
    </w:p>
    <w:p>
      <w:pPr>
        <w:numPr>
          <w:ilvl w:val="0"/>
          <w:numId w:val="0"/>
        </w:numPr>
        <w:pStyle w:val="p1a"/>
      </w:pPr>
      <w:r>
        <w:t xml:space="preserve">Los resultados del análisis de variantes de prompts revelan una </w:t>
      </w:r>
      <w:r>
        <w:rPr>
          <w:b/>
        </w:rPr>
        <w:t>interacción entre los dos factores</w:t>
      </w:r>
      <w:r>
        <w:t xml:space="preserve">: por separado, la localización al español aporta +4.38 pp de F1 y los ejemplos </w:t>
      </w:r>
      <w:r>
        <w:rPr>
          <w:i/>
        </w:rPr>
        <w:t>few-shot</w:t>
      </w:r>
      <w:r>
        <w:t xml:space="preserve"> en inglés no aportan nada (−0.73 pp), pero </w:t>
      </w:r>
      <w:r>
        <w:rPr>
          <w:b/>
        </w:rPr>
        <w:t>su combinación alcanza +11.12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tablecaption"/>
      </w:pPr>
      <w:r>
        <w:t>Tabla 4. Métricas de Evaluación</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rPr>
                <w:b/>
              </w:rPr>
              <w:t>Métrica</w:t>
            </w:r>
          </w:p>
        </w:tc>
        <w:tc>
          <w:tcPr>
            <w:tcW w:type="dxa" w:w="5779"/>
          </w:tcPr>
          <w:p>
            <w:pPr>
              <w:pStyle w:val="Compact"/>
              <w:jc w:val="left"/>
            </w:pPr>
            <w:r>
              <w:rPr>
                <w:b/>
              </w:rPr>
              <w:t>Definición</w:t>
            </w:r>
          </w:p>
        </w:tc>
      </w:tr>
      <w:tr>
        <w:tc>
          <w:tcPr>
            <w:tcW w:type="dxa" w:w="3059"/>
          </w:tcPr>
          <w:p>
            <w:pPr>
              <w:pStyle w:val="Compact"/>
              <w:jc w:val="left"/>
            </w:pPr>
            <w:r>
              <w:rPr>
                <w:b/>
              </w:rPr>
              <w:t>F1-Score</w:t>
            </w:r>
          </w:p>
        </w:tc>
        <w:tc>
          <w:tcPr>
            <w:tcW w:type="dxa" w:w="5779"/>
          </w:tcPr>
          <w:p>
            <w:pPr>
              <w:pStyle w:val="Compact"/>
              <w:jc w:val="left"/>
            </w:pPr>
            <w:r>
              <w:rPr>
                <w:b w:val="0"/>
              </w:rPr>
              <w:t>Media armónica entre Precisión y Recall (métrica principal)</w:t>
            </w:r>
          </w:p>
        </w:tc>
      </w:tr>
      <w:tr>
        <w:tc>
          <w:tcPr>
            <w:tcW w:type="dxa" w:w="3059"/>
          </w:tcPr>
          <w:p>
            <w:pPr>
              <w:pStyle w:val="Compact"/>
              <w:jc w:val="left"/>
            </w:pPr>
            <w:r>
              <w:rPr>
                <w:b/>
              </w:rPr>
              <w:t>Precisión</w:t>
            </w:r>
          </w:p>
        </w:tc>
        <w:tc>
          <w:tcPr>
            <w:tcW w:type="dxa" w:w="5779"/>
          </w:tcPr>
          <w:p>
            <w:pPr>
              <w:pStyle w:val="Compact"/>
              <w:jc w:val="left"/>
            </w:pPr>
            <w:r>
              <w:rPr>
                <w:b w:val="0"/>
              </w:rPr>
              <w:t>TP / (TP + FP) — Exactitud de las entidades extraídas</w:t>
            </w:r>
          </w:p>
        </w:tc>
      </w:tr>
      <w:tr>
        <w:tc>
          <w:tcPr>
            <w:tcW w:type="dxa" w:w="3059"/>
          </w:tcPr>
          <w:p>
            <w:pPr>
              <w:pStyle w:val="Compact"/>
              <w:jc w:val="left"/>
            </w:pPr>
            <w:r>
              <w:rPr>
                <w:b/>
              </w:rPr>
              <w:t>Recall</w:t>
            </w:r>
          </w:p>
        </w:tc>
        <w:tc>
          <w:tcPr>
            <w:tcW w:type="dxa" w:w="5779"/>
          </w:tcPr>
          <w:p>
            <w:pPr>
              <w:pStyle w:val="Compact"/>
              <w:jc w:val="left"/>
            </w:pPr>
            <w:r>
              <w:rPr>
                <w:b w:val="0"/>
              </w:rPr>
              <w:t>TP / (TP + FN) — Cobertura de las entidades reales</w:t>
            </w:r>
          </w:p>
        </w:tc>
      </w:tr>
      <w:tr>
        <w:tc>
          <w:tcPr>
            <w:tcW w:type="dxa" w:w="3059"/>
          </w:tcPr>
          <w:p>
            <w:pPr>
              <w:pStyle w:val="Compact"/>
              <w:jc w:val="left"/>
            </w:pPr>
            <w:r>
              <w:rPr>
                <w:b/>
              </w:rPr>
              <w:t>Hallucination Rate</w:t>
            </w:r>
          </w:p>
        </w:tc>
        <w:tc>
          <w:tcPr>
            <w:tcW w:type="dxa" w:w="5779"/>
          </w:tcPr>
          <w:p>
            <w:pPr>
              <w:pStyle w:val="Compact"/>
              <w:jc w:val="left"/>
            </w:pPr>
            <w:r>
              <w:rPr>
                <w:b w:val="0"/>
              </w:rPr>
              <w:t>Entidades extraídas sin correspondencia en GT / Total extraídas</w:t>
            </w:r>
          </w:p>
        </w:tc>
      </w:tr>
      <w:tr>
        <w:tc>
          <w:tcPr>
            <w:tcW w:type="dxa" w:w="3059"/>
          </w:tcPr>
          <w:p>
            <w:pPr>
              <w:pStyle w:val="Compact"/>
              <w:jc w:val="left"/>
            </w:pPr>
            <w:r>
              <w:rPr>
                <w:b/>
              </w:rPr>
              <w:t>Latencia (s)</w:t>
            </w:r>
          </w:p>
        </w:tc>
        <w:tc>
          <w:tcPr>
            <w:tcW w:type="dxa" w:w="5779"/>
          </w:tcPr>
          <w:p>
            <w:pPr>
              <w:pStyle w:val="Compact"/>
              <w:jc w:val="left"/>
            </w:pPr>
            <w:r>
              <w:rPr>
                <w:b w:val="0"/>
              </w:rPr>
              <w:t>Tiempo promedio por artículo en segundos</w:t>
            </w:r>
          </w:p>
        </w:tc>
      </w:tr>
      <w:tr>
        <w:tc>
          <w:tcPr>
            <w:tcW w:type="dxa" w:w="3059"/>
          </w:tcPr>
          <w:p>
            <w:pPr>
              <w:pStyle w:val="Compact"/>
              <w:jc w:val="left"/>
            </w:pPr>
            <w:r>
              <w:rPr>
                <w:b/>
              </w:rPr>
              <w:t>Índice Tok/s/B</w:t>
            </w:r>
          </w:p>
        </w:tc>
        <w:tc>
          <w:tcPr>
            <w:tcW w:type="dxa" w:w="5779"/>
          </w:tcPr>
          <w:p>
            <w:pPr>
              <w:pStyle w:val="Compact"/>
              <w:jc w:val="left"/>
            </w:pPr>
            <w:r>
              <w:rPr>
                <w:b w:val="0"/>
              </w:rPr>
              <w:t>Tokens por segundo normalizados por cada mil millones (10⁹) de parámetros</w:t>
            </w:r>
          </w:p>
        </w:tc>
      </w:tr>
    </w:tbl>
    <w:p>
      <w:pPr>
        <w:numPr>
          <w:ilvl w:val="0"/>
          <w:numId w:val="0"/>
        </w:numPr>
        <w:pStyle w:val="p1a"/>
      </w:pPr>
      <w:r>
        <w:t xml:space="preserve">El cotejo entre la entidad extraída y la de referencia es </w:t>
      </w:r>
      <w:r>
        <w:rPr>
          <w:b/>
        </w:rPr>
        <w:t>difuso</w:t>
      </w:r>
      <w:r>
        <w:t>, con un umbral de similitud de 85 sobre 100, lo que tolera variaciones menores de forma sin admitir coincidencias espurias.</w:t>
      </w:r>
    </w:p>
    <w:p>
      <w:pPr>
        <w:numPr>
          <w:ilvl w:val="0"/>
          <w:numId w:val="0"/>
        </w:numPr>
        <w:pStyle w:val="p1a"/>
      </w:pPr>
      <w:r>
        <w:rPr>
          <w:b/>
        </w:rPr>
        <w:t>Convención ante la extracción vacía.</w:t>
      </w:r>
      <w:r>
        <w:t xml:space="preserve">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p1a"/>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5 presenta los resultados consolidados del benchmark completo agrupados por familia y tamaño de modelo:</w:t>
      </w:r>
    </w:p>
    <w:p>
      <w:pPr>
        <w:numPr>
          <w:ilvl w:val="0"/>
          <w:numId w:val="0"/>
        </w:numPr>
        <w:pStyle w:val="tablecaption"/>
      </w:pPr>
      <w:r>
        <w:t>Tabla 5.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6.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−0.73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+11.12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0.73 pp—, pero </w:t>
      </w:r>
      <w:r>
        <w:rPr>
          <w:b/>
        </w:rPr>
        <w:t>su combinación alcanza +11.12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7.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p1a"/>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w:t>
      </w:r>
      <w:r>
        <w:rPr>
          <w:b/>
        </w:rPr>
        <w:t>F = 0,2235 con p = 0,6382</w:t>
      </w:r>
      <w:r>
        <w:t>,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p1a"/>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p1a"/>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w:t>
      </w:r>
      <w:r>
        <w:rPr>
          <w:b/>
        </w:rPr>
        <w:t>la precisión coincide hasta el cuarto decimal (73,34 %) y el F1 difiere en menos de medio punto</w:t>
      </w:r>
      <w:r>
        <w:t>,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w:t>
      </w:r>
      <w:r>
        <w:rPr>
          <w:b/>
        </w:rPr>
        <w:t>estudio completo de 13 modelos</w:t>
      </w:r>
      <w:r>
        <w:t xml:space="preserve">,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8.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−0.53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p1a"/>
      </w:pPr>
      <w:r>
        <w:t xml:space="preserve">El ANOVA de una vía sobre los veintiséis grupos arroja </w:t>
      </w:r>
      <w:r>
        <w:rPr>
          <w:b/>
        </w:rPr>
        <w:t>F = 38,2222</w:t>
      </w:r>
      <w:r>
        <w:t xml:space="preserve"> con </w:t>
      </w:r>
      <w:r>
        <w:rPr>
          <w:b/>
        </w:rPr>
        <w:t>p = 3,4453 × 10⁻¹⁶⁰</w:t>
      </w:r>
      <w:r>
        <w:t xml:space="preserve">,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172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w:t>
      </w:r>
    </w:p>
    <w:p>
      <w:pPr>
        <w:numPr>
          <w:ilvl w:val="0"/>
          <w:numId w:val="0"/>
        </w:numPr>
        <w:pStyle w:val="p1a"/>
      </w:pPr>
      <w:r>
        <w:t xml:space="preserve">Ese resultado dibuja el hallazgo central del estudio: </w:t>
      </w:r>
      <w:r>
        <w:rPr>
          <w:b/>
        </w:rPr>
        <w:t>el beneficio del KB RAG es inversamente proporcional a la capacidad del modelo</w:t>
      </w:r>
      <w:r>
        <w:t>. Aporta de forma demostrable en los dos modelos más débiles, es positivo pero no concluyente en la franja intermedia y se anula o revierte en los de mayor capacidad —−0,53 y −0,18 puntos en los dos de 31B—, que ya siguen correctamente las instrucciones sin contexto adicional. Diez de los trece modelos mejoran, aunque solo dos lo hagan de manera estadísticamente sólida.</w:t>
      </w:r>
    </w:p>
    <w:p>
      <w:pPr>
        <w:numPr>
          <w:ilvl w:val="0"/>
          <w:numId w:val="0"/>
        </w:numPr>
        <w:pStyle w:val="p1a"/>
      </w:pPr>
      <w:r>
        <w:rPr>
          <w:b/>
        </w:rPr>
        <w:t>Lectura conjunta con el corpus N=30 (§5.3):</w:t>
      </w:r>
      <w:r>
        <w:t xml:space="preserve">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9.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w:t>
      </w:r>
    </w:p>
    <w:p>
      <w:pPr>
        <w:numPr>
          <w:ilvl w:val="0"/>
          <w:numId w:val="0"/>
        </w:numPr>
        <w:pStyle w:val="p1a"/>
      </w:pPr>
      <w:r>
        <w:t xml:space="preserve">El costo por artículo en el sistema soberano local se estima en USD 0.052, versus USD 8.75 en revisión manual, representando una reducción del </w:t>
      </w:r>
      <w:r>
        <w:rPr>
          <w:b/>
        </w:rPr>
        <w:t>99.4%</w:t>
      </w:r>
      <w:r>
        <w:t xml:space="preserve"> en costo unitario.</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y anteponía al </w:t>
      </w:r>
      <w:r>
        <w:rPr>
          <w:i/>
        </w:rPr>
        <w:t>prompt</w:t>
      </w:r>
      <w:r>
        <w:t xml:space="preserve"> los más próximos al artículo según similitud vectorial. El resultado fue el contrario del esperado: sobre el corpus N=120, siete de los quince modelos evaluados empeoraron al activarlo, y entre ellos los de mejor desempeño base.</w:t>
      </w:r>
    </w:p>
    <w:p>
      <w:pPr>
        <w:numPr>
          <w:ilvl w:val="0"/>
          <w:numId w:val="0"/>
        </w:numPr>
        <w:pStyle w:val="p1a"/>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p1a"/>
      </w:pPr>
      <w:r>
        <w:t xml:space="preserve">La segunda versión invierte la naturaleza de lo recuperado. En lugar de entidades, la base de conocimientos almacena </w:t>
      </w:r>
      <w:r>
        <w:rPr>
          <w:b/>
        </w:rPr>
        <w:t>criterios</w:t>
      </w:r>
      <w:r>
        <w:t xml:space="preserve">: guías tipológicas por dominio —sanciones financieras, política, deportes, empresas—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p1a"/>
      </w:pPr>
      <w:r>
        <w:t xml:space="preserve">Los resultados de esta segunda versión sobre el corpus completo se recogen en la tabla de §5.3.5, que compara los trece modelos del estudio en ambos modos. Su lectura confirma que el cambio de estrategia revierte la degradación —diez de los trece modelos mejoran— y revela un patrón que la primera versión no permitía observar: el beneficio </w:t>
      </w:r>
      <w:r>
        <w:rPr>
          <w:b/>
        </w:rPr>
        <w:t>decrece conforme aumenta la capacidad del modelo</w:t>
      </w:r>
      <w:r>
        <w:t>,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 xml:space="preserve">La hipótesis fijaba un F1 igual o superior al 70 % como umbral de viabilidad. El umbral </w:t>
      </w:r>
      <w:r>
        <w:rPr>
          <w:b/>
        </w:rPr>
        <w:t>se alcanza sobre el corpus del dominio</w:t>
      </w:r>
      <w:r>
        <w:t xml:space="preserve"> —</w:t>
      </w:r>
      <w:r>
        <w:t>gemma4:31b-mlx</w:t>
      </w:r>
      <w:r>
        <w:t xml:space="preserve"> obtiene 80,57 % con intervalo de confianza al 95 % de [74,22 %, 86,92 %] y ninguna extracción fallida sobre N=30— y </w:t>
      </w:r>
      <w:r>
        <w:rPr>
          <w:b/>
        </w:rPr>
        <w:t>no se alcanza sobre el corpus periodístico general</w:t>
      </w:r>
      <w:r>
        <w:t>, cuyo mejor resultado local es 59,25 % (</w:t>
      </w:r>
      <w:r>
        <w:t>gemma4:31b-mlx</w:t>
      </w:r>
      <w:r>
        <w:t xml:space="preserve">) sobre N=120. La hipótesis queda por tanto </w:t>
      </w:r>
      <w:r>
        <w:rPr>
          <w:b/>
        </w:rPr>
        <w:t>confirmada para el dominio específico de sanciones financieras y no confirmada para corpus periodísticos heterogéneos</w:t>
      </w:r>
      <w:r>
        <w:t>.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p1a"/>
      </w:pPr>
      <w:r>
        <w:t xml:space="preserve">Tres factores explican la distribución de resultados observada. El primero es </w:t>
      </w:r>
      <w:r>
        <w:rPr>
          <w:b/>
        </w:rPr>
        <w:t>el idioma del prompt y de sus ejemplos</w:t>
      </w:r>
      <w:r>
        <w:t>. Redactar ambos en español aporta 11,12 puntos de F1 sin cambiar de modelo, mejora que ninguno de los dos factores consigue por separado: traducir solo el prompt aporta 4,38 puntos y añadir ejemplos en inglés resta 0,73.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p1a"/>
      </w:pPr>
      <w:r>
        <w:t xml:space="preserve">El segundo factor es el </w:t>
      </w:r>
      <w:r>
        <w:rPr>
          <w:b/>
        </w:rPr>
        <w:t>compromiso entre tamaño y eficiencia</w:t>
      </w:r>
      <w:r>
        <w:t xml:space="preserve">.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p1a"/>
      </w:pPr>
      <w:r>
        <w:t xml:space="preserve">El tercer factor es la </w:t>
      </w:r>
      <w:r>
        <w:rPr>
          <w:b/>
        </w:rPr>
        <w:t>equivalencia entre ejecución local y en la nube</w:t>
      </w:r>
      <w:r>
        <w:t>.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p1a"/>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xml:space="preserve">, y ahí reside el hallazgo: su efectividad está </w:t>
      </w:r>
      <w:r>
        <w:rPr>
          <w:b/>
        </w:rPr>
        <w:t>modulada por la capacidad del modelo receptor</w:t>
      </w:r>
      <w:r>
        <w:t>.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p1a"/>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p1a"/>
      </w:pPr>
      <w:r>
        <w:t xml:space="preserve">De ahí se sigue tanto la explicación del fracaso de la primera versión como una recomendación práctica. El problema del RAG por diccionario no estaba en el concepto de recuperación sino en </w:t>
      </w:r>
      <w:r>
        <w:rPr>
          <w:b/>
        </w:rPr>
        <w:t>la naturaleza de lo recuperado</w:t>
      </w:r>
      <w:r>
        <w:t>: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rPr>
          <w:b/>
        </w:rPr>
        <w:t>Localización lingüística como factor crítico:</w:t>
      </w:r>
      <w:r>
        <w:t xml:space="preserve"> el idioma del prompt y los ejemplos </w:t>
      </w:r>
      <w:r>
        <w:rPr>
          <w:i/>
        </w:rPr>
        <w:t>few-shot</w:t>
      </w:r>
      <w:r>
        <w:t xml:space="preserve"> </w:t>
      </w:r>
      <w:r>
        <w:rPr>
          <w:b/>
        </w:rPr>
        <w:t>interactúan</w:t>
      </w:r>
      <w:r>
        <w:t xml:space="preserve">: por separado aportan +4.38 pp y −0.73 pp de F1 respectivamente, pero combinados alcanzan </w:t>
      </w:r>
      <w:r>
        <w:rPr>
          <w:b/>
        </w:rPr>
        <w:t>+11.12 pp</w:t>
      </w:r>
      <w:r>
        <w:t>. Los ejemplos solo resultan productivos redactados en el idioma del corpus, lo que tiene implicaciones directas para despliegues en mercados hispanohablantes.</w:t>
      </w:r>
    </w:p>
    <w:p>
      <w:pPr>
        <w:numPr>
          <w:ilvl w:val="0"/>
          <w:numId w:val="0"/>
        </w:numPr>
        <w:pStyle w:val="numbereditem"/>
      </w:pPr>
      <w:r>
        <w:rPr>
          <w:b/>
        </w:rPr>
        <w:t>Soberanía de datos sin costo de rendimiento:</w:t>
      </w:r>
      <w:r>
        <w:t xml:space="preserve">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rPr>
          <w:b/>
        </w:rPr>
        <w:t>El RAG contextual supera al RAG por diccionario:</w:t>
      </w:r>
      <w:r>
        <w:t xml:space="preserve">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N=5 sobre el mismo modelo degradó el F1 hasta 0.2367 (−57.8% respecto de su propio baseline).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rPr>
          <w:b/>
        </w:rPr>
        <w:t>La codificación del corpus condiciona la medición, y no de forma neutra:</w:t>
      </w:r>
      <w:r>
        <w:t xml:space="preserve">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w:t>
      </w:r>
      <w:r>
        <w:rPr>
          <w:b/>
        </w:rPr>
        <w:t>favorece a los modelos que transcriben literalmente y penaliza a los que normalizan la ortografía</w:t>
      </w:r>
      <w:r>
        <w:t xml:space="preserve">, con un efecto que oscila entre −0.070 y +0.025 de F1 según el modelo. La implicación metodológica excede a este trabajo: en una evaluación de NER, </w:t>
      </w:r>
      <w:r>
        <w:rPr>
          <w:b/>
        </w:rPr>
        <w:t>un defecto de codificación no es ruido de fondo sino una variable que interactúa con el comportamiento del modelo</w:t>
      </w:r>
      <w:r>
        <w:t xml:space="preserve">,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rPr>
          <w:b/>
        </w:rPr>
        <w:t>Expansión de la Base de Conocimientos KB RAG (Prioridad Alta):</w:t>
      </w:r>
      <w:r>
        <w:t xml:space="preserve">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(Low-Rank Adaptation) sobre </w:t>
      </w:r>
      <w:r>
        <w:t>gemma4:31b</w:t>
      </w:r>
      <w:r>
        <w:t xml:space="preserve"> con 200+ ejemplos anotados de Kleptotrace/CoNLL-2002 para cerrar la brecha hacia la meta aspiracional de 85% de F1 (§6.1).</w:t>
      </w:r>
    </w:p>
    <w:p>
      <w:pPr>
        <w:numPr>
          <w:ilvl w:val="0"/>
          <w:numId w:val="0"/>
        </w:numPr>
        <w:pStyle w:val="numbereditem"/>
      </w:pPr>
      <w:r>
        <w:rPr>
          <w:b/>
        </w:rPr>
        <w:t>Expansión del corpus de evaluación (Fase 2):</w:t>
      </w:r>
      <w:r>
        <w:t xml:space="preserve"> Ampliar el corpus de N=120 a N≥200 artículos reales del dominio AML/KYC chileno, incorporando fuentes como la UAF, CMF y bases de datos de OpenSanctions.</w:t>
      </w:r>
    </w:p>
    <w:p>
      <w:pPr>
        <w:numPr>
          <w:ilvl w:val="0"/>
          <w:numId w:val="0"/>
        </w:numPr>
        <w:pStyle w:val="numbereditem"/>
      </w:pPr>
      <w:r>
        <w:rPr>
          <w:b/>
        </w:rPr>
        <w:t>Ensemble de modelos (Fase 3):</w:t>
      </w:r>
      <w:r>
        <w:t xml:space="preserve">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rPr>
          <w:b/>
        </w:rPr>
        <w:t>Evaluación en producción (Fase 4):</w:t>
      </w:r>
      <w:r>
        <w:t xml:space="preserve">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rPr>
          <w:b/>
        </w:rPr>
        <w:t>Normalización de codificación del corpus y re-evaluación (Fase 6):</w:t>
      </w:r>
      <w:r>
        <w:t xml:space="preserve">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+0.091 de F1 según el modelo (§5.3.5). La línea de trabajo consiste en </w:t>
      </w:r>
      <w:r>
        <w:rPr>
          <w:b/>
        </w:rPr>
        <w:t>normalizar la codificación en ambos lados de la comparación</w:t>
      </w:r>
      <w:r>
        <w:t xml:space="preserve">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10.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r>
              <w:rPr>
                <w:b w:val="0"/>
              </w:rPr>
            </w:r>
          </w:p>
        </w:tc>
      </w:tr>
      <w:tr>
        <w:tc>
          <w:tcPr>
            <w:tcW w:type="dxa" w:w="5461"/>
          </w:tcPr>
          <w:p>
            <w:pPr>
              <w:pStyle w:val="Compact"/>
              <w:jc w:val="left"/>
            </w:pPr>
            <w:r>
              <w:rPr>
                <w:b w:val="0"/>
              </w:rPr>
              <w:t>src/</w:t>
            </w:r>
          </w:p>
        </w:tc>
        <w:tc>
          <w:tcPr>
            <w:tcW w:type="dxa" w:w="3377"/>
          </w:tcPr>
          <w:p>
            <w:pPr>
              <w:pStyle w:val="Compact"/>
              <w:jc w:val="left"/>
            </w:pPr>
            <w:r>
              <w:rPr>
                <w:b w:val="0"/>
              </w:rPr>
            </w: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r>
              <w:rPr>
                <w:b w:val="0"/>
              </w:rPr>
            </w: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r>
              <w:rPr>
                <w:b w:val="0"/>
              </w:rPr>
            </w: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r>
              <w:rPr>
                <w:b w:val="0"/>
              </w:rPr>
            </w:r>
          </w:p>
        </w:tc>
      </w:tr>
      <w:tr>
        <w:tc>
          <w:tcPr>
            <w:tcW w:type="dxa" w:w="5461"/>
          </w:tcPr>
          <w:p>
            <w:pPr>
              <w:pStyle w:val="Compact"/>
              <w:jc w:val="left"/>
            </w:pPr>
            <w:r>
              <w:rPr>
                <w:b w:val="0"/>
              </w:rPr>
              <w:t xml:space="preserve">    statistical_report.md</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r>
              <w:rPr>
                <w:b w:val="0"/>
              </w:rPr>
            </w:r>
          </w:p>
        </w:tc>
      </w:tr>
      <w:tr>
        <w:tc>
          <w:tcPr>
            <w:tcW w:type="dxa" w:w="5461"/>
          </w:tcPr>
          <w:p>
            <w:pPr>
              <w:pStyle w:val="Compact"/>
              <w:jc w:val="left"/>
            </w:pPr>
            <w:r>
              <w:rPr>
                <w:b w:val="0"/>
              </w:rPr>
              <w:t xml:space="preserve">    rag/</w:t>
            </w:r>
          </w:p>
        </w:tc>
        <w:tc>
          <w:tcPr>
            <w:tcW w:type="dxa" w:w="3377"/>
          </w:tcPr>
          <w:p>
            <w:pPr>
              <w:pStyle w:val="Compact"/>
              <w:jc w:val="left"/>
            </w:pPr>
            <w:r>
              <w:rPr>
                <w:b w:val="0"/>
              </w:rPr>
            </w: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p1a"/>
      </w:pPr>
      <w:r>
        <w:rPr>
          <w:b/>
        </w:rPr>
        <w:t>Ejemplos few-shot de la configuración FS-ES</w:t>
      </w:r>
      <w:r>
        <w:t xml:space="preserve"> (§4.3):</w:t>
      </w:r>
    </w:p>
    <w:p>
      <w:pPr>
        <w:numPr>
          <w:ilvl w:val="0"/>
          <w:numId w:val="0"/>
        </w:numPr>
        <w:pStyle w:val="p1a"/>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p1a"/>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p1a"/>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p1a"/>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11.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 (5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p1a"/>
      </w:pPr>
      <w:r>
        <w:rPr>
          <w:i/>
        </w:rPr>
        <w:t>Informe Final de Tesina — Magíster en Tecnologías de la Información (MTI)</w:t>
      </w:r>
      <w:r>
        <w:t xml:space="preserve"> </w:t>
      </w:r>
      <w:r>
        <w:rPr>
          <w:i/>
        </w:rPr>
        <w:t>Universidad Técnica Federico Santa María — Valparaíso, Chile</w:t>
      </w:r>
      <w:r>
        <w:t xml:space="preserve"> </w:t>
      </w:r>
      <w:r>
        <w:rPr>
          <w:i/>
        </w:rPr>
        <w:t>Julio 2026</w:t>
      </w:r>
    </w:p>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El módulo src/kb_rag_manager.py (KBRAGManager) implementa cuatro modos de operación configurables:</w:t>
      </w:r>
    </w:p>
    <w:p>
      <w:pPr>
        <w:numPr>
          <w:ilvl w:val="0"/>
          <w:numId w:val="0"/>
        </w:numPr>
        <w:pStyle w:val="p1a"/>
      </w:pPr>
      <w:r>
        <w:t>_Tabla 16. Configuración CLI del Módulo KB RAG_</w:t>
      </w:r>
    </w:p>
    <w:p>
      <w:pPr>
        <w:numPr>
          <w:ilvl w:val="0"/>
          <w:numId w:val="0"/>
        </w:numPr>
        <w:pStyle w:val="tablecaption"/>
      </w:pPr>
      <w:r>
        <w:t>Tabla 12. D.1 Implementación técnica del módulo KB RAG (src/kb_rag_manager.py)</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p1a"/>
      </w:pPr>
      <w:r>
        <w:t>La base de conocimientos se organiza en dos colecciones ChromaDB separadas para garantizar compatibilidad con el sistema preexistente:</w:t>
      </w:r>
    </w:p>
    <w:p>
      <w:pPr>
        <w:numPr>
          <w:ilvl w:val="0"/>
          <w:numId w:val="0"/>
        </w:numPr>
        <w:pStyle w:val="p1a"/>
      </w:pPr>
      <w:r>
        <w:t>ner_dictionaries: Colección legacy (diccionarios de entidades, preservada)</w:t>
      </w:r>
    </w:p>
    <w:p>
      <w:pPr>
        <w:numPr>
          <w:ilvl w:val="0"/>
          <w:numId w:val="0"/>
        </w:numPr>
        <w:pStyle w:val="p1a"/>
      </w:pPr>
      <w:r>
        <w:t>ner_knowledge_base: Nueva colección (guías + ejemplares, 12 documentos)</w:t>
      </w:r>
    </w:p>
    <w:p>
      <w:pPr>
        <w:numPr>
          <w:ilvl w:val="0"/>
          <w:numId w:val="0"/>
        </w:numPr>
        <w:pStyle w:val="p1a"/>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p1a"/>
      </w:pPr>
      <w:r>
        <w:t>Template de inyección diferenciado: El módulo ollama_provider.py detecta automáticamente el tipo de contexto RAG y aplica el template apropiado:</w:t>
      </w:r>
    </w:p>
    <w:p>
      <w:pPr>
        <w:numPr>
          <w:ilvl w:val="0"/>
          <w:numId w:val="0"/>
        </w:numPr>
        <w:pStyle w:val="p1a"/>
      </w:pPr>
      <w:r>
        <w:t>Entity-dict RAG (legacy): Template restrictivo — "DO NOT extract unless they explicitly appear..." — previene alucinaciones de entidades ausentes.</w:t>
      </w:r>
    </w:p>
    <w:p>
      <w:pPr>
        <w:numPr>
          <w:ilvl w:val="0"/>
          <w:numId w:val="0"/>
        </w:numPr>
        <w:pStyle w:val="p1a"/>
      </w:pPr>
      <w:r>
        <w:t>KB RAG (nuevo): Template positivo — "[EXTRACTION GUIDANCE] Apply these rules to the news text" — instruye activamente al LLM sin suprimir su capacidad de extracción.</w:t>
      </w:r>
    </w:p>
    <w:p>
      <w:pPr>
        <w:numPr>
          <w:ilvl w:val="0"/>
          <w:numId w:val="0"/>
        </w:numPr>
        <w:pStyle w:val="p1a"/>
      </w:pPr>
      <w:r>
        <w:t>Informe Final de Tesina — Magíster en Tecnologías de la Información (MTI)</w:t>
      </w:r>
    </w:p>
    <w:p>
      <w:pPr>
        <w:numPr>
          <w:ilvl w:val="0"/>
          <w:numId w:val="0"/>
        </w:numPr>
        <w:pStyle w:val="p1a"/>
      </w:pPr>
      <w:r>
        <w:t>Universidad Técnica Federico Santa María — Valparaíso, Chile</w:t>
      </w:r>
    </w:p>
    <w:p>
      <w:pPr>
        <w:numPr>
          <w:ilvl w:val="0"/>
          <w:numId w:val="0"/>
        </w:numPr>
        <w:pStyle w:val="p1a"/>
      </w:pPr>
      <w:r>
        <w:t>Julio 2026</w:t>
      </w:r>
    </w:p>
    <w:p>
      <w:pPr>
        <w:numPr>
          <w:ilvl w:val="0"/>
          <w:numId w:val="0"/>
        </w:numPr>
        <w:pStyle w:val="heading3"/>
      </w:pPr>
      <w:r>
        <w:t>D.2 Catálogo de guías tipológicas y ejemplares de la base de Conocimientos</w:t>
      </w:r>
    </w:p>
    <w:p>
      <w:pPr>
        <w:numPr>
          <w:ilvl w:val="0"/>
          <w:numId w:val="0"/>
        </w:numPr>
        <w:pStyle w:val="p1a"/>
      </w:pPr>
      <w:r>
        <w:t>_Tabla 17. Guías Tipológicas de Dominio de la Base de Conocimientos_</w:t>
      </w:r>
    </w:p>
    <w:p>
      <w:pPr>
        <w:numPr>
          <w:ilvl w:val="0"/>
          <w:numId w:val="0"/>
        </w:numPr>
        <w:pStyle w:val="tablecaption"/>
      </w:pPr>
      <w:r>
        <w:t>Tabla 13. D.2 Catálogo de guías tipológicas y ejemplares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IEEPA</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nacional</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club</w:t>
            </w:r>
          </w:p>
        </w:tc>
      </w:tr>
    </w:tbl>
    <w:p>
      <w:pPr>
        <w:numPr>
          <w:ilvl w:val="0"/>
          <w:numId w:val="0"/>
        </w:numPr>
        <w:pStyle w:val="p1a"/>
      </w:pPr>
      <w:r>
        <w:t>_Tabla 18. Ejemplares Few-Shot de la Base de Conocimientos_</w:t>
      </w:r>
    </w:p>
    <w:p>
      <w:pPr>
        <w:numPr>
          <w:ilvl w:val="0"/>
          <w:numId w:val="0"/>
        </w:numPr>
        <w:pStyle w:val="tablecaption"/>
      </w:pPr>
      <w:r>
        <w:t>Tabla 14. D.2 Catálogo de guías tipológicas y ejemplares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p1a"/>
      </w:pPr>
      <w:r>
        <w:t>_Tabla 23. Reglas de la Base de Conocimientos Contextual_</w:t>
      </w:r>
    </w:p>
    <w:p>
      <w:pPr>
        <w:numPr>
          <w:ilvl w:val="0"/>
          <w:numId w:val="0"/>
        </w:numPr>
        <w:pStyle w:val="tablecaption"/>
      </w:pPr>
      <w:r>
        <w:t>Tabla 15. D.3 Reglas de la base de conocimientos contextual</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_Tabla 20. Resultados Completos del Benchmark General (13 Configuraciones, N=15)_</w:t>
      </w:r>
    </w:p>
    <w:p>
      <w:pPr>
        <w:numPr>
          <w:ilvl w:val="0"/>
          <w:numId w:val="0"/>
        </w:numPr>
        <w:pStyle w:val="tablecaption"/>
      </w:pPr>
      <w:r>
        <w:t>Tabla 16. Anexo E — Procedencia de los Datos del Benchmark General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p1a"/>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p1a"/>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p1a"/>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p1a"/>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17.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p1a"/>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18.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Entidades con *mojibake*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Artículos con *mojibake*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p1a"/>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p1a"/>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19.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Δ F1 (con *mojibake*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p1a"/>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p1a"/>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300" w:after="16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220" w:after="120"/>
      <w:outlineLvl w:val="1"/>
    </w:pPr>
    <w:rPr>
      <w:b/>
    </w:rPr>
  </w:style>
  <w:style w:type="paragraph" w:styleId="Ttulo3">
    <w:name w:val="heading 3"/>
    <w:basedOn w:val="Normal"/>
    <w:next w:val="Normal"/>
    <w:qFormat/>
    <w:rsid w:val="002B66F5"/>
    <w:pPr>
      <w:keepNext/>
      <w:keepLines/>
      <w:numPr>
        <w:ilvl w:val="2"/>
        <w:numId w:val="38"/>
      </w:numPr>
      <w:suppressAutoHyphens/>
      <w:spacing w:before="200" w:after="1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40" w:after="8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