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numPr>
          <w:ilvl w:val="0"/>
          <w:numId w:val="0"/>
        </w:numPr>
        <w:pStyle w:val="Ttulo10"/>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ddress"/>
      </w:pPr>
      <w:r>
        <w:t>Austranet — Departamento de Informática, Universidad Técnica Federico Santa María, Valparaíso, Chile</w:t>
      </w:r>
    </w:p>
    <w:p>
      <w:pPr>
        <w:numPr>
          <w:ilvl w:val="0"/>
          <w:numId w:val="0"/>
        </w:numPr>
        <w:pStyle w:val="e-mail"/>
      </w:pPr>
      <w:r>
        <w:t>eahumada@gmail.com</w:t>
      </w:r>
    </w:p>
    <w:p>
      <w:pPr>
        <w:numPr>
          <w:ilvl w:val="0"/>
          <w:numId w:val="0"/>
        </w:numPr>
        <w:pStyle w:val="heading1"/>
      </w:pPr>
      <w:r>
        <w:t>RESUMEN</w:t>
      </w:r>
    </w:p>
    <w:p>
      <w:pPr>
        <w:numPr>
          <w:ilvl w:val="0"/>
          <w:numId w:val="0"/>
        </w:numPr>
        <w:pStyle w:val="abstract"/>
      </w:pPr>
      <w:r>
        <w:t xml:space="preserve">Las instituciones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y 30 del dominio en inglés; contrastó la extracción directa con la generación aumentada por recuperación (RAG) contextual y midió las diferencias con ANOVA y Tukey HSD. El beneficio del RAG decrece con la capacidad del modelo: solo alcanza significancia en dos de los trece (+14,5 y +10,8 puntos de F1) y es nulo o adverso en los mayores. Redactar el prompt en español con ejemplos </w:t>
      </w:r>
      <w:r>
        <w:rPr>
          <w:i/>
        </w:rPr>
        <w:t>few-shot</w:t>
      </w:r>
      <w:r>
        <w:t xml:space="preserve"> aporta +10,4 puntos en el corpus de quince artículos, mejora que no replica sobre el corpus mayor. Restringida la medición a las categorías que el corpus anota, el mejor modelo local alcanza 76,55 % de F1 en español y 90,16 % en el dominio, preservando la confidencialidad.</w:t>
      </w:r>
    </w:p>
    <w:p>
      <w:pPr>
        <w:numPr>
          <w:ilvl w:val="0"/>
          <w:numId w:val="0"/>
        </w:numPr>
        <w:pStyle w:val="keywords"/>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and 30 domain ones in English; contrasted direct extraction with contextual retrieval-augmented generation (RAG) and measured the differences with ANOVA and Tukey HSD. The benefit of RAG decreases with model capacity: it reaches significance in only two of the thirteen (+14.5 and +10.8 F1 points) and is null or adverse in the larger ones. Writing the prompt in Spanish with </w:t>
      </w:r>
      <w:r>
        <w:rPr>
          <w:i/>
        </w:rPr>
        <w:t>few-shot</w:t>
      </w:r>
      <w:r>
        <w:t xml:space="preserve"> examples yields +10.4 points on the fifteen-article corpus, an improvement that does not replicate on the larger corpus. With scoring restricted to the categories the corpus annotates, the best local model reaches 76.55 % F1 in Spanish and 90.16 % on the domain corpus, preserving confidentiality.</w:t>
      </w:r>
    </w:p>
    <w:p>
      <w:pPr>
        <w:numPr>
          <w:ilvl w:val="0"/>
          <w:numId w:val="0"/>
        </w:numPr>
        <w:pStyle w:val="keywords"/>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numbereditem"/>
      </w:pPr>
      <w:r>
        <w:t>Introducción</w:t>
      </w:r>
    </w:p>
    <w:p>
      <w:pPr>
        <w:numPr>
          <w:ilvl w:val="0"/>
          <w:numId w:val="0"/>
        </w:numPr>
        <w:pStyle w:val="numbereditem"/>
      </w:pPr>
      <w:r>
        <w:t>Marco Teórico y Estado del Arte</w:t>
      </w:r>
    </w:p>
    <w:p>
      <w:pPr>
        <w:numPr>
          <w:ilvl w:val="0"/>
          <w:numId w:val="0"/>
        </w:numPr>
        <w:pStyle w:val="numbereditem"/>
      </w:pPr>
      <w:r>
        <w:t>Descripción del Sistema Propuesto</w:t>
      </w:r>
    </w:p>
    <w:p>
      <w:pPr>
        <w:numPr>
          <w:ilvl w:val="0"/>
          <w:numId w:val="0"/>
        </w:numPr>
        <w:pStyle w:val="numbereditem"/>
      </w:pPr>
      <w:r>
        <w:t>Diseño Experimental</w:t>
      </w:r>
    </w:p>
    <w:p>
      <w:pPr>
        <w:numPr>
          <w:ilvl w:val="0"/>
          <w:numId w:val="0"/>
        </w:numPr>
        <w:pStyle w:val="numbereditem"/>
      </w:pPr>
      <w:r>
        <w:t>Resultados Experimentales</w:t>
      </w:r>
    </w:p>
    <w:p>
      <w:pPr>
        <w:numPr>
          <w:ilvl w:val="0"/>
          <w:numId w:val="0"/>
        </w:numPr>
        <w:pStyle w:val="numbereditem"/>
      </w:pPr>
      <w:r>
        <w:t>Discusión</w:t>
      </w:r>
    </w:p>
    <w:p>
      <w:pPr>
        <w:numPr>
          <w:ilvl w:val="0"/>
          <w:numId w:val="0"/>
        </w:numPr>
        <w:pStyle w:val="numbereditem"/>
      </w:pPr>
      <w:r>
        <w:t>Conclusiones y Trabajo Futuro</w:t>
      </w:r>
    </w:p>
    <w:p>
      <w:pPr>
        <w:numPr>
          <w:ilvl w:val="0"/>
          <w:numId w:val="0"/>
        </w:numPr>
        <w:pStyle w:val="numbereditem"/>
      </w:pPr>
      <w:r>
        <w:t>Referencias Bibliográficas</w:t>
      </w:r>
    </w:p>
    <w:p>
      <w:pPr>
        <w:numPr>
          <w:ilvl w:val="0"/>
          <w:numId w:val="0"/>
        </w:numPr>
        <w:pStyle w:val="numbereditem"/>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p1a"/>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heading2"/>
      </w:pPr>
      <w:r>
        <w:t>1.2 Planteamiento del Problema</w:t>
      </w:r>
    </w:p>
    <w:p>
      <w:pPr>
        <w:numPr>
          <w:ilvl w:val="0"/>
          <w:numId w:val="0"/>
        </w:numPr>
        <w:pStyle w:val="p1a"/>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p1a"/>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p1a"/>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numbereditem"/>
      </w:pPr>
      <w:r>
        <w:t>Diseñar e implementar una arquitectura pub/sub multithreading con control adaptativo de concurrencia para la ejecución segura de LLMs de gran escala en hardware Apple Silicon.</w:t>
      </w:r>
    </w:p>
    <w:p>
      <w:pPr>
        <w:numPr>
          <w:ilvl w:val="0"/>
          <w:numId w:val="0"/>
        </w:numPr>
        <w:pStyle w:val="numbereditem"/>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numbereditem"/>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numbereditem"/>
      </w:pPr>
      <w:r>
        <w:t>Validar estadísticamente los resultados mediante ANOVA de una vía y pruebas post-hoc de Tukey HSD (α=0.05) sobre un corpus estadísticamente significativo (N≥30).</w:t>
      </w:r>
    </w:p>
    <w:p>
      <w:pPr>
        <w:numPr>
          <w:ilvl w:val="0"/>
          <w:numId w:val="0"/>
        </w:numPr>
        <w:pStyle w:val="numbereditem"/>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p1a"/>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p1a"/>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p1a"/>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p1a"/>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el reconocimiento de entidades y su comportamiento frente a los criterios de selección.</w:t>
      </w:r>
    </w:p>
    <w:tbl>
      <w:tblPr>
        <w:tblStyle w:val="Table"/>
        <w:tblW w:type="dxa" w:w="8838"/>
        <w:tblLayout w:type="fixed"/>
        <w:tblLook w:firstRow="1" w:lastRow="0" w:firstColumn="0" w:lastColumn="0" w:noHBand="0" w:noVBand="0" w:val="0020"/>
      </w:tblPr>
      <w:tblGrid>
        <w:gridCol w:w="1940"/>
        <w:gridCol w:w="2011"/>
        <w:gridCol w:w="2443"/>
        <w:gridCol w:w="2444"/>
      </w:tblGrid>
      <w:tr>
        <w:trPr>
          <w:tblHeader w:val="on"/>
        </w:trPr>
        <w:tc>
          <w:tcPr>
            <w:tcW w:type="dxa" w:w="1940"/>
          </w:tcPr>
          <w:p>
            <w:pPr>
              <w:pStyle w:val="Compact"/>
              <w:jc w:val="left"/>
            </w:pPr>
            <w:r>
              <w:rPr>
                <w:b/>
              </w:rPr>
              <w:t>Familia</w:t>
            </w:r>
          </w:p>
        </w:tc>
        <w:tc>
          <w:tcPr>
            <w:tcW w:type="dxa" w:w="2011"/>
          </w:tcPr>
          <w:p>
            <w:pPr>
              <w:pStyle w:val="Compact"/>
              <w:jc w:val="left"/>
            </w:pPr>
            <w:r>
              <w:rPr>
                <w:b/>
              </w:rPr>
              <w:t>Datos etiquetados requeridos</w:t>
            </w:r>
          </w:p>
        </w:tc>
        <w:tc>
          <w:tcPr>
            <w:tcW w:type="dxa" w:w="2443"/>
          </w:tcPr>
          <w:p>
            <w:pPr>
              <w:pStyle w:val="Compact"/>
              <w:jc w:val="left"/>
            </w:pPr>
            <w:r>
              <w:rPr>
                <w:b/>
              </w:rPr>
              <w:t>Adaptación a dominio nuevo</w:t>
            </w:r>
          </w:p>
        </w:tc>
        <w:tc>
          <w:tcPr>
            <w:tcW w:type="dxa" w:w="2444"/>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p1a"/>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p1a"/>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[5],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p1a"/>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p1a"/>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dxa" w:w="8838"/>
        <w:tblLayout w:type="fixed"/>
        <w:tblLook w:firstRow="1" w:lastRow="0" w:firstColumn="0" w:lastColumn="0" w:noHBand="0" w:noVBand="0" w:val="0020"/>
      </w:tblPr>
      <w:tblGrid>
        <w:gridCol w:w="1295"/>
        <w:gridCol w:w="2376"/>
        <w:gridCol w:w="1523"/>
        <w:gridCol w:w="1447"/>
        <w:gridCol w:w="900"/>
        <w:gridCol w:w="1297"/>
      </w:tblGrid>
      <w:tr>
        <w:trPr>
          <w:tblHeader w:val="on"/>
        </w:trPr>
        <w:tc>
          <w:tcPr>
            <w:tcW w:type="dxa" w:w="1295"/>
          </w:tcPr>
          <w:p>
            <w:pPr>
              <w:pStyle w:val="Compact"/>
              <w:jc w:val="left"/>
            </w:pPr>
            <w:r>
              <w:rPr>
                <w:b/>
              </w:rPr>
              <w:t>Trabajo</w:t>
            </w:r>
          </w:p>
        </w:tc>
        <w:tc>
          <w:tcPr>
            <w:tcW w:type="dxa" w:w="2376"/>
          </w:tcPr>
          <w:p>
            <w:pPr>
              <w:pStyle w:val="Compact"/>
              <w:jc w:val="left"/>
            </w:pPr>
            <w:r>
              <w:rPr>
                <w:b/>
              </w:rPr>
              <w:t>Dataset</w:t>
            </w:r>
          </w:p>
        </w:tc>
        <w:tc>
          <w:tcPr>
            <w:tcW w:type="dxa" w:w="1523"/>
          </w:tcPr>
          <w:p>
            <w:pPr>
              <w:pStyle w:val="Compact"/>
              <w:jc w:val="left"/>
            </w:pPr>
            <w:r>
              <w:rPr>
                <w:b/>
              </w:rPr>
              <w:t>Modelo</w:t>
            </w:r>
          </w:p>
        </w:tc>
        <w:tc>
          <w:tcPr>
            <w:tcW w:type="dxa" w:w="1447"/>
          </w:tcPr>
          <w:p>
            <w:pPr>
              <w:pStyle w:val="Compact"/>
              <w:jc w:val="center"/>
            </w:pPr>
            <w:r>
              <w:rPr>
                <w:b/>
              </w:rPr>
              <w:t>Desempeño publicado</w:t>
            </w:r>
          </w:p>
        </w:tc>
        <w:tc>
          <w:tcPr>
            <w:tcW w:type="dxa" w:w="900"/>
          </w:tcPr>
          <w:p>
            <w:pPr>
              <w:pStyle w:val="Compact"/>
              <w:jc w:val="center"/>
            </w:pPr>
            <w:r>
              <w:rPr>
                <w:b/>
              </w:rPr>
              <w:t>Privacidad</w:t>
            </w:r>
          </w:p>
        </w:tc>
        <w:tc>
          <w:tcPr>
            <w:tcW w:type="dxa" w:w="1297"/>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 xml:space="preserve">76,55 %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última columna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p1a"/>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p1a"/>
      </w:pPr>
      <w:r>
        <w:t>El sistema se organiza en cinco capas funcionales con responsabilidades separadas, así que cada una pueda evolucionar sin arrastrar a las demás.</w:t>
      </w:r>
    </w:p>
    <w:p>
      <w:pPr>
        <w:numPr>
          <w:ilvl w:val="0"/>
          <w:numId w:val="0"/>
        </w:numPr>
        <w:pStyle w:val="tablecaption"/>
      </w:pPr>
      <w:r>
        <w:t>Tabla 3. Arquitectura del sistema por capas, con sus módulos y su detalle técnico.</w:t>
      </w:r>
    </w:p>
    <w:tbl>
      <w:tblPr>
        <w:tblStyle w:val="Table"/>
        <w:tblW w:type="dxa" w:w="8838"/>
        <w:tblLayout w:type="fixed"/>
        <w:tblLook w:firstRow="1" w:lastRow="0" w:firstColumn="0" w:lastColumn="0" w:noHBand="0" w:noVBand="0" w:val="0020"/>
      </w:tblPr>
      <w:tblGrid>
        <w:gridCol w:w="1988"/>
        <w:gridCol w:w="3093"/>
        <w:gridCol w:w="3757"/>
      </w:tblGrid>
      <w:tr>
        <w:trPr>
          <w:tblHeader w:val="on"/>
        </w:trPr>
        <w:tc>
          <w:tcPr>
            <w:tcW w:type="dxa" w:w="1988"/>
          </w:tcPr>
          <w:p>
            <w:pPr>
              <w:pStyle w:val="Compact"/>
              <w:jc w:val="left"/>
            </w:pPr>
            <w:r>
              <w:rPr>
                <w:b/>
              </w:rPr>
              <w:t>Capa</w:t>
            </w:r>
          </w:p>
        </w:tc>
        <w:tc>
          <w:tcPr>
            <w:tcW w:type="dxa" w:w="3093"/>
          </w:tcPr>
          <w:p>
            <w:pPr>
              <w:pStyle w:val="Compact"/>
              <w:jc w:val="left"/>
            </w:pPr>
            <w:r>
              <w:rPr>
                <w:b/>
              </w:rPr>
              <w:t>Módulo(s)</w:t>
            </w:r>
          </w:p>
        </w:tc>
        <w:tc>
          <w:tcPr>
            <w:tcW w:type="dxa" w:w="3757"/>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program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p1a"/>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[33],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afecta a la comparabilidad de las cifras absolutas. Los prompts del sistema solicitan tres categorías de entidad, personas, organizaciones y localizaciones, mientras que los tres corpus anotan únicamente las dos primeras: el campo de localizaciones está vacío en los ciento veinte registros. Como el evaluador puntúa las tres categorías, toda localización que el modelo devuelve se contabiliza como falso positivo, sin que exista ninguna forma de acertar en ella. El efecto no es menor: </w:t>
      </w:r>
      <w:r>
        <w:rPr>
          <w:b/>
        </w:rPr>
        <w:t xml:space="preserve">el 66,0 % de los falsos positivos del estudio, 12 852 de 19 464, proceden de esa categoría</w:t>
      </w:r>
      <w:r>
        <w:t xml:space="preserve">. Conviene subrayar que se trata de una penalización exclusivamente de precisión, porque al no haber localizaciones anotadas tampoco puede haber omisiones: la exhaustividad no varía en ninguna configuración. Por esa razón este informe acompaña cada resultado de una segunda medición, </w:t>
      </w:r>
      <w:r>
        <w:rPr>
          <w:b/>
        </w:rPr>
        <w:t>restringida a las categorías que el corpus efectivamente anota</w:t>
      </w:r>
      <w:r>
        <w:t>, que se obtiene reagregando los desgloses por tipo ya almacenados y no requiere repetir la inferencia. Las cifras originales se conservan íntegras junto a ella, de modo que el lector pueda juzgar el alcance de la corrección; la Tabla del Anexo I recoge ambas para las cuarenta y nueve configuraciones medidas sobre el corpus N=120.</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p1a"/>
      </w:pPr>
      <w:r>
        <w:t>Se utilizaron dos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p1a"/>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p1a"/>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p1a"/>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p1a"/>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p1a"/>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p1a"/>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dxa" w:w="8838"/>
        <w:tblLayout w:type="fixed"/>
        <w:tblLook w:firstRow="1" w:lastRow="0" w:firstColumn="0" w:lastColumn="0" w:noHBand="0" w:noVBand="0" w:val="0020"/>
      </w:tblPr>
      <w:tblGrid>
        <w:gridCol w:w="1021"/>
        <w:gridCol w:w="900"/>
        <w:gridCol w:w="948"/>
        <w:gridCol w:w="900"/>
        <w:gridCol w:w="900"/>
        <w:gridCol w:w="900"/>
        <w:gridCol w:w="1232"/>
        <w:gridCol w:w="1137"/>
        <w:gridCol w:w="900"/>
      </w:tblGrid>
      <w:tr>
        <w:trPr>
          <w:tblHeader w:val="on"/>
        </w:trPr>
        <w:tc>
          <w:tcPr>
            <w:tcW w:type="dxa" w:w="1021"/>
          </w:tcPr>
          <w:p>
            <w:pPr>
              <w:pStyle w:val="Compact"/>
              <w:jc w:val="left"/>
            </w:pPr>
            <w:r>
              <w:rPr>
                <w:b/>
              </w:rPr>
              <w:t>Modelo</w:t>
            </w:r>
          </w:p>
        </w:tc>
        <w:tc>
          <w:tcPr>
            <w:tcW w:type="dxa" w:w="900"/>
          </w:tcPr>
          <w:p>
            <w:pPr>
              <w:pStyle w:val="Compact"/>
              <w:jc w:val="left"/>
            </w:pPr>
            <w:r>
              <w:rPr>
                <w:b/>
              </w:rPr>
              <w:t>Tipo</w:t>
            </w:r>
          </w:p>
        </w:tc>
        <w:tc>
          <w:tcPr>
            <w:tcW w:type="dxa" w:w="948"/>
          </w:tcPr>
          <w:p>
            <w:pPr>
              <w:pStyle w:val="Compact"/>
              <w:jc w:val="left"/>
            </w:pPr>
            <w:r>
              <w:rPr>
                <w:b/>
              </w:rPr>
              <w:t>Parámetros</w:t>
            </w:r>
          </w:p>
        </w:tc>
        <w:tc>
          <w:tcPr>
            <w:tcW w:type="dxa" w:w="900"/>
          </w:tcPr>
          <w:p>
            <w:pPr>
              <w:pStyle w:val="Compact"/>
              <w:jc w:val="center"/>
            </w:pPr>
            <w:r>
              <w:rPr>
                <w:b/>
              </w:rPr>
              <w:t>F1</w:t>
            </w:r>
          </w:p>
        </w:tc>
        <w:tc>
          <w:tcPr>
            <w:tcW w:type="dxa" w:w="900"/>
          </w:tcPr>
          <w:p>
            <w:pPr>
              <w:pStyle w:val="Compact"/>
              <w:jc w:val="center"/>
            </w:pPr>
            <w:r>
              <w:rPr>
                <w:b/>
              </w:rPr>
              <w:t>Precisión</w:t>
            </w:r>
          </w:p>
        </w:tc>
        <w:tc>
          <w:tcPr>
            <w:tcW w:type="dxa" w:w="900"/>
          </w:tcPr>
          <w:p>
            <w:pPr>
              <w:pStyle w:val="Compact"/>
              <w:jc w:val="left"/>
            </w:pPr>
            <w:r>
              <w:rPr>
                <w:b/>
              </w:rPr>
              <w:t>Recall</w:t>
            </w:r>
          </w:p>
        </w:tc>
        <w:tc>
          <w:tcPr>
            <w:tcW w:type="dxa" w:w="1232"/>
          </w:tcPr>
          <w:p>
            <w:pPr>
              <w:pStyle w:val="Compact"/>
              <w:jc w:val="left"/>
            </w:pPr>
            <w:r>
              <w:rPr>
                <w:b/>
              </w:rPr>
              <w:t>Hallucination</w:t>
            </w:r>
          </w:p>
        </w:tc>
        <w:tc>
          <w:tcPr>
            <w:tcW w:type="dxa" w:w="1137"/>
          </w:tcPr>
          <w:p>
            <w:pPr>
              <w:pStyle w:val="Compact"/>
              <w:jc w:val="left"/>
            </w:pPr>
            <w:r>
              <w:rPr>
                <w:b/>
              </w:rPr>
              <w:t>Latencia (s)</w:t>
            </w:r>
          </w:p>
        </w:tc>
        <w:tc>
          <w:tcPr>
            <w:tcW w:type="dxa" w:w="900"/>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 xml:space="preserve">5.80</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 xml:space="preserve">5.80</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p1a"/>
      </w:pPr>
      <w:r>
        <w:t xml:space="preserve">Cifras medidas sobre </w:t>
      </w:r>
      <w:r>
        <w:t xml:space="preserve">results/benchmark_results.csv</w:t>
      </w:r>
      <w:r>
        <w:t xml:space="preserve"> (N=15, modo </w:t>
      </w:r>
      <w:r>
        <w:t xml:space="preserve">entities</w:t>
      </w:r>
      <w:r>
        <w:t xml:space="preserve">), salvo </w:t>
      </w:r>
      <w:r>
        <w:t xml:space="preserve">gemma4:31b</w:t>
      </w:r>
      <w:r>
        <w:t xml:space="preserve"> (</w:t>
      </w:r>
      <w:r>
        <w:t xml:space="preserve">gemma4_31b_n15_REMOTO</w:t>
      </w:r>
      <w:r>
        <w:t xml:space="preserve">), las dos variantes de </w:t>
      </w:r>
      <w:r>
        <w:t xml:space="preserve">gemma4:latest</w:t>
      </w:r>
      <w:r>
        <w:t xml:space="preserve"> (</w:t>
      </w:r>
      <w:r>
        <w:t xml:space="preserve">ablacion_n15_REMOTO</w:t>
      </w:r>
      <w:r>
        <w:t xml:space="preserve">) y </w:t>
      </w:r>
      <w:r>
        <w:t xml:space="preserve">gemma4:31b-cloud</w:t>
      </w:r>
      <w:r>
        <w:t xml:space="preserve"> (</w:t>
      </w:r>
      <w:r>
        <w:t xml:space="preserve">cloud_n15_limpio_20260905</w:t>
      </w:r>
      <w:r>
        <w:t xml:space="preserve">). Las latencias proceden de corridas con distinta concurrencia y hardware, por lo que </w:t>
      </w:r>
      <w:r>
        <w:rPr>
          <w:b/>
        </w:rPr>
        <w:t xml:space="preserve">no son comparables entre filas</w:t>
      </w:r>
      <w:r>
        <w:t xml:space="preserve">; el índice Tok/s/B sí lo es. </w:t>
      </w:r>
      <w:r>
        <w:t xml:space="preserve"/>
      </w:r>
      <w:r>
        <w:t xml:space="preserve"/>
      </w:r>
      <w:r>
        <w:t xml:space="preserve"/>
      </w:r>
      <w:r>
        <w:t xml:space="preserve"/>
      </w:r>
      <w:r>
        <w:t xml:space="preserve"/>
      </w:r>
      <w:r>
        <w:t xml:space="preserve">La columna «Parámetros» recoge la denominación nominal de la etiqueta del modelo, que no siempre coincide con el recuento del manifiesto —1,8B en </w:t>
      </w:r>
      <w:r>
        <w:t xml:space="preserve">deepseek-r1:1.5b</w:t>
      </w:r>
      <w:r>
        <w:t xml:space="preserve">, 4,2B en </w:t>
      </w:r>
      <w:r>
        <w:t xml:space="preserve">nemotron-mini:4b</w:t>
      </w:r>
      <w:r>
        <w:t xml:space="preserve">, 8,2B en </w:t>
      </w:r>
      <w:r>
        <w:t xml:space="preserve">qwen3:8b</w:t>
      </w:r>
      <w:r>
        <w:t xml:space="preserve">, 12,2B en </w:t>
      </w:r>
      <w:r>
        <w:t xml:space="preserve">mistral-nemo</w:t>
      </w:r>
      <w:r>
        <w:t xml:space="preserve">, 31,3B en </w:t>
      </w:r>
      <w:r>
        <w:t xml:space="preserve">gemma4:31b</w:t>
      </w:r>
      <w:r>
        <w:t xml:space="preserve">—, y el índice Tok/s/B se calcula sobre la nominal. </w:t>
      </w:r>
      <w:r>
        <w:t xml:space="preserve">gemma4:31b-cloud</w:t>
      </w:r>
      <w:r>
        <w:t xml:space="preserve"> corre además en BF16 sobre ~32,7B parámetros sin cuantizar, así que su footprint no es comparable con el de las compilaciones locales.</w:t>
      </w:r>
    </w:p>
    <w:p>
      <w:pPr>
        <w:numPr>
          <w:ilvl w:val="0"/>
          <w:numId w:val="0"/>
        </w:numPr>
        <w:pStyle w:val="p1a"/>
      </w:pPr>
      <w:r>
        <w:rPr>
          <w:b/>
        </w:rPr>
        <w:t>Hallazgo 1:</w:t>
      </w:r>
      <w:r>
        <w:t xml:space="preserve"> la familia gemma4 copa las cinco primeras posiciones. gemma4:latest con prompt few-shot en español (74.44%) supera a los dos modelos de 31B, a un tercio de su tamaño.</w:t>
      </w:r>
    </w:p>
    <w:p>
      <w:pPr>
        <w:numPr>
          <w:ilvl w:val="0"/>
          <w:numId w:val="0"/>
        </w:numPr>
        <w:pStyle w:val="p1a"/>
      </w:pPr>
      <w:r>
        <w:rPr>
          <w:b/>
        </w:rPr>
        <w:t>Hallazgo 2:</w:t>
      </w:r>
      <w:r>
        <w:t xml:space="preserve"> gemma4:31b lidera en Recall entre los locales (86.80%) con una tasa de alucinación de 0.16%, y su contraparte cloud alcanza un Recall equivalente (86.88%).</w:t>
      </w:r>
    </w:p>
    <w:p>
      <w:pPr>
        <w:numPr>
          <w:ilvl w:val="0"/>
          <w:numId w:val="0"/>
        </w:numPr>
        <w:pStyle w:val="p1a"/>
      </w:pPr>
      <w:r>
        <w:rPr>
          <w:b/>
        </w:rPr>
        <w:t>Hallazgo 3:</w:t>
      </w:r>
      <w:r>
        <w:t xml:space="preserve"> deepseek-r1:1.5b debe descartarse para producción: F1 de 27.65% y Recall de sólo 25.77%.</w:t>
      </w:r>
    </w:p>
    <w:p>
      <w:pPr>
        <w:numPr>
          <w:ilvl w:val="0"/>
          <w:numId w:val="0"/>
        </w:numPr>
        <w:pStyle w:val="p1a"/>
      </w:pPr>
      <w:r>
        <w:rPr>
          <w:b/>
        </w:rPr>
        <w:t>Hallazgo 4:</w:t>
      </w:r>
      <w:r>
        <w:t xml:space="preserve"> el índice de eficiencia de hardware (Tok/s/B) favorece a los modelos compactos —deepseek-r1:1.5b (86.20) y llama3.2 (26.44)— para screening masivo, mientras que gemma4:31b (0.33) se justifica para análisis de alto riesgo.</w:t>
      </w:r>
    </w:p>
    <w:p>
      <w:pPr>
        <w:numPr>
          <w:ilvl w:val="0"/>
          <w:numId w:val="0"/>
        </w:numPr>
        <w:pStyle w:val="heading2"/>
      </w:pPr>
      <w:r>
        <w:t>5.2 Análisis de Variantes de Prompts (gemma4:latest, N=15)</w:t>
      </w:r>
    </w:p>
    <w:p>
      <w:pPr>
        <w:numPr>
          <w:ilvl w:val="0"/>
          <w:numId w:val="0"/>
        </w:numPr>
        <w:pStyle w:val="tablecaption"/>
      </w:pPr>
      <w:r>
        <w:t xml:space="preserve">Tabla 5. Variantes de prompt sobre </w:t>
      </w:r>
      <w:r>
        <w:t>gemma4:latest</w:t>
      </w:r>
      <w:r>
        <w:t>: diseño factorial de idioma de la instrucción y de los ejemplos (N=15).</w:t>
      </w:r>
    </w:p>
    <w:tbl>
      <w:tblPr>
        <w:tblStyle w:val="Table"/>
        <w:tblW w:type="dxa" w:w="8838"/>
        <w:tblLayout w:type="fixed"/>
        <w:tblLook w:firstRow="1" w:lastRow="0" w:firstColumn="0" w:lastColumn="0" w:noHBand="0" w:noVBand="0" w:val="0020"/>
      </w:tblPr>
      <w:tblGrid>
        <w:gridCol w:w="2254"/>
        <w:gridCol w:w="900"/>
        <w:gridCol w:w="900"/>
        <w:gridCol w:w="900"/>
        <w:gridCol w:w="1293"/>
        <w:gridCol w:w="1194"/>
        <w:gridCol w:w="1397"/>
      </w:tblGrid>
      <w:tr>
        <w:trPr>
          <w:tblHeader w:val="on"/>
        </w:trPr>
        <w:tc>
          <w:tcPr>
            <w:tcW w:type="dxa" w:w="2254"/>
          </w:tcPr>
          <w:p>
            <w:pPr>
              <w:pStyle w:val="Compact"/>
              <w:jc w:val="left"/>
            </w:pPr>
            <w:r>
              <w:rPr>
                <w:b/>
              </w:rPr>
              <w:t>Configuración</w:t>
            </w:r>
          </w:p>
        </w:tc>
        <w:tc>
          <w:tcPr>
            <w:tcW w:type="dxa" w:w="900"/>
          </w:tcPr>
          <w:p>
            <w:pPr>
              <w:pStyle w:val="Compact"/>
              <w:jc w:val="left"/>
            </w:pPr>
            <w:r>
              <w:rPr>
                <w:b/>
              </w:rPr>
              <w:t>F1</w:t>
            </w:r>
          </w:p>
        </w:tc>
        <w:tc>
          <w:tcPr>
            <w:tcW w:type="dxa" w:w="900"/>
          </w:tcPr>
          <w:p>
            <w:pPr>
              <w:pStyle w:val="Compact"/>
              <w:jc w:val="left"/>
            </w:pPr>
            <w:r>
              <w:rPr>
                <w:b/>
              </w:rPr>
              <w:t>Precisión</w:t>
            </w:r>
          </w:p>
        </w:tc>
        <w:tc>
          <w:tcPr>
            <w:tcW w:type="dxa" w:w="900"/>
          </w:tcPr>
          <w:p>
            <w:pPr>
              <w:pStyle w:val="Compact"/>
              <w:jc w:val="center"/>
            </w:pPr>
            <w:r>
              <w:rPr>
                <w:b/>
              </w:rPr>
              <w:t>Recall</w:t>
            </w:r>
          </w:p>
        </w:tc>
        <w:tc>
          <w:tcPr>
            <w:tcW w:type="dxa" w:w="1293"/>
          </w:tcPr>
          <w:p>
            <w:pPr>
              <w:pStyle w:val="Compact"/>
              <w:jc w:val="center"/>
            </w:pPr>
            <w:r>
              <w:rPr>
                <w:b/>
              </w:rPr>
              <w:t>Hallucination</w:t>
            </w:r>
          </w:p>
        </w:tc>
        <w:tc>
          <w:tcPr>
            <w:tcW w:type="dxa" w:w="1194"/>
          </w:tcPr>
          <w:p>
            <w:pPr>
              <w:pStyle w:val="Compact"/>
              <w:jc w:val="left"/>
            </w:pPr>
            <w:r>
              <w:rPr>
                <w:b/>
              </w:rPr>
              <w:t>Latencia (s)</w:t>
            </w:r>
          </w:p>
        </w:tc>
        <w:tc>
          <w:tcPr>
            <w:tcW w:type="dxa" w:w="1397"/>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p1a"/>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p1a"/>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p1a"/>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 con intervalos de confianza del 95 %.</w:t>
      </w:r>
    </w:p>
    <w:tbl>
      <w:tblPr>
        <w:tblStyle w:val="Table"/>
        <w:tblW w:type="dxa" w:w="8838"/>
        <w:tblLayout w:type="fixed"/>
        <w:tblLook w:firstRow="1" w:lastRow="0" w:firstColumn="0" w:lastColumn="0" w:noHBand="0" w:noVBand="0" w:val="0020"/>
      </w:tblPr>
      <w:tblGrid>
        <w:gridCol w:w="2028"/>
        <w:gridCol w:w="1014"/>
        <w:gridCol w:w="1303"/>
        <w:gridCol w:w="1014"/>
        <w:gridCol w:w="2579"/>
        <w:gridCol w:w="900"/>
      </w:tblGrid>
      <w:tr>
        <w:trPr>
          <w:tblHeader w:val="on"/>
        </w:trPr>
        <w:tc>
          <w:tcPr>
            <w:tcW w:type="dxa" w:w="2028"/>
          </w:tcPr>
          <w:p>
            <w:pPr>
              <w:pStyle w:val="Compact"/>
              <w:jc w:val="left"/>
            </w:pPr>
            <w:r>
              <w:rPr>
                <w:b/>
              </w:rPr>
              <w:t>Modelo</w:t>
            </w:r>
          </w:p>
        </w:tc>
        <w:tc>
          <w:tcPr>
            <w:tcW w:type="dxa" w:w="1014"/>
          </w:tcPr>
          <w:p>
            <w:pPr>
              <w:pStyle w:val="Compact"/>
              <w:jc w:val="left"/>
            </w:pPr>
            <w:r>
              <w:rPr>
                <w:b/>
              </w:rPr>
              <w:t>F1</w:t>
            </w:r>
          </w:p>
        </w:tc>
        <w:tc>
          <w:tcPr>
            <w:tcW w:type="dxa" w:w="1303"/>
          </w:tcPr>
          <w:p>
            <w:pPr>
              <w:pStyle w:val="Compact"/>
              <w:jc w:val="left"/>
            </w:pPr>
            <w:r>
              <w:rPr>
                <w:b/>
              </w:rPr>
              <w:t>Precisión</w:t>
            </w:r>
          </w:p>
        </w:tc>
        <w:tc>
          <w:tcPr>
            <w:tcW w:type="dxa" w:w="1014"/>
          </w:tcPr>
          <w:p>
            <w:pPr>
              <w:pStyle w:val="Compact"/>
              <w:jc w:val="center"/>
            </w:pPr>
            <w:r>
              <w:rPr>
                <w:b/>
              </w:rPr>
              <w:t>Recall</w:t>
            </w:r>
          </w:p>
        </w:tc>
        <w:tc>
          <w:tcPr>
            <w:tcW w:type="dxa" w:w="2579"/>
          </w:tcPr>
          <w:p>
            <w:pPr>
              <w:pStyle w:val="Compact"/>
              <w:jc w:val="center"/>
            </w:pPr>
            <w:r>
              <w:rPr>
                <w:b/>
              </w:rPr>
              <w:t>IC 95 % del F1</w:t>
            </w:r>
          </w:p>
        </w:tc>
        <w:tc>
          <w:tcPr>
            <w:tcW w:type="dxa" w:w="900"/>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p1a"/>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Efecto de la base de conocimientos contextual sobre el corpus real (N=120, trece modelos).</w:t>
      </w:r>
    </w:p>
    <w:tbl>
      <w:tblPr>
        <w:tblStyle w:val="Table"/>
        <w:tblW w:type="dxa" w:w="8838"/>
        <w:tblLayout w:type="fixed"/>
        <w:tblLook w:firstRow="1" w:lastRow="0" w:firstColumn="0" w:lastColumn="0" w:noHBand="0" w:noVBand="0" w:val="0020"/>
      </w:tblPr>
      <w:tblGrid>
        <w:gridCol w:w="2665"/>
        <w:gridCol w:w="1543"/>
        <w:gridCol w:w="1262"/>
        <w:gridCol w:w="1262"/>
        <w:gridCol w:w="2106"/>
      </w:tblGrid>
      <w:tr>
        <w:trPr>
          <w:tblHeader w:val="on"/>
        </w:trPr>
        <w:tc>
          <w:tcPr>
            <w:tcW w:type="dxa" w:w="2665"/>
          </w:tcPr>
          <w:p>
            <w:pPr>
              <w:pStyle w:val="Compact"/>
              <w:jc w:val="left"/>
            </w:pPr>
            <w:r>
              <w:rPr>
                <w:b/>
              </w:rPr>
              <w:t>Modelo</w:t>
            </w:r>
          </w:p>
        </w:tc>
        <w:tc>
          <w:tcPr>
            <w:tcW w:type="dxa" w:w="1543"/>
          </w:tcPr>
          <w:p>
            <w:pPr>
              <w:pStyle w:val="Compact"/>
              <w:jc w:val="left"/>
            </w:pPr>
            <w:r>
              <w:rPr>
                <w:b/>
              </w:rPr>
              <w:t>F1 baseline</w:t>
            </w:r>
          </w:p>
        </w:tc>
        <w:tc>
          <w:tcPr>
            <w:tcW w:type="dxa" w:w="1262"/>
          </w:tcPr>
          <w:p>
            <w:pPr>
              <w:pStyle w:val="Compact"/>
              <w:jc w:val="left"/>
            </w:pPr>
            <w:r>
              <w:rPr>
                <w:b/>
              </w:rPr>
              <w:t>F1 KB RAG</w:t>
            </w:r>
          </w:p>
        </w:tc>
        <w:tc>
          <w:tcPr>
            <w:tcW w:type="dxa" w:w="1262"/>
          </w:tcPr>
          <w:p>
            <w:pPr>
              <w:pStyle w:val="Compact"/>
              <w:jc w:val="center"/>
            </w:pPr>
            <w:r>
              <w:rPr>
                <w:b/>
              </w:rPr>
              <w:t>Δ RAG</w:t>
            </w:r>
          </w:p>
        </w:tc>
        <w:tc>
          <w:tcPr>
            <w:tcW w:type="dxa" w:w="2106"/>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p1a"/>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p1a"/>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p1a"/>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según el propio artículo del corpus,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Eficiencia en hardware soberano: memoria, rendimiento y coste estimado por artículo.</w:t>
      </w:r>
    </w:p>
    <w:tbl>
      <w:tblPr>
        <w:tblStyle w:val="Table"/>
        <w:tblW w:type="dxa" w:w="8838"/>
        <w:tblLayout w:type="fixed"/>
        <w:tblLook w:firstRow="1" w:lastRow="0" w:firstColumn="0" w:lastColumn="0" w:noHBand="0" w:noVBand="0" w:val="0020"/>
      </w:tblPr>
      <w:tblGrid>
        <w:gridCol w:w="1753"/>
        <w:gridCol w:w="1127"/>
        <w:gridCol w:w="900"/>
        <w:gridCol w:w="1753"/>
        <w:gridCol w:w="1753"/>
        <w:gridCol w:w="1552"/>
      </w:tblGrid>
      <w:tr>
        <w:trPr>
          <w:tblHeader w:val="on"/>
        </w:trPr>
        <w:tc>
          <w:tcPr>
            <w:tcW w:type="dxa" w:w="1753"/>
          </w:tcPr>
          <w:p>
            <w:pPr>
              <w:pStyle w:val="Compact"/>
              <w:jc w:val="left"/>
            </w:pPr>
            <w:r>
              <w:rPr>
                <w:b/>
              </w:rPr>
              <w:t>Modelo</w:t>
            </w:r>
          </w:p>
        </w:tc>
        <w:tc>
          <w:tcPr>
            <w:tcW w:type="dxa" w:w="1127"/>
          </w:tcPr>
          <w:p>
            <w:pPr>
              <w:pStyle w:val="Compact"/>
              <w:jc w:val="left"/>
            </w:pPr>
            <w:r>
              <w:rPr>
                <w:b/>
              </w:rPr>
              <w:t>VRAM (MB)</w:t>
            </w:r>
          </w:p>
        </w:tc>
        <w:tc>
          <w:tcPr>
            <w:tcW w:type="dxa" w:w="900"/>
          </w:tcPr>
          <w:p>
            <w:pPr>
              <w:pStyle w:val="Compact"/>
              <w:jc w:val="left"/>
            </w:pPr>
            <w:r>
              <w:rPr>
                <w:b/>
              </w:rPr>
              <w:t>Tok/s</w:t>
            </w:r>
          </w:p>
        </w:tc>
        <w:tc>
          <w:tcPr>
            <w:tcW w:type="dxa" w:w="1753"/>
          </w:tcPr>
          <w:p>
            <w:pPr>
              <w:pStyle w:val="Compact"/>
              <w:jc w:val="center"/>
            </w:pPr>
            <w:r>
              <w:rPr>
                <w:b/>
              </w:rPr>
              <w:t>Parámetros (B)</w:t>
            </w:r>
          </w:p>
        </w:tc>
        <w:tc>
          <w:tcPr>
            <w:tcW w:type="dxa" w:w="1753"/>
          </w:tcPr>
          <w:p>
            <w:pPr>
              <w:pStyle w:val="Compact"/>
              <w:jc w:val="center"/>
            </w:pPr>
            <w:r>
              <w:rPr>
                <w:b/>
              </w:rPr>
              <w:t>Índice Tok/s/B</w:t>
            </w:r>
          </w:p>
        </w:tc>
        <w:tc>
          <w:tcPr>
            <w:tcW w:type="dxa" w:w="1552"/>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p1a"/>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p1a"/>
      </w:pPr>
      <w:r>
        <w:t xml:space="preserve">La primera versión del módulo de recuperación indexaba </w:t>
      </w:r>
      <w:r>
        <w:rPr>
          <w:b/>
        </w:rPr>
        <w:t>nombres de entidades</w:t>
      </w:r>
      <w:r>
        <w:t xml:space="preserve"> —3 605 personas y 1 848 organizaciones de las listas de sanciones de OpenSanctions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p1a"/>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p1a"/>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numbereditem"/>
      </w:pPr>
      <w:r>
        <w:rPr>
          <w:b/>
        </w:rPr>
        <w:t>Viabilidad demostrada:</w:t>
      </w:r>
      <w:r>
        <w:t xml:space="preserve"> Es técnicamente viable implementar un sistema NER soberano para cumplimiento AML/KYC con modelos de lenguaje de código abierto ejecutados localmente sobre hardware Apple Silicon M4, alcanzando, con la medición restringida a las categorías que el corpus anota, </w:t>
      </w:r>
      <w:r>
        <w:rPr>
          <w:b/>
        </w:rPr>
        <w:t xml:space="preserve">76,55 % de F1 sobre el corpus periodístico de ciento veinte artículos</w:t>
      </w:r>
      <w:r>
        <w:t xml:space="preserve"> —de los que 105 están en español— y </w:t>
      </w:r>
      <w:r>
        <w:rPr>
          <w:b/>
        </w:rPr>
        <w:t xml:space="preserve">90,16 % sobre el corpus del dominio de treinta artículos</w:t>
      </w:r>
      <w:r>
        <w:t>, que está redactado en inglés. Bajo la convención original, que puntúa también una categoría sin anotar, las cifras equivalentes son 62,67 % y 80,51 %. En ninguno de los dos corpus se registraron extracciones fallidas.</w:t>
      </w:r>
    </w:p>
    <w:p>
      <w:pPr>
        <w:numPr>
          <w:ilvl w:val="0"/>
          <w:numId w:val="0"/>
        </w:numPr>
        <w:pStyle w:val="numbereditem"/>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numbereditem"/>
      </w:pPr>
      <w:r>
        <w:t xml:space="preserve">Soberanía de datos con un coste de rendimiento acotado: sobre el corpus de quince artículos la ejecución local supera a la alojada (69,12 % frente a 66,99 % de F1), pero ese experimento es el de menor potencia estadística y el estudio principal lo contradice: sobre los ciento veinte artículos, y con la medición restringida a las categorías anotadas, la variante en la nube del mismo modelo obtiene 80,42 % frente al 76,55 % del mejor local. La conclusión sostenible no es la equivalencia sino que </w:t>
      </w:r>
      <w:r>
        <w:rPr>
          <w:b/>
        </w:rPr>
        <w:t>la soberanía cuesta unos cinco puntos de F1</w:t>
      </w:r>
      <w:r>
        <w:t>, un precio que en un entorno regulado puede resultar razonable, y que se paga a cambio de no transferir texto de clientes a un tercero.</w:t>
      </w:r>
    </w:p>
    <w:p>
      <w:pPr>
        <w:numPr>
          <w:ilvl w:val="0"/>
          <w:numId w:val="0"/>
        </w:numPr>
        <w:pStyle w:val="numbereditem"/>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numbereditem"/>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numbereditem"/>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dos de los trece modelos (</w:t>
      </w:r>
      <w:r>
        <w:t>nemotron-mini:4b</w:t>
      </w:r>
      <w:r>
        <w:t xml:space="preserve"> </w:t>
      </w:r>
      <w:r>
        <w:rPr>
          <w:b/>
        </w:rPr>
        <w:t>+14,52 pp</w:t>
      </w:r>
      <w:r>
        <w:t xml:space="preserve">, p&lt;0,001, y </w:t>
      </w:r>
      <w:r>
        <w:t>llama3.2:latest</w:t>
      </w:r>
      <w:r>
        <w:t xml:space="preserve"> </w:t>
      </w:r>
      <w:r>
        <w:rPr>
          <w:b/>
        </w:rPr>
        <w:t>+10,82 pp</w:t>
      </w:r>
      <w:r>
        <w:t xml:space="preserve">, p=0,007; conviene precisar que este último no es el segundo más débil del estudio sino el tercero por la cola, y que el segundo, </w:t>
      </w:r>
      <w:r>
        <w:t>deepseek-r1:1.5b</w:t>
      </w:r>
      <w:r>
        <w:t xml:space="preserve">, empeora 0,90 puntos con KB RAG), con ganancias positivas pero no concluyentes en la franja intermedia y efecto nulo en los modelos de 31B, versus el dict-RAG (v1.0), que en un sondeo exploratorio N=5 sobre el mismo modelo, no persistido en </w:t>
      </w:r>
      <w:r>
        <w:t>results/</w:t>
      </w:r>
      <w:r>
        <w:t xml:space="preserve">, degradó el F1 hasta 0.2367 (−57.8% respecto de su propio baseline), degradación confirmada después en la corrida reproducible N=120, donde ese mismo modelo cae de 0.3611 a 0.3113. Su efectividad parece modularse por la capacidad paramétrica, beneficiando sobre todo a los modelos de 3 a 14 mil millones de parámetros, donde actúa como memoria externa de conocimiento lingüístico sin coste adicional de hardware. La relación es una </w:t>
      </w:r>
      <w:r>
        <w:rPr>
          <w:b/>
        </w:rPr>
        <w:t>tendencia y no un resultado significativo</w:t>
      </w:r>
      <w:r>
        <w:t>: la correlación por rangos entre capacidad y beneficio da ρ = −0,52 con p = 0,071, que no alcanza el nivel de significación que este trabajo fija, con trece modelos como tamaño de muestra. Este hallazgo tiene implicaciones directas para el diseño de sistemas RAG en dominio abierto con LLMs soberanos.</w:t>
      </w:r>
    </w:p>
    <w:p>
      <w:pPr>
        <w:numPr>
          <w:ilvl w:val="0"/>
          <w:numId w:val="0"/>
        </w:numPr>
        <w:pStyle w:val="numbereditem"/>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diecinueve de las veinticuatro configuraciones medidas puntúan </w:t>
      </w:r>
      <w:r>
        <w:rPr>
          <w:b/>
        </w:rPr>
        <w:t>mejor</w:t>
      </w:r>
      <w:r>
        <w:t xml:space="preserve"> en los artículos afectados, porque el cotejo premia transcribir los bytes literalmente y penaliza al modelo que escribe el nombre correctamente. Cuando está en el texto de entrada, diecinueve de veinticuatro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w:t>
      </w:r>
      <w:r>
        <w:rPr>
          <w:b/>
        </w:rPr>
        <w:t>de la entrada y de la referencia 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numbereditem"/>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numbereditem"/>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numbereditem"/>
      </w:pPr>
      <w:r>
        <w:t>Expansión del corpus de evaluación (Fase 2): Ampliar el corpus de N=120 a N≥200 artículos reales del dominio AML/KYC chileno, incorporando fuentes como la UAF, CMF y bases de datos de OpenSanctions [19].</w:t>
      </w:r>
    </w:p>
    <w:p>
      <w:pPr>
        <w:numPr>
          <w:ilvl w:val="0"/>
          <w:numId w:val="0"/>
        </w:numPr>
        <w:pStyle w:val="numbereditem"/>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numbereditem"/>
      </w:pPr>
      <w:r>
        <w:t>Evaluación en producción (Fase 4): Despliegue piloto en Austranet con feeds reales de Google Alerts y medición de KPIs operacionales (tiempo de respuesta, carga, satisfacción del analista).</w:t>
      </w:r>
    </w:p>
    <w:p>
      <w:pPr>
        <w:numPr>
          <w:ilvl w:val="0"/>
          <w:numId w:val="0"/>
        </w:numPr>
        <w:pStyle w:val="numbereditem"/>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numbereditem"/>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numbereditem"/>
      </w:pPr>
      <w:r>
        <w:t>Anotación de localizaciones en el corpus de referencia (Prioridad Alta): los prompts del sistema solicitan</w:t>
      </w:r>
    </w:p>
    <w:p>
      <w:pPr>
        <w:numPr>
          <w:ilvl w:val="0"/>
          <w:numId w:val="0"/>
        </w:numPr>
        <w:pStyle w:val="Normal"/>
      </w:pPr>
      <w:r>
        <w:t xml:space="preserve">tres categorías de entidad, personas, organizaciones y localizaciones, pero ninguno de los tres corpus anota la tercera. Como se explica en §3.3, eso convierte toda localización correctamente identificada en un falso positivo, y de ahí procede el 66,0 % de los falsos positivos del estudio. La medición restringida a las dos categorías anotadas, que este informe publica en paralelo, corrige el efecto sin reejecutar inferencia, pero no sustituye a la solución de fondo: anotar las localizaciones y medir las tres categorías, que es la única vía para saber cuánto de la precisión aparente se debe a la habilidad del modelo y cuánto al vacío del gold.</w:t>
      </w:r>
    </w:p>
    <w:p>
      <w:pPr>
        <w:numPr>
          <w:ilvl w:val="0"/>
          <w:numId w:val="0"/>
        </w:numPr>
        <w:pStyle w:val="numbereditem"/>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numbereditem"/>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p1a"/>
      </w:pPr>
      <w:r>
        <w:rPr>
          <w:i/>
        </w:rPr>
        <w:t>Formato IEEE</w:t>
      </w:r>
    </w:p>
    <w:p>
      <w:pPr>
        <w:numPr>
          <w:ilvl w:val="0"/>
          <w:numId w:val="0"/>
        </w:numPr>
        <w:pStyle w:val="referenceitem"/>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referenceitem"/>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referenceitem"/>
      </w:pPr>
      <w:r>
        <w:t>[3] S. Wu et al., "BloombergGPT: A Large Language Model for Finance," 2023, arXiv:2303.17564. [Online]. Available: https://arxiv.org/abs/2303.17564</w:t>
      </w:r>
    </w:p>
    <w:p>
      <w:pPr>
        <w:numPr>
          <w:ilvl w:val="0"/>
          <w:numId w:val="0"/>
        </w:numPr>
        <w:pStyle w:val="referenceitem"/>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referenceitem"/>
      </w:pPr>
      <w:r>
        <w:t xml:space="preserve">[5] K. Bourne, </w:t>
      </w:r>
      <w:r>
        <w:rPr>
          <w:i/>
        </w:rPr>
        <w:t>Unlocking Data with Generative AI and RAG</w:t>
      </w:r>
      <w:r>
        <w:t>. Birmingham, R.U.: Packt Publishing, 2024, ISBN 978-1-83588-790-5. [En línea]. Disponible: https://books.google.com/books?vid=ISBN9781835887905</w:t>
      </w:r>
    </w:p>
    <w:p>
      <w:pPr>
        <w:numPr>
          <w:ilvl w:val="0"/>
          <w:numId w:val="0"/>
        </w:numPr>
        <w:pStyle w:val="referenceitem"/>
      </w:pPr>
      <w:r>
        <w:t>[6] Y. Gao et al., "Retrieval-Augmented Generation for Large Language Models: A Survey," 2024, arXiv:2312.10997. [Online]. Available: https://arxiv.org/abs/2312.10997</w:t>
      </w:r>
    </w:p>
    <w:p>
      <w:pPr>
        <w:numPr>
          <w:ilvl w:val="0"/>
          <w:numId w:val="0"/>
        </w:numPr>
        <w:pStyle w:val="referenceitem"/>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referenceitem"/>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referenceitem"/>
      </w:pPr>
      <w:r>
        <w:t>[9] P. Islam, A. Kannappan, D. Kiela, R. Qian, N. Scherrer, and B. Vidgen, "FinanceBench: A New Benchmark for Financial Question Answering," 2023, arXiv:2311.11944. [En línea]. Disponible: https://arxiv.org/abs/2311.11944</w:t>
      </w:r>
    </w:p>
    <w:p>
      <w:pPr>
        <w:numPr>
          <w:ilvl w:val="0"/>
          <w:numId w:val="0"/>
        </w:numPr>
        <w:pStyle w:val="referenceitem"/>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referenceitem"/>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referenceitem"/>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referenceitem"/>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referenceitem"/>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referenceitem"/>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referenceitem"/>
      </w:pPr>
      <w:r>
        <w:t xml:space="preserve">[16] R. Schwartz et al., "Green AI," </w:t>
      </w:r>
      <w:r>
        <w:rPr>
          <w:i/>
        </w:rPr>
        <w:t>Communications of the ACM</w:t>
      </w:r>
      <w:r>
        <w:t>, vol. 63, no. 12, pp. 54-63, 2020. [En línea]. Disponible: https://doi.org/10.1145/3381831</w:t>
      </w:r>
    </w:p>
    <w:p>
      <w:pPr>
        <w:numPr>
          <w:ilvl w:val="0"/>
          <w:numId w:val="0"/>
        </w:numPr>
        <w:pStyle w:val="referenceitem"/>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referenceitem"/>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referenceitem"/>
      </w:pPr>
      <w:r>
        <w:t xml:space="preserve">[19] OpenSanctions. (2024). </w:t>
      </w:r>
      <w:r>
        <w:rPr>
          <w:i/>
        </w:rPr>
        <w:t>OpenSanctions: Open Data on Sanctions Lists and Politically Exposed Persons</w:t>
      </w:r>
      <w:r>
        <w:t xml:space="preserve"> [Online]. Available: https://www.opensanctions.org (accedido: 8 sep. 2026).</w:t>
      </w:r>
    </w:p>
    <w:p>
      <w:pPr>
        <w:numPr>
          <w:ilvl w:val="0"/>
          <w:numId w:val="0"/>
        </w:numPr>
        <w:pStyle w:val="referenceitem"/>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referenceitem"/>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referenceitem"/>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referenceitem"/>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referenceitem"/>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referenceitem"/>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referenceitem"/>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referenceitem"/>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referenceitem"/>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referenceitem"/>
      </w:pPr>
      <w:r>
        <w:t xml:space="preserve">[29] Ollama. </w:t>
      </w:r>
      <w:r>
        <w:rPr>
          <w:i/>
        </w:rPr>
        <w:t>Ollama</w:t>
      </w:r>
      <w:r>
        <w:t xml:space="preserve"> [Online]. Available: https://github.com/ollama/ollama (accedido: 8 sep. 2026).</w:t>
      </w:r>
    </w:p>
    <w:p>
      <w:pPr>
        <w:numPr>
          <w:ilvl w:val="0"/>
          <w:numId w:val="0"/>
        </w:numPr>
        <w:pStyle w:val="referenceitem"/>
      </w:pPr>
      <w:r>
        <w:t xml:space="preserve">[30] llama.cpp contributors. </w:t>
      </w:r>
      <w:r>
        <w:rPr>
          <w:i/>
        </w:rPr>
        <w:t>llama.cpp: LLM inference in C/C++</w:t>
      </w:r>
      <w:r>
        <w:t xml:space="preserve"> [Online]. Available: https://github.com/ggml-org/llama.cpp (accedido: 8 sep. 2026).</w:t>
      </w:r>
    </w:p>
    <w:p>
      <w:pPr>
        <w:numPr>
          <w:ilvl w:val="0"/>
          <w:numId w:val="0"/>
        </w:numPr>
        <w:pStyle w:val="referenceitem"/>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referenceitem"/>
      </w:pPr>
      <w:r>
        <w:t xml:space="preserve">[32] Chroma. </w:t>
      </w:r>
      <w:r>
        <w:rPr>
          <w:i/>
        </w:rPr>
        <w:t>chroma: search infrastructure for AI</w:t>
      </w:r>
      <w:r>
        <w:t xml:space="preserve"> [Online]. Available: https://github.com/chroma-core/chroma (accedido: 8 sep. 2026).</w:t>
      </w:r>
    </w:p>
    <w:p>
      <w:pPr>
        <w:numPr>
          <w:ilvl w:val="0"/>
          <w:numId w:val="0"/>
        </w:numPr>
        <w:pStyle w:val="referenceitem"/>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referenceitem"/>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referenceitem"/>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referenceitem"/>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referenceitem"/>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p1a"/>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Estructura del repositorio de código.</w:t>
      </w:r>
    </w:p>
    <w:tbl>
      <w:tblPr>
        <w:tblStyle w:val="Table"/>
        <w:tblW w:type="dxa" w:w="8838"/>
        <w:tblLayout w:type="fixed"/>
        <w:tblLook w:firstRow="1" w:lastRow="0" w:firstColumn="0" w:lastColumn="0" w:noHBand="0" w:noVBand="0" w:val="0020"/>
      </w:tblPr>
      <w:tblGrid>
        <w:gridCol w:w="5461"/>
        <w:gridCol w:w="3377"/>
      </w:tblGrid>
      <w:tr>
        <w:trPr>
          <w:tblHeader w:val="on"/>
        </w:trPr>
        <w:tc>
          <w:tcPr>
            <w:tcW w:type="dxa" w:w="5461"/>
          </w:tcPr>
          <w:p>
            <w:pPr>
              <w:pStyle w:val="Compact"/>
              <w:jc w:val="left"/>
            </w:pPr>
            <w:r>
              <w:rPr>
                <w:b/>
              </w:rPr>
              <w:t>Ruta</w:t>
            </w:r>
          </w:p>
        </w:tc>
        <w:tc>
          <w:tcPr>
            <w:tcW w:type="dxa" w:w="3377"/>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p1a"/>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program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program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program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program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Configuración del entorno de pruebas.</w:t>
      </w:r>
    </w:p>
    <w:tbl>
      <w:tblPr>
        <w:tblStyle w:val="Table"/>
        <w:tblW w:type="dxa" w:w="8838"/>
        <w:tblLayout w:type="fixed"/>
        <w:tblLook w:firstRow="1" w:lastRow="0" w:firstColumn="0" w:lastColumn="0" w:noHBand="0" w:noVBand="0" w:val="0020"/>
      </w:tblPr>
      <w:tblGrid>
        <w:gridCol w:w="4419"/>
        <w:gridCol w:w="4419"/>
      </w:tblGrid>
      <w:tr>
        <w:trPr>
          <w:tblHeader w:val="on"/>
        </w:trPr>
        <w:tc>
          <w:tcPr>
            <w:tcW w:type="dxa" w:w="4419"/>
          </w:tcPr>
          <w:p>
            <w:pPr>
              <w:pStyle w:val="Compact"/>
              <w:jc w:val="left"/>
            </w:pPr>
            <w:r>
              <w:rPr>
                <w:b/>
              </w:rPr>
              <w:t>Componente</w:t>
            </w:r>
          </w:p>
        </w:tc>
        <w:tc>
          <w:tcPr>
            <w:tcW w:type="dxa" w:w="4419"/>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p1a"/>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p1a"/>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dxa" w:w="8838"/>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program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dxa" w:w="8838"/>
        <w:tblLayout w:type="fixed"/>
        <w:tblLook w:firstRow="1" w:lastRow="0" w:firstColumn="0" w:lastColumn="0" w:noHBand="0" w:noVBand="0" w:val="0020"/>
      </w:tblPr>
      <w:tblGrid>
        <w:gridCol w:w="2513"/>
        <w:gridCol w:w="2211"/>
        <w:gridCol w:w="900"/>
        <w:gridCol w:w="3214"/>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900"/>
          </w:tcPr>
          <w:p>
            <w:pPr>
              <w:pStyle w:val="Compact"/>
              <w:jc w:val="left"/>
            </w:pPr>
            <w:r>
              <w:rPr>
                <w:b/>
              </w:rPr>
              <w:t>Idioma</w:t>
            </w:r>
          </w:p>
        </w:tc>
        <w:tc>
          <w:tcPr>
            <w:tcW w:type="dxa" w:w="3214"/>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dxa" w:w="8838"/>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dxa" w:w="8838"/>
        <w:tblLayout w:type="fixed"/>
        <w:tblLook w:firstRow="1" w:lastRow="0" w:firstColumn="0" w:lastColumn="0" w:noHBand="0" w:noVBand="0" w:val="0020"/>
      </w:tblPr>
      <w:tblGrid>
        <w:gridCol w:w="3130"/>
        <w:gridCol w:w="5708"/>
      </w:tblGrid>
      <w:tr>
        <w:trPr>
          <w:tblHeader w:val="on"/>
        </w:trPr>
        <w:tc>
          <w:tcPr>
            <w:tcW w:type="dxa" w:w="3130"/>
          </w:tcPr>
          <w:p>
            <w:pPr>
              <w:pStyle w:val="Compact"/>
              <w:jc w:val="left"/>
            </w:pPr>
            <w:r>
              <w:rPr>
                <w:b/>
              </w:rPr>
              <w:t>Regla</w:t>
            </w:r>
          </w:p>
        </w:tc>
        <w:tc>
          <w:tcPr>
            <w:tcW w:type="dxa" w:w="5708"/>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Procedencia de cada fila del benchmark exploratorio: correspondencia con su corrida de origen.</w:t>
      </w:r>
    </w:p>
    <w:tbl>
      <w:tblPr>
        <w:tblStyle w:val="Table"/>
        <w:tblW w:type="dxa" w:w="8838"/>
        <w:tblLayout w:type="fixed"/>
        <w:tblLook w:firstRow="1" w:lastRow="0" w:firstColumn="0" w:lastColumn="0" w:noHBand="0" w:noVBand="0" w:val="0020"/>
      </w:tblPr>
      <w:tblGrid>
        <w:gridCol w:w="4215"/>
        <w:gridCol w:w="4623"/>
      </w:tblGrid>
      <w:tr>
        <w:trPr>
          <w:tblHeader w:val="on"/>
        </w:trPr>
        <w:tc>
          <w:tcPr>
            <w:tcW w:type="dxa" w:w="4215"/>
          </w:tcPr>
          <w:p>
            <w:pPr>
              <w:pStyle w:val="Compact"/>
              <w:jc w:val="left"/>
            </w:pPr>
            <w:r>
              <w:rPr>
                <w:b/>
              </w:rPr>
              <w:t>Filas de la Tabla 4</w:t>
            </w:r>
          </w:p>
        </w:tc>
        <w:tc>
          <w:tcPr>
            <w:tcW w:type="dxa" w:w="4623"/>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bl>
    <w:p>
      <w:pPr>
        <w:numPr>
          <w:ilvl w:val="0"/>
          <w:numId w:val="0"/>
        </w:numPr>
        <w:pStyle w:val="heading2"/>
      </w:pPr>
      <w:r>
        <w:t>Anexo F — Metodología Detallada de Generación del Corpus Sintético N=30</w:t>
      </w:r>
    </w:p>
    <w:p>
      <w:pPr>
        <w:numPr>
          <w:ilvl w:val="0"/>
          <w:numId w:val="0"/>
        </w:numPr>
        <w:pStyle w:val="p1a"/>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program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p1a"/>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p1a"/>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p1a"/>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p1a"/>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p1a"/>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p1a"/>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Formas corruptas de los nombres almacenados y su representación real.</w:t>
      </w:r>
    </w:p>
    <w:tbl>
      <w:tblPr>
        <w:tblStyle w:val="Table"/>
        <w:tblW w:type="dxa" w:w="8838"/>
        <w:tblLayout w:type="fixed"/>
        <w:tblLook w:firstRow="1" w:lastRow="0" w:firstColumn="0" w:lastColumn="0" w:noHBand="0" w:noVBand="0" w:val="0020"/>
      </w:tblPr>
      <w:tblGrid>
        <w:gridCol w:w="5077"/>
        <w:gridCol w:w="3761"/>
      </w:tblGrid>
      <w:tr>
        <w:trPr>
          <w:tblHeader w:val="on"/>
        </w:trPr>
        <w:tc>
          <w:tcPr>
            <w:tcW w:type="dxa" w:w="5077"/>
          </w:tcPr>
          <w:p>
            <w:pPr>
              <w:pStyle w:val="Compact"/>
              <w:jc w:val="left"/>
            </w:pPr>
            <w:r>
              <w:rPr>
                <w:b/>
              </w:rPr>
              <w:t>Forma almacenada (corrupta)</w:t>
            </w:r>
          </w:p>
        </w:tc>
        <w:tc>
          <w:tcPr>
            <w:tcW w:type="dxa" w:w="3761"/>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Alcance medido del defecto de codificación sobre el corpus N=120.</w:t>
      </w:r>
    </w:p>
    <w:tbl>
      <w:tblPr>
        <w:tblStyle w:val="Table"/>
        <w:tblW w:type="dxa" w:w="8838"/>
        <w:tblLayout w:type="fixed"/>
        <w:tblLook w:firstRow="1" w:lastRow="0" w:firstColumn="0" w:lastColumn="0" w:noHBand="0" w:noVBand="0" w:val="0020"/>
      </w:tblPr>
      <w:tblGrid>
        <w:gridCol w:w="5564"/>
        <w:gridCol w:w="3274"/>
      </w:tblGrid>
      <w:tr>
        <w:trPr>
          <w:tblHeader w:val="on"/>
        </w:trPr>
        <w:tc>
          <w:tcPr>
            <w:tcW w:type="dxa" w:w="5564"/>
          </w:tcPr>
          <w:p>
            <w:pPr>
              <w:pStyle w:val="Compact"/>
              <w:jc w:val="left"/>
            </w:pPr>
            <w:r>
              <w:rPr>
                <w:b/>
              </w:rPr>
              <w:t>Comprobación sobre data/benchmark_balanced_120.json</w:t>
            </w:r>
          </w:p>
        </w:tc>
        <w:tc>
          <w:tcPr>
            <w:tcW w:type="dxa" w:w="3274"/>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p1a"/>
      </w:pPr>
      <w:r>
        <w:t xml:space="preserve">El efecto se midió sobre las 24 configuraciones del corpus N=120 que aportan los ciento veinte registros completos, con el script </w:t>
      </w:r>
      <w:r>
        <w:t>tools/analisis_mojibake.py</w:t>
      </w:r>
      <w:r>
        <w:t xml:space="preserve">, que se publica para que la tabla sea reproducible. La medición obliga a declarar el criterio de «artículo afectado», porque </w:t>
      </w:r>
      <w:r>
        <w:rPr>
          <w:b/>
        </w:rPr>
        <w:t>el signo del efecto depende de cuál se elija</w:t>
      </w:r>
      <w:r>
        <w:t>, y esa dependencia es en sí misma el resultado:</w:t>
      </w:r>
    </w:p>
    <w:p>
      <w:pPr>
        <w:numPr>
          <w:ilvl w:val="0"/>
          <w:numId w:val="0"/>
        </w:numPr>
        <w:pStyle w:val="bulletitem"/>
      </w:pPr>
      <w:r>
        <w:rPr>
          <w:b/>
        </w:rPr>
        <w:t>Por entidad de referencia corrupta</w:t>
      </w:r>
      <w:r>
        <w:t>: 89 artículos afectados y 31 no.</w:t>
      </w:r>
    </w:p>
    <w:p>
      <w:pPr>
        <w:numPr>
          <w:ilvl w:val="0"/>
          <w:numId w:val="0"/>
        </w:numPr>
        <w:pStyle w:val="bulletitem"/>
      </w:pPr>
      <w:r>
        <w:rPr>
          <w:b/>
        </w:rPr>
        <w:t>Por texto de entrada corrupto</w:t>
      </w:r>
      <w:r>
        <w:t>: 104 artículos afectados y 16 no.</w:t>
      </w:r>
    </w:p>
    <w:p>
      <w:pPr>
        <w:numPr>
          <w:ilvl w:val="0"/>
          <w:numId w:val="0"/>
        </w:numPr>
        <w:pStyle w:val="tablecaption"/>
      </w:pPr>
      <w:r>
        <w:t xml:space="preserve">Tabla 18. Efecto diferencial del </w:t>
      </w:r>
      <w:r>
        <w:rPr>
          <w:i/>
        </w:rPr>
        <w:t>mojibake</w:t>
      </w:r>
      <w:r>
        <w:t xml:space="preserve"> sobre el F1 según el criterio de artículo afectado.</w:t>
      </w:r>
    </w:p>
    <w:tbl>
      <w:tblPr>
        <w:tblStyle w:val="Table"/>
        <w:tblW w:type="dxa" w:w="8838"/>
        <w:tblLayout w:type="fixed"/>
        <w:tblLook w:firstRow="1" w:lastRow="0" w:firstColumn="0" w:lastColumn="0" w:noHBand="0" w:noVBand="0" w:val="0020"/>
      </w:tblPr>
      <w:tblGrid>
        <w:gridCol w:w="2981"/>
        <w:gridCol w:w="3194"/>
        <w:gridCol w:w="2663"/>
      </w:tblGrid>
      <w:tr>
        <w:trPr>
          <w:tblHeader w:val="on"/>
        </w:trPr>
        <w:tc>
          <w:tcPr>
            <w:tcW w:type="dxa" w:w="2981"/>
          </w:tcPr>
          <w:p>
            <w:pPr>
              <w:pStyle w:val="Compact"/>
              <w:jc w:val="left"/>
            </w:pPr>
            <w:r>
              <w:rPr>
                <w:b/>
              </w:rPr>
              <w:t>Configuración</w:t>
            </w:r>
          </w:p>
        </w:tc>
        <w:tc>
          <w:tcPr>
            <w:tcW w:type="dxa" w:w="3194"/>
          </w:tcPr>
          <w:p>
            <w:pPr>
              <w:pStyle w:val="Compact"/>
              <w:jc w:val="left"/>
            </w:pPr>
            <w:r>
              <w:rPr>
                <w:b/>
              </w:rPr>
              <w:t>Δ F1 por entidad de referencia</w:t>
            </w:r>
          </w:p>
        </w:tc>
        <w:tc>
          <w:tcPr>
            <w:tcW w:type="dxa" w:w="2663"/>
          </w:tcPr>
          <w:p>
            <w:pPr>
              <w:pStyle w:val="Compact"/>
              <w:jc w:val="left"/>
            </w:pPr>
            <w:r>
              <w:rPr>
                <w:b/>
              </w:rPr>
              <w:t>Δ F1 por texto de entrada</w:t>
            </w:r>
          </w:p>
        </w:tc>
      </w:tr>
      <w:tr>
        <w:tc>
          <w:tcPr>
            <w:tcW w:type="dxa" w:w="2981"/>
          </w:tcPr>
          <w:p>
            <w:pPr>
              <w:pStyle w:val="Compact"/>
              <w:jc w:val="left"/>
            </w:pPr>
            <w:r>
              <w:rPr>
                <w:b w:val="0"/>
              </w:rPr>
              <w:t>qwen3:8b_kb_rag</w:t>
            </w:r>
          </w:p>
        </w:tc>
        <w:tc>
          <w:tcPr>
            <w:tcW w:type="dxa" w:w="3194"/>
          </w:tcPr>
          <w:p>
            <w:pPr>
              <w:pStyle w:val="Compact"/>
              <w:jc w:val="left"/>
            </w:pPr>
            <w:r>
              <w:rPr>
                <w:b w:val="0"/>
              </w:rPr>
              <w:t>+0.1554</w:t>
            </w:r>
          </w:p>
        </w:tc>
        <w:tc>
          <w:tcPr>
            <w:tcW w:type="dxa" w:w="2663"/>
          </w:tcPr>
          <w:p>
            <w:pPr>
              <w:pStyle w:val="Compact"/>
              <w:jc w:val="left"/>
            </w:pPr>
            <w:r>
              <w:rPr>
                <w:b w:val="0"/>
              </w:rPr>
              <w:t>+0.0152</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nemotron-mini:4b_kb_rag</w:t>
            </w:r>
          </w:p>
        </w:tc>
        <w:tc>
          <w:tcPr>
            <w:tcW w:type="dxa" w:w="3194"/>
          </w:tcPr>
          <w:p>
            <w:pPr>
              <w:pStyle w:val="Compact"/>
              <w:jc w:val="left"/>
            </w:pPr>
            <w:r>
              <w:rPr>
                <w:b w:val="0"/>
              </w:rPr>
              <w:t>+0.0948</w:t>
            </w:r>
          </w:p>
        </w:tc>
        <w:tc>
          <w:tcPr>
            <w:tcW w:type="dxa" w:w="2663"/>
          </w:tcPr>
          <w:p>
            <w:pPr>
              <w:pStyle w:val="Compact"/>
              <w:jc w:val="left"/>
            </w:pPr>
            <w:r>
              <w:rPr>
                <w:b w:val="0"/>
              </w:rPr>
              <w:t>-0.0609</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gemma4:12b-mlx_baseline</w:t>
            </w:r>
          </w:p>
        </w:tc>
        <w:tc>
          <w:tcPr>
            <w:tcW w:type="dxa" w:w="3194"/>
          </w:tcPr>
          <w:p>
            <w:pPr>
              <w:pStyle w:val="Compact"/>
              <w:jc w:val="left"/>
            </w:pPr>
            <w:r>
              <w:rPr>
                <w:b w:val="0"/>
              </w:rPr>
              <w:t>+0.0789</w:t>
            </w:r>
          </w:p>
        </w:tc>
        <w:tc>
          <w:tcPr>
            <w:tcW w:type="dxa" w:w="2663"/>
          </w:tcPr>
          <w:p>
            <w:pPr>
              <w:pStyle w:val="Compact"/>
              <w:jc w:val="left"/>
            </w:pPr>
            <w:r>
              <w:rPr>
                <w:b w:val="0"/>
              </w:rPr>
              <w:t>-0.0612</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gemma4:12b-mlx_kb_rag</w:t>
            </w:r>
          </w:p>
        </w:tc>
        <w:tc>
          <w:tcPr>
            <w:tcW w:type="dxa" w:w="3194"/>
          </w:tcPr>
          <w:p>
            <w:pPr>
              <w:pStyle w:val="Compact"/>
              <w:jc w:val="left"/>
            </w:pPr>
            <w:r>
              <w:rPr>
                <w:b w:val="0"/>
              </w:rPr>
              <w:t>+0.0604</w:t>
            </w:r>
          </w:p>
        </w:tc>
        <w:tc>
          <w:tcPr>
            <w:tcW w:type="dxa" w:w="2663"/>
          </w:tcPr>
          <w:p>
            <w:pPr>
              <w:pStyle w:val="Compact"/>
              <w:jc w:val="left"/>
            </w:pPr>
            <w:r>
              <w:rPr>
                <w:b w:val="0"/>
              </w:rPr>
              <w:t>-0.0897</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qwen3:8b_baseline</w:t>
            </w:r>
          </w:p>
        </w:tc>
        <w:tc>
          <w:tcPr>
            <w:tcW w:type="dxa" w:w="3194"/>
          </w:tcPr>
          <w:p>
            <w:pPr>
              <w:pStyle w:val="Compact"/>
              <w:jc w:val="left"/>
            </w:pPr>
            <w:r>
              <w:rPr>
                <w:b w:val="0"/>
              </w:rPr>
              <w:t>-0.0076</w:t>
            </w:r>
          </w:p>
        </w:tc>
        <w:tc>
          <w:tcPr>
            <w:tcW w:type="dxa" w:w="2663"/>
          </w:tcPr>
          <w:p>
            <w:pPr>
              <w:pStyle w:val="Compact"/>
              <w:jc w:val="left"/>
            </w:pPr>
            <w:r>
              <w:rPr>
                <w:b w:val="0"/>
              </w:rPr>
              <w:t>-0.1359</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nemotron-mini:4b_baseline</w:t>
            </w:r>
          </w:p>
        </w:tc>
        <w:tc>
          <w:tcPr>
            <w:tcW w:type="dxa" w:w="3194"/>
          </w:tcPr>
          <w:p>
            <w:pPr>
              <w:pStyle w:val="Compact"/>
              <w:jc w:val="left"/>
            </w:pPr>
            <w:r>
              <w:rPr>
                <w:b w:val="0"/>
              </w:rPr>
              <w:t>-0.0477</w:t>
            </w:r>
          </w:p>
        </w:tc>
        <w:tc>
          <w:tcPr>
            <w:tcW w:type="dxa" w:w="2663"/>
          </w:tcPr>
          <w:p>
            <w:pPr>
              <w:pStyle w:val="Compact"/>
              <w:jc w:val="left"/>
            </w:pPr>
            <w:r>
              <w:rPr>
                <w:b w:val="0"/>
              </w:rPr>
              <w:t>-0.1942</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19 de las 24 configuraciones puntúan mejor</w:t>
      </w:r>
      <w:r>
        <w:t xml:space="preserve"> en los artículos cuya anotación de referencia está corrompida, y </w:t>
      </w:r>
      <w:r>
        <w:rPr>
          <w:b/>
        </w:rPr>
        <w:t>5 de las 24 puntúan peor</w:t>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José Bono</w:t>
      </w:r>
      <w:r>
        <w:t xml:space="preserve"> no casa con </w:t>
      </w:r>
      <w:r>
        <w:t>JosÃ© Bono</w:t>
      </w:r>
      <w:r>
        <w:t>. Cuando está en el texto de entrada, en cambio, dificulta la extracción para todos, y ahí el efecto es de signo negativo.</w:t>
      </w:r>
    </w:p>
    <w:p>
      <w:pPr>
        <w:numPr>
          <w:ilvl w:val="0"/>
          <w:numId w:val="0"/>
        </w:numPr>
        <w:pStyle w:val="p1a"/>
      </w:pPr>
      <w:r>
        <w:rPr>
          <w:b/>
        </w:rPr>
        <w:t>Cautela metodológica, y una advertencia sobre la versión anterior de esta tabla.</w:t>
      </w:r>
      <w:r>
        <w:t xml:space="preserve"> Los artículos afectados podrían ser además más largos o intrínsecamente más difíciles, lo que confundiría la magnitud absoluta de cada diferencia; el sentido del efecto, sin embargo, es consistente dentro de cada criterio. Una versión anterior de este anexo declaraba una partición de 88 artículos afectados y 31 no —cuya suma es 119 y no 120— y unas diferencias que no se reproducen con ninguno de los dos criterios: para </w:t>
      </w:r>
      <w:r>
        <w:t>gemma4:latest</w:t>
      </w:r>
      <w:r>
        <w:t xml:space="preserve"> reportaba −0,0695 donde la medición da +0,0620 por entidad y −0,0958 por texto. Se sustituye por la tabla presente, obtenida con el script publicado, y se conserva esta nota para que la corrección quede trazable.</w:t>
      </w:r>
    </w:p>
    <w:p>
      <w:pPr>
        <w:numPr>
          <w:ilvl w:val="0"/>
          <w:numId w:val="0"/>
        </w:numPr>
        <w:pStyle w:val="heading3"/>
      </w:pPr>
      <w:r>
        <w:t>H.4 Cómo debe repararse</w:t>
      </w:r>
    </w:p>
    <w:p>
      <w:pPr>
        <w:numPr>
          <w:ilvl w:val="0"/>
          <w:numId w:val="0"/>
        </w:numPr>
        <w:pStyle w:val="p1a"/>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numbereditem"/>
      </w:pPr>
      <w:r>
        <w:rPr>
          <w:b/>
        </w:rPr>
        <w:t>Verificar la codificación de la entrada, no solo la de la referencia.</w:t>
      </w:r>
      <w:r>
        <w:t xml:space="preserve"> Un defecto presente en ambas no se comporta como el mismo defecto presente en una sola.</w:t>
      </w:r>
    </w:p>
    <w:p>
      <w:pPr>
        <w:numPr>
          <w:ilvl w:val="0"/>
          <w:numId w:val="0"/>
        </w:numPr>
        <w:pStyle w:val="numbereditem"/>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numbereditem"/>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numbereditem"/>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p1a"/>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w:t>
      </w:r>
    </w:p>
    <w:p>
      <w:pPr>
        <w:numPr>
          <w:ilvl w:val="0"/>
          <w:numId w:val="0"/>
        </w:numPr>
        <w:pStyle w:val="tablecaption"/>
      </w:pPr>
      <w:r>
        <w:t xml:space="preserve">Tabla 19. Desempeño publicado y desempeño restringido a personas y organizaciones (N=120, 42 configuraciones).</w:t>
      </w:r>
    </w:p>
    <w:tbl>
      <w:tblPr>
        <w:tblStyle w:val="Table"/>
        <w:tblW w:type="dxa" w:w="8838"/>
        <w:tblLayout w:type="fixed"/>
        <w:tblLook w:firstRow="1" w:lastRow="0" w:firstColumn="0" w:lastColumn="0" w:noHBand="0" w:noVBand="0" w:val="0020"/>
      </w:tblPr>
      <w:tblGrid>
        <w:gridCol w:w="944"/>
        <w:gridCol w:w="2494"/>
        <w:gridCol w:w="900"/>
        <w:gridCol w:w="900"/>
        <w:gridCol w:w="900"/>
        <w:gridCol w:w="900"/>
        <w:gridCol w:w="900"/>
        <w:gridCol w:w="900"/>
      </w:tblGrid>
      <w:tr>
        <w:trPr>
          <w:tblHeader w:val="on"/>
        </w:trPr>
        <w:tc>
          <w:tcPr>
            <w:tcW w:type="dxa" w:w="944"/>
          </w:tcPr>
          <w:p>
            <w:pPr>
              <w:pStyle w:val="Compact"/>
              <w:jc w:val="left"/>
            </w:pPr>
            <w:r>
              <w:rPr>
                <w:b/>
              </w:rPr>
              <w:t>Configuración</w:t>
            </w:r>
          </w:p>
        </w:tc>
        <w:tc>
          <w:tcPr>
            <w:tcW w:type="dxa" w:w="2494"/>
          </w:tcPr>
          <w:p>
            <w:pPr>
              <w:pStyle w:val="Compact"/>
              <w:jc w:val="left"/>
            </w:pPr>
            <w:r>
              <w:rPr>
                <w:b/>
              </w:rPr>
              <w:t>Corrida</w:t>
            </w:r>
          </w:p>
        </w:tc>
        <w:tc>
          <w:tcPr>
            <w:tcW w:type="dxa" w:w="900"/>
          </w:tcPr>
          <w:p>
            <w:pPr>
              <w:pStyle w:val="Compact"/>
              <w:jc w:val="left"/>
            </w:pPr>
            <w:r>
              <w:rPr>
                <w:b/>
              </w:rPr>
              <w:t>P</w:t>
            </w:r>
          </w:p>
        </w:tc>
        <w:tc>
          <w:tcPr>
            <w:tcW w:type="dxa" w:w="900"/>
          </w:tcPr>
          <w:p>
            <w:pPr>
              <w:pStyle w:val="Compact"/>
              <w:jc w:val="center"/>
            </w:pPr>
            <w:r>
              <w:rPr>
                <w:b/>
              </w:rPr>
              <w:t>R</w:t>
            </w:r>
          </w:p>
        </w:tc>
        <w:tc>
          <w:tcPr>
            <w:tcW w:type="dxa" w:w="900"/>
          </w:tcPr>
          <w:p>
            <w:pPr>
              <w:pStyle w:val="Compact"/>
              <w:jc w:val="center"/>
            </w:pPr>
            <w:r>
              <w:rPr>
                <w:b/>
              </w:rPr>
              <w:t>F1</w:t>
            </w:r>
          </w:p>
        </w:tc>
        <w:tc>
          <w:tcPr>
            <w:tcW w:type="dxa" w:w="900"/>
          </w:tcPr>
          <w:p>
            <w:pPr>
              <w:pStyle w:val="Compact"/>
              <w:jc w:val="left"/>
            </w:pPr>
            <w:r>
              <w:rPr>
                <w:b/>
              </w:rPr>
              <w:t>P restr.</w:t>
            </w:r>
          </w:p>
        </w:tc>
        <w:tc>
          <w:tcPr>
            <w:tcW w:type="dxa" w:w="900"/>
          </w:tcPr>
          <w:p>
            <w:pPr>
              <w:pStyle w:val="Compact"/>
              <w:jc w:val="left"/>
            </w:pPr>
            <w:r>
              <w:rPr>
                <w:b/>
              </w:rPr>
              <w:t>F1 restr.</w:t>
            </w:r>
          </w:p>
        </w:tc>
        <w:tc>
          <w:tcPr>
            <w:tcW w:type="dxa" w:w="900"/>
          </w:tcPr>
          <w:p>
            <w:pPr>
              <w:pStyle w:val="Compact"/>
              <w:jc w:val="left"/>
            </w:pPr>
            <w:r>
              <w:rPr>
                <w:b/>
              </w:rPr>
              <w:t>Δ F1</w:t>
            </w:r>
          </w:p>
        </w:tc>
      </w:tr>
      <w:tr>
        <w:tc>
          <w:tcPr>
            <w:tcW w:type="dxa" w:w="944"/>
          </w:tcPr>
          <w:p>
            <w:pPr>
              <w:pStyle w:val="Compact"/>
              <w:jc w:val="left"/>
            </w:pPr>
            <w:r>
              <w:rPr>
                <w:b w:val="0"/>
              </w:rPr>
              <w:t>gemma4:31b-cloud_baseline</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55.80</w:t>
            </w:r>
          </w:p>
        </w:tc>
        <w:tc>
          <w:tcPr>
            <w:tcW w:type="dxa" w:w="900"/>
          </w:tcPr>
          <w:p>
            <w:pPr>
              <w:pStyle w:val="Compact"/>
              <w:jc w:val="center"/>
            </w:pPr>
            <w:r>
              <w:rPr>
                <w:b w:val="0"/>
              </w:rPr>
              <w:t xml:space="preserve">75.30</w:t>
            </w:r>
          </w:p>
        </w:tc>
        <w:tc>
          <w:tcPr>
            <w:tcW w:type="dxa" w:w="900"/>
          </w:tcPr>
          <w:p>
            <w:pPr>
              <w:pStyle w:val="Compact"/>
              <w:jc w:val="center"/>
            </w:pPr>
            <w:r>
              <w:rPr>
                <w:b w:val="0"/>
              </w:rPr>
              <w:t xml:space="preserve">62.38</w:t>
            </w:r>
          </w:p>
        </w:tc>
        <w:tc>
          <w:tcPr>
            <w:tcW w:type="dxa" w:w="900"/>
          </w:tcPr>
          <w:p>
            <w:pPr>
              <w:pStyle w:val="Compact"/>
              <w:jc w:val="left"/>
            </w:pPr>
            <w:r>
              <w:rPr>
                <w:b w:val="0"/>
              </w:rPr>
              <w:t xml:space="preserve">85.51</w:t>
            </w:r>
          </w:p>
        </w:tc>
        <w:tc>
          <w:tcPr>
            <w:tcW w:type="dxa" w:w="900"/>
          </w:tcPr>
          <w:p>
            <w:pPr>
              <w:pStyle w:val="Compact"/>
              <w:jc w:val="left"/>
            </w:pPr>
            <w:r>
              <w:rPr>
                <w:b w:val="0"/>
              </w:rPr>
              <w:t xml:space="preserve">80.42</w:t>
            </w:r>
          </w:p>
        </w:tc>
        <w:tc>
          <w:tcPr>
            <w:tcW w:type="dxa" w:w="900"/>
          </w:tcPr>
          <w:p>
            <w:pPr>
              <w:pStyle w:val="Compact"/>
              <w:jc w:val="left"/>
            </w:pPr>
            <w:r>
              <w:rPr>
                <w:b w:val="0"/>
              </w:rPr>
              <w:t xml:space="preserve">+18.03</w:t>
            </w:r>
          </w:p>
        </w:tc>
      </w:tr>
      <w:tr>
        <w:tc>
          <w:tcPr>
            <w:tcW w:type="dxa" w:w="944"/>
          </w:tcPr>
          <w:p>
            <w:pPr>
              <w:pStyle w:val="Compact"/>
              <w:jc w:val="left"/>
            </w:pPr>
            <w:r>
              <w:rPr>
                <w:b w:val="0"/>
              </w:rPr>
              <w:t>gemma4:31b-cloud_kb_rag</w:t>
            </w:r>
          </w:p>
        </w:tc>
        <w:tc>
          <w:tcPr>
            <w:tcW w:type="dxa" w:w="2494"/>
          </w:tcPr>
          <w:p>
            <w:pPr>
              <w:pStyle w:val="Compact"/>
              <w:jc w:val="left"/>
            </w:pPr>
            <w:r>
              <w:rPr>
                <w:b w:val="0"/>
              </w:rPr>
              <w:t>gemma4_31b_cloud_n120_REMOTO</w:t>
            </w:r>
          </w:p>
        </w:tc>
        <w:tc>
          <w:tcPr>
            <w:tcW w:type="dxa" w:w="900"/>
          </w:tcPr>
          <w:p>
            <w:pPr>
              <w:pStyle w:val="Compact"/>
              <w:jc w:val="left"/>
            </w:pPr>
            <w:r>
              <w:rPr>
                <w:b w:val="0"/>
              </w:rPr>
              <w:t xml:space="preserve">54.92</w:t>
            </w:r>
          </w:p>
        </w:tc>
        <w:tc>
          <w:tcPr>
            <w:tcW w:type="dxa" w:w="900"/>
          </w:tcPr>
          <w:p>
            <w:pPr>
              <w:pStyle w:val="Compact"/>
              <w:jc w:val="center"/>
            </w:pPr>
            <w:r>
              <w:rPr>
                <w:b w:val="0"/>
              </w:rPr>
              <w:t xml:space="preserve">75.11</w:t>
            </w:r>
          </w:p>
        </w:tc>
        <w:tc>
          <w:tcPr>
            <w:tcW w:type="dxa" w:w="900"/>
          </w:tcPr>
          <w:p>
            <w:pPr>
              <w:pStyle w:val="Compact"/>
              <w:jc w:val="center"/>
            </w:pPr>
            <w:r>
              <w:rPr>
                <w:b w:val="0"/>
              </w:rPr>
              <w:t xml:space="preserve">61.85</w:t>
            </w:r>
          </w:p>
        </w:tc>
        <w:tc>
          <w:tcPr>
            <w:tcW w:type="dxa" w:w="900"/>
          </w:tcPr>
          <w:p>
            <w:pPr>
              <w:pStyle w:val="Compact"/>
              <w:jc w:val="left"/>
            </w:pPr>
            <w:r>
              <w:rPr>
                <w:b w:val="0"/>
              </w:rPr>
              <w:t xml:space="preserve">82.40</w:t>
            </w:r>
          </w:p>
        </w:tc>
        <w:tc>
          <w:tcPr>
            <w:tcW w:type="dxa" w:w="900"/>
          </w:tcPr>
          <w:p>
            <w:pPr>
              <w:pStyle w:val="Compact"/>
              <w:jc w:val="left"/>
            </w:pPr>
            <w:r>
              <w:rPr>
                <w:b w:val="0"/>
              </w:rPr>
              <w:t xml:space="preserve">78.89</w:t>
            </w:r>
          </w:p>
        </w:tc>
        <w:tc>
          <w:tcPr>
            <w:tcW w:type="dxa" w:w="900"/>
          </w:tcPr>
          <w:p>
            <w:pPr>
              <w:pStyle w:val="Compact"/>
              <w:jc w:val="left"/>
            </w:pPr>
            <w:r>
              <w:rPr>
                <w:b w:val="0"/>
              </w:rPr>
              <w:t xml:space="preserve">+17.05</w:t>
            </w:r>
          </w:p>
        </w:tc>
      </w:tr>
      <w:tr>
        <w:tc>
          <w:tcPr>
            <w:tcW w:type="dxa" w:w="944"/>
          </w:tcPr>
          <w:p>
            <w:pPr>
              <w:pStyle w:val="Compact"/>
              <w:jc w:val="left"/>
            </w:pPr>
            <w:r>
              <w:rPr>
                <w:b w:val="0"/>
              </w:rPr>
              <w:t>gemma4:31b-mlx_baseline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52.89</w:t>
            </w:r>
          </w:p>
        </w:tc>
        <w:tc>
          <w:tcPr>
            <w:tcW w:type="dxa" w:w="900"/>
          </w:tcPr>
          <w:p>
            <w:pPr>
              <w:pStyle w:val="Compact"/>
              <w:jc w:val="center"/>
            </w:pPr>
            <w:r>
              <w:rPr>
                <w:b w:val="0"/>
              </w:rPr>
              <w:t xml:space="preserve">72.35</w:t>
            </w:r>
          </w:p>
        </w:tc>
        <w:tc>
          <w:tcPr>
            <w:tcW w:type="dxa" w:w="900"/>
          </w:tcPr>
          <w:p>
            <w:pPr>
              <w:pStyle w:val="Compact"/>
              <w:jc w:val="center"/>
            </w:pPr>
            <w:r>
              <w:rPr>
                <w:b w:val="0"/>
              </w:rPr>
              <w:t xml:space="preserve">59.25</w:t>
            </w:r>
          </w:p>
        </w:tc>
        <w:tc>
          <w:tcPr>
            <w:tcW w:type="dxa" w:w="900"/>
          </w:tcPr>
          <w:p>
            <w:pPr>
              <w:pStyle w:val="Compact"/>
              <w:jc w:val="left"/>
            </w:pPr>
            <w:r>
              <w:rPr>
                <w:b w:val="0"/>
              </w:rPr>
              <w:t xml:space="preserve">80.85</w:t>
            </w:r>
          </w:p>
        </w:tc>
        <w:tc>
          <w:tcPr>
            <w:tcW w:type="dxa" w:w="900"/>
          </w:tcPr>
          <w:p>
            <w:pPr>
              <w:pStyle w:val="Compact"/>
              <w:jc w:val="left"/>
            </w:pPr>
            <w:r>
              <w:rPr>
                <w:b w:val="0"/>
              </w:rPr>
              <w:t xml:space="preserve">76.55</w:t>
            </w:r>
          </w:p>
        </w:tc>
        <w:tc>
          <w:tcPr>
            <w:tcW w:type="dxa" w:w="900"/>
          </w:tcPr>
          <w:p>
            <w:pPr>
              <w:pStyle w:val="Compact"/>
              <w:jc w:val="left"/>
            </w:pPr>
            <w:r>
              <w:rPr>
                <w:b w:val="0"/>
              </w:rPr>
              <w:t xml:space="preserve">+17.30</w:t>
            </w:r>
          </w:p>
        </w:tc>
      </w:tr>
      <w:tr>
        <w:tc>
          <w:tcPr>
            <w:tcW w:type="dxa" w:w="944"/>
          </w:tcPr>
          <w:p>
            <w:pPr>
              <w:pStyle w:val="Compact"/>
              <w:jc w:val="left"/>
            </w:pPr>
            <w:r>
              <w:rPr>
                <w:b w:val="0"/>
              </w:rPr>
              <w:t>gemma4:31b-mlx_kb_rag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51.67</w:t>
            </w:r>
          </w:p>
        </w:tc>
        <w:tc>
          <w:tcPr>
            <w:tcW w:type="dxa" w:w="900"/>
          </w:tcPr>
          <w:p>
            <w:pPr>
              <w:pStyle w:val="Compact"/>
              <w:jc w:val="center"/>
            </w:pPr>
            <w:r>
              <w:rPr>
                <w:b w:val="0"/>
              </w:rPr>
              <w:t xml:space="preserve">73.59</w:t>
            </w:r>
          </w:p>
        </w:tc>
        <w:tc>
          <w:tcPr>
            <w:tcW w:type="dxa" w:w="900"/>
          </w:tcPr>
          <w:p>
            <w:pPr>
              <w:pStyle w:val="Compact"/>
              <w:jc w:val="center"/>
            </w:pPr>
            <w:r>
              <w:rPr>
                <w:b w:val="0"/>
              </w:rPr>
              <w:t xml:space="preserve">59.07</w:t>
            </w:r>
          </w:p>
        </w:tc>
        <w:tc>
          <w:tcPr>
            <w:tcW w:type="dxa" w:w="900"/>
          </w:tcPr>
          <w:p>
            <w:pPr>
              <w:pStyle w:val="Compact"/>
              <w:jc w:val="left"/>
            </w:pPr>
            <w:r>
              <w:rPr>
                <w:b w:val="0"/>
              </w:rPr>
              <w:t xml:space="preserve">77.11</w:t>
            </w:r>
          </w:p>
        </w:tc>
        <w:tc>
          <w:tcPr>
            <w:tcW w:type="dxa" w:w="900"/>
          </w:tcPr>
          <w:p>
            <w:pPr>
              <w:pStyle w:val="Compact"/>
              <w:jc w:val="left"/>
            </w:pPr>
            <w:r>
              <w:rPr>
                <w:b w:val="0"/>
              </w:rPr>
              <w:t xml:space="preserve">75.63</w:t>
            </w:r>
          </w:p>
        </w:tc>
        <w:tc>
          <w:tcPr>
            <w:tcW w:type="dxa" w:w="900"/>
          </w:tcPr>
          <w:p>
            <w:pPr>
              <w:pStyle w:val="Compact"/>
              <w:jc w:val="left"/>
            </w:pPr>
            <w:r>
              <w:rPr>
                <w:b w:val="0"/>
              </w:rPr>
              <w:t xml:space="preserve">+16.55</w:t>
            </w:r>
          </w:p>
        </w:tc>
      </w:tr>
      <w:tr>
        <w:tc>
          <w:tcPr>
            <w:tcW w:type="dxa" w:w="944"/>
          </w:tcPr>
          <w:p>
            <w:pPr>
              <w:pStyle w:val="Compact"/>
              <w:jc w:val="left"/>
            </w:pPr>
            <w:r>
              <w:rPr>
                <w:b w:val="0"/>
              </w:rPr>
              <w:t>gemma4:31b-mlx_rag_enhanced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52.09</w:t>
            </w:r>
          </w:p>
        </w:tc>
        <w:tc>
          <w:tcPr>
            <w:tcW w:type="dxa" w:w="900"/>
          </w:tcPr>
          <w:p>
            <w:pPr>
              <w:pStyle w:val="Compact"/>
              <w:jc w:val="center"/>
            </w:pPr>
            <w:r>
              <w:rPr>
                <w:b w:val="0"/>
              </w:rPr>
              <w:t xml:space="preserve">69.18</w:t>
            </w:r>
          </w:p>
        </w:tc>
        <w:tc>
          <w:tcPr>
            <w:tcW w:type="dxa" w:w="900"/>
          </w:tcPr>
          <w:p>
            <w:pPr>
              <w:pStyle w:val="Compact"/>
              <w:jc w:val="center"/>
            </w:pPr>
            <w:r>
              <w:rPr>
                <w:b w:val="0"/>
              </w:rPr>
              <w:t xml:space="preserve">57.85</w:t>
            </w:r>
          </w:p>
        </w:tc>
        <w:tc>
          <w:tcPr>
            <w:tcW w:type="dxa" w:w="900"/>
          </w:tcPr>
          <w:p>
            <w:pPr>
              <w:pStyle w:val="Compact"/>
              <w:jc w:val="left"/>
            </w:pPr>
            <w:r>
              <w:rPr>
                <w:b w:val="0"/>
              </w:rPr>
              <w:t xml:space="preserve">80.34</w:t>
            </w:r>
          </w:p>
        </w:tc>
        <w:tc>
          <w:tcPr>
            <w:tcW w:type="dxa" w:w="900"/>
          </w:tcPr>
          <w:p>
            <w:pPr>
              <w:pStyle w:val="Compact"/>
              <w:jc w:val="left"/>
            </w:pPr>
            <w:r>
              <w:rPr>
                <w:b w:val="0"/>
              </w:rPr>
              <w:t xml:space="preserve">74.66</w:t>
            </w:r>
          </w:p>
        </w:tc>
        <w:tc>
          <w:tcPr>
            <w:tcW w:type="dxa" w:w="900"/>
          </w:tcPr>
          <w:p>
            <w:pPr>
              <w:pStyle w:val="Compact"/>
              <w:jc w:val="left"/>
            </w:pPr>
            <w:r>
              <w:rPr>
                <w:b w:val="0"/>
              </w:rPr>
              <w:t xml:space="preserve">+16.81</w:t>
            </w:r>
          </w:p>
        </w:tc>
      </w:tr>
      <w:tr>
        <w:tc>
          <w:tcPr>
            <w:tcW w:type="dxa" w:w="944"/>
          </w:tcPr>
          <w:p>
            <w:pPr>
              <w:pStyle w:val="Compact"/>
              <w:jc w:val="left"/>
            </w:pPr>
            <w:r>
              <w:rPr>
                <w:b w:val="0"/>
              </w:rPr>
              <w:t>zs-es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51.90</w:t>
            </w:r>
          </w:p>
        </w:tc>
        <w:tc>
          <w:tcPr>
            <w:tcW w:type="dxa" w:w="900"/>
          </w:tcPr>
          <w:p>
            <w:pPr>
              <w:pStyle w:val="Compact"/>
              <w:jc w:val="center"/>
            </w:pPr>
            <w:r>
              <w:rPr>
                <w:b w:val="0"/>
              </w:rPr>
              <w:t xml:space="preserve">67.86</w:t>
            </w:r>
          </w:p>
        </w:tc>
        <w:tc>
          <w:tcPr>
            <w:tcW w:type="dxa" w:w="900"/>
          </w:tcPr>
          <w:p>
            <w:pPr>
              <w:pStyle w:val="Compact"/>
              <w:jc w:val="center"/>
            </w:pPr>
            <w:r>
              <w:rPr>
                <w:b w:val="0"/>
              </w:rPr>
              <w:t xml:space="preserve">55.62</w:t>
            </w:r>
          </w:p>
        </w:tc>
        <w:tc>
          <w:tcPr>
            <w:tcW w:type="dxa" w:w="900"/>
          </w:tcPr>
          <w:p>
            <w:pPr>
              <w:pStyle w:val="Compact"/>
              <w:jc w:val="left"/>
            </w:pPr>
            <w:r>
              <w:rPr>
                <w:b w:val="0"/>
              </w:rPr>
              <w:t xml:space="preserve">79.49</w:t>
            </w:r>
          </w:p>
        </w:tc>
        <w:tc>
          <w:tcPr>
            <w:tcW w:type="dxa" w:w="900"/>
          </w:tcPr>
          <w:p>
            <w:pPr>
              <w:pStyle w:val="Compact"/>
              <w:jc w:val="left"/>
            </w:pPr>
            <w:r>
              <w:rPr>
                <w:b w:val="0"/>
              </w:rPr>
              <w:t xml:space="preserve">71.07</w:t>
            </w:r>
          </w:p>
        </w:tc>
        <w:tc>
          <w:tcPr>
            <w:tcW w:type="dxa" w:w="900"/>
          </w:tcPr>
          <w:p>
            <w:pPr>
              <w:pStyle w:val="Compact"/>
              <w:jc w:val="left"/>
            </w:pPr>
            <w:r>
              <w:rPr>
                <w:b w:val="0"/>
              </w:rPr>
              <w:t xml:space="preserve">+15.45</w:t>
            </w:r>
          </w:p>
        </w:tc>
      </w:tr>
      <w:tr>
        <w:tc>
          <w:tcPr>
            <w:tcW w:type="dxa" w:w="944"/>
          </w:tcPr>
          <w:p>
            <w:pPr>
              <w:pStyle w:val="Compact"/>
              <w:jc w:val="left"/>
            </w:pPr>
            <w:r>
              <w:rPr>
                <w:b w:val="0"/>
              </w:rPr>
              <w:t>gpt-oss:20b_kb_rag</w:t>
            </w:r>
          </w:p>
        </w:tc>
        <w:tc>
          <w:tcPr>
            <w:tcW w:type="dxa" w:w="2494"/>
          </w:tcPr>
          <w:p>
            <w:pPr>
              <w:pStyle w:val="Compact"/>
              <w:jc w:val="left"/>
            </w:pPr>
            <w:r>
              <w:rPr>
                <w:b w:val="0"/>
              </w:rPr>
              <w:t>gptoss_rerun_REMOTO</w:t>
            </w:r>
          </w:p>
        </w:tc>
        <w:tc>
          <w:tcPr>
            <w:tcW w:type="dxa" w:w="900"/>
          </w:tcPr>
          <w:p>
            <w:pPr>
              <w:pStyle w:val="Compact"/>
              <w:jc w:val="left"/>
            </w:pPr>
            <w:r>
              <w:rPr>
                <w:b w:val="0"/>
              </w:rPr>
              <w:t xml:space="preserve">49.18</w:t>
            </w:r>
          </w:p>
        </w:tc>
        <w:tc>
          <w:tcPr>
            <w:tcW w:type="dxa" w:w="900"/>
          </w:tcPr>
          <w:p>
            <w:pPr>
              <w:pStyle w:val="Compact"/>
              <w:jc w:val="center"/>
            </w:pPr>
            <w:r>
              <w:rPr>
                <w:b w:val="0"/>
              </w:rPr>
              <w:t xml:space="preserve">69.09</w:t>
            </w:r>
          </w:p>
        </w:tc>
        <w:tc>
          <w:tcPr>
            <w:tcW w:type="dxa" w:w="900"/>
          </w:tcPr>
          <w:p>
            <w:pPr>
              <w:pStyle w:val="Compact"/>
              <w:jc w:val="center"/>
            </w:pPr>
            <w:r>
              <w:rPr>
                <w:b w:val="0"/>
              </w:rPr>
              <w:t xml:space="preserve">55.67</w:t>
            </w:r>
          </w:p>
        </w:tc>
        <w:tc>
          <w:tcPr>
            <w:tcW w:type="dxa" w:w="900"/>
          </w:tcPr>
          <w:p>
            <w:pPr>
              <w:pStyle w:val="Compact"/>
              <w:jc w:val="left"/>
            </w:pPr>
            <w:r>
              <w:rPr>
                <w:b w:val="0"/>
              </w:rPr>
              <w:t xml:space="preserve">75.40</w:t>
            </w:r>
          </w:p>
        </w:tc>
        <w:tc>
          <w:tcPr>
            <w:tcW w:type="dxa" w:w="900"/>
          </w:tcPr>
          <w:p>
            <w:pPr>
              <w:pStyle w:val="Compact"/>
              <w:jc w:val="left"/>
            </w:pPr>
            <w:r>
              <w:rPr>
                <w:b w:val="0"/>
              </w:rPr>
              <w:t xml:space="preserve">71.99</w:t>
            </w:r>
          </w:p>
        </w:tc>
        <w:tc>
          <w:tcPr>
            <w:tcW w:type="dxa" w:w="900"/>
          </w:tcPr>
          <w:p>
            <w:pPr>
              <w:pStyle w:val="Compact"/>
              <w:jc w:val="left"/>
            </w:pPr>
            <w:r>
              <w:rPr>
                <w:b w:val="0"/>
              </w:rPr>
              <w:t xml:space="preserve">+16.32</w:t>
            </w:r>
          </w:p>
        </w:tc>
      </w:tr>
      <w:tr>
        <w:tc>
          <w:tcPr>
            <w:tcW w:type="dxa" w:w="944"/>
          </w:tcPr>
          <w:p>
            <w:pPr>
              <w:pStyle w:val="Compact"/>
              <w:jc w:val="left"/>
            </w:pPr>
            <w:r>
              <w:rPr>
                <w:b w:val="0"/>
              </w:rPr>
              <w:t>gemma4:latest_baseline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52.91</w:t>
            </w:r>
          </w:p>
        </w:tc>
        <w:tc>
          <w:tcPr>
            <w:tcW w:type="dxa" w:w="900"/>
          </w:tcPr>
          <w:p>
            <w:pPr>
              <w:pStyle w:val="Compact"/>
              <w:jc w:val="center"/>
            </w:pPr>
            <w:r>
              <w:rPr>
                <w:b w:val="0"/>
              </w:rPr>
              <w:t xml:space="preserve">63.87</w:t>
            </w:r>
          </w:p>
        </w:tc>
        <w:tc>
          <w:tcPr>
            <w:tcW w:type="dxa" w:w="900"/>
          </w:tcPr>
          <w:p>
            <w:pPr>
              <w:pStyle w:val="Compact"/>
              <w:jc w:val="center"/>
            </w:pPr>
            <w:r>
              <w:rPr>
                <w:b w:val="0"/>
              </w:rPr>
              <w:t xml:space="preserve">55.91</w:t>
            </w:r>
          </w:p>
        </w:tc>
        <w:tc>
          <w:tcPr>
            <w:tcW w:type="dxa" w:w="900"/>
          </w:tcPr>
          <w:p>
            <w:pPr>
              <w:pStyle w:val="Compact"/>
              <w:jc w:val="left"/>
            </w:pPr>
            <w:r>
              <w:rPr>
                <w:b w:val="0"/>
              </w:rPr>
              <w:t xml:space="preserve">78.81</w:t>
            </w:r>
          </w:p>
        </w:tc>
        <w:tc>
          <w:tcPr>
            <w:tcW w:type="dxa" w:w="900"/>
          </w:tcPr>
          <w:p>
            <w:pPr>
              <w:pStyle w:val="Compact"/>
              <w:jc w:val="left"/>
            </w:pPr>
            <w:r>
              <w:rPr>
                <w:b w:val="0"/>
              </w:rPr>
              <w:t xml:space="preserve">70.52</w:t>
            </w:r>
          </w:p>
        </w:tc>
        <w:tc>
          <w:tcPr>
            <w:tcW w:type="dxa" w:w="900"/>
          </w:tcPr>
          <w:p>
            <w:pPr>
              <w:pStyle w:val="Compact"/>
              <w:jc w:val="left"/>
            </w:pPr>
            <w:r>
              <w:rPr>
                <w:b w:val="0"/>
              </w:rPr>
              <w:t xml:space="preserve">+14.61</w:t>
            </w:r>
          </w:p>
        </w:tc>
      </w:tr>
      <w:tr>
        <w:tc>
          <w:tcPr>
            <w:tcW w:type="dxa" w:w="944"/>
          </w:tcPr>
          <w:p>
            <w:pPr>
              <w:pStyle w:val="Compact"/>
              <w:jc w:val="left"/>
            </w:pPr>
            <w:r>
              <w:rPr>
                <w:b w:val="0"/>
              </w:rPr>
              <w:t>gemma4:latest_kb_rag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51.29</w:t>
            </w:r>
          </w:p>
        </w:tc>
        <w:tc>
          <w:tcPr>
            <w:tcW w:type="dxa" w:w="900"/>
          </w:tcPr>
          <w:p>
            <w:pPr>
              <w:pStyle w:val="Compact"/>
              <w:jc w:val="center"/>
            </w:pPr>
            <w:r>
              <w:rPr>
                <w:b w:val="0"/>
              </w:rPr>
              <w:t xml:space="preserve">62.76</w:t>
            </w:r>
          </w:p>
        </w:tc>
        <w:tc>
          <w:tcPr>
            <w:tcW w:type="dxa" w:w="900"/>
          </w:tcPr>
          <w:p>
            <w:pPr>
              <w:pStyle w:val="Compact"/>
              <w:jc w:val="center"/>
            </w:pPr>
            <w:r>
              <w:rPr>
                <w:b w:val="0"/>
              </w:rPr>
              <w:t xml:space="preserve">54.74</w:t>
            </w:r>
          </w:p>
        </w:tc>
        <w:tc>
          <w:tcPr>
            <w:tcW w:type="dxa" w:w="900"/>
          </w:tcPr>
          <w:p>
            <w:pPr>
              <w:pStyle w:val="Compact"/>
              <w:jc w:val="left"/>
            </w:pPr>
            <w:r>
              <w:rPr>
                <w:b w:val="0"/>
              </w:rPr>
              <w:t xml:space="preserve">79.72</w:t>
            </w:r>
          </w:p>
        </w:tc>
        <w:tc>
          <w:tcPr>
            <w:tcW w:type="dxa" w:w="900"/>
          </w:tcPr>
          <w:p>
            <w:pPr>
              <w:pStyle w:val="Compact"/>
              <w:jc w:val="left"/>
            </w:pPr>
            <w:r>
              <w:rPr>
                <w:b w:val="0"/>
              </w:rPr>
              <w:t xml:space="preserve">70.34</w:t>
            </w:r>
          </w:p>
        </w:tc>
        <w:tc>
          <w:tcPr>
            <w:tcW w:type="dxa" w:w="900"/>
          </w:tcPr>
          <w:p>
            <w:pPr>
              <w:pStyle w:val="Compact"/>
              <w:jc w:val="left"/>
            </w:pPr>
            <w:r>
              <w:rPr>
                <w:b w:val="0"/>
              </w:rPr>
              <w:t xml:space="preserve">+15.59</w:t>
            </w:r>
          </w:p>
        </w:tc>
      </w:tr>
      <w:tr>
        <w:tc>
          <w:tcPr>
            <w:tcW w:type="dxa" w:w="944"/>
          </w:tcPr>
          <w:p>
            <w:pPr>
              <w:pStyle w:val="Compact"/>
              <w:jc w:val="left"/>
            </w:pPr>
            <w:r>
              <w:rPr>
                <w:b w:val="0"/>
              </w:rPr>
              <w:t>zs-en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52.47</w:t>
            </w:r>
          </w:p>
        </w:tc>
        <w:tc>
          <w:tcPr>
            <w:tcW w:type="dxa" w:w="900"/>
          </w:tcPr>
          <w:p>
            <w:pPr>
              <w:pStyle w:val="Compact"/>
              <w:jc w:val="center"/>
            </w:pPr>
            <w:r>
              <w:rPr>
                <w:b w:val="0"/>
              </w:rPr>
              <w:t xml:space="preserve">65.39</w:t>
            </w:r>
          </w:p>
        </w:tc>
        <w:tc>
          <w:tcPr>
            <w:tcW w:type="dxa" w:w="900"/>
          </w:tcPr>
          <w:p>
            <w:pPr>
              <w:pStyle w:val="Compact"/>
              <w:jc w:val="center"/>
            </w:pPr>
            <w:r>
              <w:rPr>
                <w:b w:val="0"/>
              </w:rPr>
              <w:t xml:space="preserve">54.46</w:t>
            </w:r>
          </w:p>
        </w:tc>
        <w:tc>
          <w:tcPr>
            <w:tcW w:type="dxa" w:w="900"/>
          </w:tcPr>
          <w:p>
            <w:pPr>
              <w:pStyle w:val="Compact"/>
              <w:jc w:val="left"/>
            </w:pPr>
            <w:r>
              <w:rPr>
                <w:b w:val="0"/>
              </w:rPr>
              <w:t xml:space="preserve">77.93</w:t>
            </w:r>
          </w:p>
        </w:tc>
        <w:tc>
          <w:tcPr>
            <w:tcW w:type="dxa" w:w="900"/>
          </w:tcPr>
          <w:p>
            <w:pPr>
              <w:pStyle w:val="Compact"/>
              <w:jc w:val="left"/>
            </w:pPr>
            <w:r>
              <w:rPr>
                <w:b w:val="0"/>
              </w:rPr>
              <w:t xml:space="preserve">69.06</w:t>
            </w:r>
          </w:p>
        </w:tc>
        <w:tc>
          <w:tcPr>
            <w:tcW w:type="dxa" w:w="900"/>
          </w:tcPr>
          <w:p>
            <w:pPr>
              <w:pStyle w:val="Compact"/>
              <w:jc w:val="left"/>
            </w:pPr>
            <w:r>
              <w:rPr>
                <w:b w:val="0"/>
              </w:rPr>
              <w:t xml:space="preserve">+14.60</w:t>
            </w:r>
          </w:p>
        </w:tc>
      </w:tr>
      <w:tr>
        <w:tc>
          <w:tcPr>
            <w:tcW w:type="dxa" w:w="944"/>
          </w:tcPr>
          <w:p>
            <w:pPr>
              <w:pStyle w:val="Compact"/>
              <w:jc w:val="left"/>
            </w:pPr>
            <w:r>
              <w:rPr>
                <w:b w:val="0"/>
              </w:rPr>
              <w:t>fs-es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51.35</w:t>
            </w:r>
          </w:p>
        </w:tc>
        <w:tc>
          <w:tcPr>
            <w:tcW w:type="dxa" w:w="900"/>
          </w:tcPr>
          <w:p>
            <w:pPr>
              <w:pStyle w:val="Compact"/>
              <w:jc w:val="center"/>
            </w:pPr>
            <w:r>
              <w:rPr>
                <w:b w:val="0"/>
              </w:rPr>
              <w:t xml:space="preserve">64.59</w:t>
            </w:r>
          </w:p>
        </w:tc>
        <w:tc>
          <w:tcPr>
            <w:tcW w:type="dxa" w:w="900"/>
          </w:tcPr>
          <w:p>
            <w:pPr>
              <w:pStyle w:val="Compact"/>
              <w:jc w:val="center"/>
            </w:pPr>
            <w:r>
              <w:rPr>
                <w:b w:val="0"/>
              </w:rPr>
              <w:t xml:space="preserve">54.02</w:t>
            </w:r>
          </w:p>
        </w:tc>
        <w:tc>
          <w:tcPr>
            <w:tcW w:type="dxa" w:w="900"/>
          </w:tcPr>
          <w:p>
            <w:pPr>
              <w:pStyle w:val="Compact"/>
              <w:jc w:val="left"/>
            </w:pPr>
            <w:r>
              <w:rPr>
                <w:b w:val="0"/>
              </w:rPr>
              <w:t xml:space="preserve">80.76</w:t>
            </w:r>
          </w:p>
        </w:tc>
        <w:tc>
          <w:tcPr>
            <w:tcW w:type="dxa" w:w="900"/>
          </w:tcPr>
          <w:p>
            <w:pPr>
              <w:pStyle w:val="Compact"/>
              <w:jc w:val="left"/>
            </w:pPr>
            <w:r>
              <w:rPr>
                <w:b w:val="0"/>
              </w:rPr>
              <w:t xml:space="preserve">69.89</w:t>
            </w:r>
          </w:p>
        </w:tc>
        <w:tc>
          <w:tcPr>
            <w:tcW w:type="dxa" w:w="900"/>
          </w:tcPr>
          <w:p>
            <w:pPr>
              <w:pStyle w:val="Compact"/>
              <w:jc w:val="left"/>
            </w:pPr>
            <w:r>
              <w:rPr>
                <w:b w:val="0"/>
              </w:rPr>
              <w:t xml:space="preserve">+15.86</w:t>
            </w:r>
          </w:p>
        </w:tc>
      </w:tr>
      <w:tr>
        <w:tc>
          <w:tcPr>
            <w:tcW w:type="dxa" w:w="944"/>
          </w:tcPr>
          <w:p>
            <w:pPr>
              <w:pStyle w:val="Compact"/>
              <w:jc w:val="left"/>
            </w:pPr>
            <w:r>
              <w:rPr>
                <w:b w:val="0"/>
              </w:rPr>
              <w:t>fs-en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 xml:space="preserve">51.61</w:t>
            </w:r>
          </w:p>
        </w:tc>
        <w:tc>
          <w:tcPr>
            <w:tcW w:type="dxa" w:w="900"/>
          </w:tcPr>
          <w:p>
            <w:pPr>
              <w:pStyle w:val="Compact"/>
              <w:jc w:val="center"/>
            </w:pPr>
            <w:r>
              <w:rPr>
                <w:b w:val="0"/>
              </w:rPr>
              <w:t xml:space="preserve">65.28</w:t>
            </w:r>
          </w:p>
        </w:tc>
        <w:tc>
          <w:tcPr>
            <w:tcW w:type="dxa" w:w="900"/>
          </w:tcPr>
          <w:p>
            <w:pPr>
              <w:pStyle w:val="Compact"/>
              <w:jc w:val="center"/>
            </w:pPr>
            <w:r>
              <w:rPr>
                <w:b w:val="0"/>
              </w:rPr>
              <w:t xml:space="preserve">54.50</w:t>
            </w:r>
          </w:p>
        </w:tc>
        <w:tc>
          <w:tcPr>
            <w:tcW w:type="dxa" w:w="900"/>
          </w:tcPr>
          <w:p>
            <w:pPr>
              <w:pStyle w:val="Compact"/>
              <w:jc w:val="left"/>
            </w:pPr>
            <w:r>
              <w:rPr>
                <w:b w:val="0"/>
              </w:rPr>
              <w:t xml:space="preserve">80.26</w:t>
            </w:r>
          </w:p>
        </w:tc>
        <w:tc>
          <w:tcPr>
            <w:tcW w:type="dxa" w:w="900"/>
          </w:tcPr>
          <w:p>
            <w:pPr>
              <w:pStyle w:val="Compact"/>
              <w:jc w:val="left"/>
            </w:pPr>
            <w:r>
              <w:rPr>
                <w:b w:val="0"/>
              </w:rPr>
              <w:t xml:space="preserve">70.23</w:t>
            </w:r>
          </w:p>
        </w:tc>
        <w:tc>
          <w:tcPr>
            <w:tcW w:type="dxa" w:w="900"/>
          </w:tcPr>
          <w:p>
            <w:pPr>
              <w:pStyle w:val="Compact"/>
              <w:jc w:val="left"/>
            </w:pPr>
            <w:r>
              <w:rPr>
                <w:b w:val="0"/>
              </w:rPr>
              <w:t xml:space="preserve">+15.72</w:t>
            </w:r>
          </w:p>
        </w:tc>
      </w:tr>
      <w:tr>
        <w:tc>
          <w:tcPr>
            <w:tcW w:type="dxa" w:w="944"/>
          </w:tcPr>
          <w:p>
            <w:pPr>
              <w:pStyle w:val="Compact"/>
              <w:jc w:val="left"/>
            </w:pPr>
            <w:r>
              <w:rPr>
                <w:b w:val="0"/>
              </w:rPr>
              <w:t>gemma4:latest_rag_enhanced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50.61</w:t>
            </w:r>
          </w:p>
        </w:tc>
        <w:tc>
          <w:tcPr>
            <w:tcW w:type="dxa" w:w="900"/>
          </w:tcPr>
          <w:p>
            <w:pPr>
              <w:pStyle w:val="Compact"/>
              <w:jc w:val="center"/>
            </w:pPr>
            <w:r>
              <w:rPr>
                <w:b w:val="0"/>
              </w:rPr>
              <w:t xml:space="preserve">58.82</w:t>
            </w:r>
          </w:p>
        </w:tc>
        <w:tc>
          <w:tcPr>
            <w:tcW w:type="dxa" w:w="900"/>
          </w:tcPr>
          <w:p>
            <w:pPr>
              <w:pStyle w:val="Compact"/>
              <w:jc w:val="center"/>
            </w:pPr>
            <w:r>
              <w:rPr>
                <w:b w:val="0"/>
              </w:rPr>
              <w:t xml:space="preserve">52.57</w:t>
            </w:r>
          </w:p>
        </w:tc>
        <w:tc>
          <w:tcPr>
            <w:tcW w:type="dxa" w:w="900"/>
          </w:tcPr>
          <w:p>
            <w:pPr>
              <w:pStyle w:val="Compact"/>
              <w:jc w:val="left"/>
            </w:pPr>
            <w:r>
              <w:rPr>
                <w:b w:val="0"/>
              </w:rPr>
              <w:t xml:space="preserve">78.80</w:t>
            </w:r>
          </w:p>
        </w:tc>
        <w:tc>
          <w:tcPr>
            <w:tcW w:type="dxa" w:w="900"/>
          </w:tcPr>
          <w:p>
            <w:pPr>
              <w:pStyle w:val="Compact"/>
              <w:jc w:val="left"/>
            </w:pPr>
            <w:r>
              <w:rPr>
                <w:b w:val="0"/>
              </w:rPr>
              <w:t xml:space="preserve">67.22</w:t>
            </w:r>
          </w:p>
        </w:tc>
        <w:tc>
          <w:tcPr>
            <w:tcW w:type="dxa" w:w="900"/>
          </w:tcPr>
          <w:p>
            <w:pPr>
              <w:pStyle w:val="Compact"/>
              <w:jc w:val="left"/>
            </w:pPr>
            <w:r>
              <w:rPr>
                <w:b w:val="0"/>
              </w:rPr>
              <w:t xml:space="preserve">+14.65</w:t>
            </w:r>
          </w:p>
        </w:tc>
      </w:tr>
      <w:tr>
        <w:tc>
          <w:tcPr>
            <w:tcW w:type="dxa" w:w="944"/>
          </w:tcPr>
          <w:p>
            <w:pPr>
              <w:pStyle w:val="Compact"/>
              <w:jc w:val="left"/>
            </w:pPr>
            <w:r>
              <w:rPr>
                <w:b w:val="0"/>
              </w:rPr>
              <w:t>gpt-oss:20b_baseline</w:t>
            </w:r>
          </w:p>
        </w:tc>
        <w:tc>
          <w:tcPr>
            <w:tcW w:type="dxa" w:w="2494"/>
          </w:tcPr>
          <w:p>
            <w:pPr>
              <w:pStyle w:val="Compact"/>
              <w:jc w:val="left"/>
            </w:pPr>
            <w:r>
              <w:rPr>
                <w:b w:val="0"/>
              </w:rPr>
              <w:t>gptoss_rerun_REMOTO</w:t>
            </w:r>
          </w:p>
        </w:tc>
        <w:tc>
          <w:tcPr>
            <w:tcW w:type="dxa" w:w="900"/>
          </w:tcPr>
          <w:p>
            <w:pPr>
              <w:pStyle w:val="Compact"/>
              <w:jc w:val="left"/>
            </w:pPr>
            <w:r>
              <w:rPr>
                <w:b w:val="0"/>
              </w:rPr>
              <w:t xml:space="preserve">46.49</w:t>
            </w:r>
          </w:p>
        </w:tc>
        <w:tc>
          <w:tcPr>
            <w:tcW w:type="dxa" w:w="900"/>
          </w:tcPr>
          <w:p>
            <w:pPr>
              <w:pStyle w:val="Compact"/>
              <w:jc w:val="center"/>
            </w:pPr>
            <w:r>
              <w:rPr>
                <w:b w:val="0"/>
              </w:rPr>
              <w:t xml:space="preserve">64.40</w:t>
            </w:r>
          </w:p>
        </w:tc>
        <w:tc>
          <w:tcPr>
            <w:tcW w:type="dxa" w:w="900"/>
          </w:tcPr>
          <w:p>
            <w:pPr>
              <w:pStyle w:val="Compact"/>
              <w:jc w:val="center"/>
            </w:pPr>
            <w:r>
              <w:rPr>
                <w:b w:val="0"/>
              </w:rPr>
              <w:t xml:space="preserve">52.39</w:t>
            </w:r>
          </w:p>
        </w:tc>
        <w:tc>
          <w:tcPr>
            <w:tcW w:type="dxa" w:w="900"/>
          </w:tcPr>
          <w:p>
            <w:pPr>
              <w:pStyle w:val="Compact"/>
              <w:jc w:val="left"/>
            </w:pPr>
            <w:r>
              <w:rPr>
                <w:b w:val="0"/>
              </w:rPr>
              <w:t xml:space="preserve">73.69</w:t>
            </w:r>
          </w:p>
        </w:tc>
        <w:tc>
          <w:tcPr>
            <w:tcW w:type="dxa" w:w="900"/>
          </w:tcPr>
          <w:p>
            <w:pPr>
              <w:pStyle w:val="Compact"/>
              <w:jc w:val="left"/>
            </w:pPr>
            <w:r>
              <w:rPr>
                <w:b w:val="0"/>
              </w:rPr>
              <w:t xml:space="preserve">68.89</w:t>
            </w:r>
          </w:p>
        </w:tc>
        <w:tc>
          <w:tcPr>
            <w:tcW w:type="dxa" w:w="900"/>
          </w:tcPr>
          <w:p>
            <w:pPr>
              <w:pStyle w:val="Compact"/>
              <w:jc w:val="left"/>
            </w:pPr>
            <w:r>
              <w:rPr>
                <w:b w:val="0"/>
              </w:rPr>
              <w:t xml:space="preserve">+16.50</w:t>
            </w:r>
          </w:p>
        </w:tc>
      </w:tr>
      <w:tr>
        <w:tc>
          <w:tcPr>
            <w:tcW w:type="dxa" w:w="944"/>
          </w:tcPr>
          <w:p>
            <w:pPr>
              <w:pStyle w:val="Compact"/>
              <w:jc w:val="left"/>
            </w:pPr>
            <w:r>
              <w:rPr>
                <w:b w:val="0"/>
              </w:rPr>
              <w:t>qwen2.5:14b_kb_rag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55.48</w:t>
            </w:r>
          </w:p>
        </w:tc>
        <w:tc>
          <w:tcPr>
            <w:tcW w:type="dxa" w:w="900"/>
          </w:tcPr>
          <w:p>
            <w:pPr>
              <w:pStyle w:val="Compact"/>
              <w:jc w:val="center"/>
            </w:pPr>
            <w:r>
              <w:rPr>
                <w:b w:val="0"/>
              </w:rPr>
              <w:t xml:space="preserve">58.74</w:t>
            </w:r>
          </w:p>
        </w:tc>
        <w:tc>
          <w:tcPr>
            <w:tcW w:type="dxa" w:w="900"/>
          </w:tcPr>
          <w:p>
            <w:pPr>
              <w:pStyle w:val="Compact"/>
              <w:jc w:val="center"/>
            </w:pPr>
            <w:r>
              <w:rPr>
                <w:b w:val="0"/>
              </w:rPr>
              <w:t xml:space="preserve">54.84</w:t>
            </w:r>
          </w:p>
        </w:tc>
        <w:tc>
          <w:tcPr>
            <w:tcW w:type="dxa" w:w="900"/>
          </w:tcPr>
          <w:p>
            <w:pPr>
              <w:pStyle w:val="Compact"/>
              <w:jc w:val="left"/>
            </w:pPr>
            <w:r>
              <w:rPr>
                <w:b w:val="0"/>
              </w:rPr>
              <w:t xml:space="preserve">82.69</w:t>
            </w:r>
          </w:p>
        </w:tc>
        <w:tc>
          <w:tcPr>
            <w:tcW w:type="dxa" w:w="900"/>
          </w:tcPr>
          <w:p>
            <w:pPr>
              <w:pStyle w:val="Compact"/>
              <w:jc w:val="left"/>
            </w:pPr>
            <w:r>
              <w:rPr>
                <w:b w:val="0"/>
              </w:rPr>
              <w:t xml:space="preserve">68.11</w:t>
            </w:r>
          </w:p>
        </w:tc>
        <w:tc>
          <w:tcPr>
            <w:tcW w:type="dxa" w:w="900"/>
          </w:tcPr>
          <w:p>
            <w:pPr>
              <w:pStyle w:val="Compact"/>
              <w:jc w:val="left"/>
            </w:pPr>
            <w:r>
              <w:rPr>
                <w:b w:val="0"/>
              </w:rPr>
              <w:t xml:space="preserve">+13.27</w:t>
            </w:r>
          </w:p>
        </w:tc>
      </w:tr>
      <w:tr>
        <w:tc>
          <w:tcPr>
            <w:tcW w:type="dxa" w:w="944"/>
          </w:tcPr>
          <w:p>
            <w:pPr>
              <w:pStyle w:val="Compact"/>
              <w:jc w:val="left"/>
            </w:pPr>
            <w:r>
              <w:rPr>
                <w:b w:val="0"/>
              </w:rPr>
              <w:t>qwen2.5:14b_baseline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50.29</w:t>
            </w:r>
          </w:p>
        </w:tc>
        <w:tc>
          <w:tcPr>
            <w:tcW w:type="dxa" w:w="900"/>
          </w:tcPr>
          <w:p>
            <w:pPr>
              <w:pStyle w:val="Compact"/>
              <w:jc w:val="center"/>
            </w:pPr>
            <w:r>
              <w:rPr>
                <w:b w:val="0"/>
              </w:rPr>
              <w:t xml:space="preserve">54.02</w:t>
            </w:r>
          </w:p>
        </w:tc>
        <w:tc>
          <w:tcPr>
            <w:tcW w:type="dxa" w:w="900"/>
          </w:tcPr>
          <w:p>
            <w:pPr>
              <w:pStyle w:val="Compact"/>
              <w:jc w:val="center"/>
            </w:pPr>
            <w:r>
              <w:rPr>
                <w:b w:val="0"/>
              </w:rPr>
              <w:t xml:space="preserve">50.22</w:t>
            </w:r>
          </w:p>
        </w:tc>
        <w:tc>
          <w:tcPr>
            <w:tcW w:type="dxa" w:w="900"/>
          </w:tcPr>
          <w:p>
            <w:pPr>
              <w:pStyle w:val="Compact"/>
              <w:jc w:val="left"/>
            </w:pPr>
            <w:r>
              <w:rPr>
                <w:b w:val="0"/>
              </w:rPr>
              <w:t xml:space="preserve">83.40</w:t>
            </w:r>
          </w:p>
        </w:tc>
        <w:tc>
          <w:tcPr>
            <w:tcW w:type="dxa" w:w="900"/>
          </w:tcPr>
          <w:p>
            <w:pPr>
              <w:pStyle w:val="Compact"/>
              <w:jc w:val="left"/>
            </w:pPr>
            <w:r>
              <w:rPr>
                <w:b w:val="0"/>
              </w:rPr>
              <w:t xml:space="preserve">66.11</w:t>
            </w:r>
          </w:p>
        </w:tc>
        <w:tc>
          <w:tcPr>
            <w:tcW w:type="dxa" w:w="900"/>
          </w:tcPr>
          <w:p>
            <w:pPr>
              <w:pStyle w:val="Compact"/>
              <w:jc w:val="left"/>
            </w:pPr>
            <w:r>
              <w:rPr>
                <w:b w:val="0"/>
              </w:rPr>
              <w:t xml:space="preserve">+15.89</w:t>
            </w:r>
          </w:p>
        </w:tc>
      </w:tr>
      <w:tr>
        <w:tc>
          <w:tcPr>
            <w:tcW w:type="dxa" w:w="944"/>
          </w:tcPr>
          <w:p>
            <w:pPr>
              <w:pStyle w:val="Compact"/>
              <w:jc w:val="left"/>
            </w:pPr>
            <w:r>
              <w:rPr>
                <w:b w:val="0"/>
              </w:rPr>
              <w:t>llama3.1:8b_baseline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47.37</w:t>
            </w:r>
          </w:p>
        </w:tc>
        <w:tc>
          <w:tcPr>
            <w:tcW w:type="dxa" w:w="900"/>
          </w:tcPr>
          <w:p>
            <w:pPr>
              <w:pStyle w:val="Compact"/>
              <w:jc w:val="center"/>
            </w:pPr>
            <w:r>
              <w:rPr>
                <w:b w:val="0"/>
              </w:rPr>
              <w:t xml:space="preserve">54.91</w:t>
            </w:r>
          </w:p>
        </w:tc>
        <w:tc>
          <w:tcPr>
            <w:tcW w:type="dxa" w:w="900"/>
          </w:tcPr>
          <w:p>
            <w:pPr>
              <w:pStyle w:val="Compact"/>
              <w:jc w:val="center"/>
            </w:pPr>
            <w:r>
              <w:rPr>
                <w:b w:val="0"/>
              </w:rPr>
              <w:t xml:space="preserve">48.76</w:t>
            </w:r>
          </w:p>
        </w:tc>
        <w:tc>
          <w:tcPr>
            <w:tcW w:type="dxa" w:w="900"/>
          </w:tcPr>
          <w:p>
            <w:pPr>
              <w:pStyle w:val="Compact"/>
              <w:jc w:val="left"/>
            </w:pPr>
            <w:r>
              <w:rPr>
                <w:b w:val="0"/>
              </w:rPr>
              <w:t xml:space="preserve">80.52</w:t>
            </w:r>
          </w:p>
        </w:tc>
        <w:tc>
          <w:tcPr>
            <w:tcW w:type="dxa" w:w="900"/>
          </w:tcPr>
          <w:p>
            <w:pPr>
              <w:pStyle w:val="Compact"/>
              <w:jc w:val="left"/>
            </w:pPr>
            <w:r>
              <w:rPr>
                <w:b w:val="0"/>
              </w:rPr>
              <w:t xml:space="preserve">64.53</w:t>
            </w:r>
          </w:p>
        </w:tc>
        <w:tc>
          <w:tcPr>
            <w:tcW w:type="dxa" w:w="900"/>
          </w:tcPr>
          <w:p>
            <w:pPr>
              <w:pStyle w:val="Compact"/>
              <w:jc w:val="left"/>
            </w:pPr>
            <w:r>
              <w:rPr>
                <w:b w:val="0"/>
              </w:rPr>
              <w:t xml:space="preserve">+15.77</w:t>
            </w:r>
          </w:p>
        </w:tc>
      </w:tr>
      <w:tr>
        <w:tc>
          <w:tcPr>
            <w:tcW w:type="dxa" w:w="944"/>
          </w:tcPr>
          <w:p>
            <w:pPr>
              <w:pStyle w:val="Compact"/>
              <w:jc w:val="left"/>
            </w:pPr>
            <w:r>
              <w:rPr>
                <w:b w:val="0"/>
              </w:rPr>
              <w:t>llama3.1:8b_kb_rag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50.85</w:t>
            </w:r>
          </w:p>
        </w:tc>
        <w:tc>
          <w:tcPr>
            <w:tcW w:type="dxa" w:w="900"/>
          </w:tcPr>
          <w:p>
            <w:pPr>
              <w:pStyle w:val="Compact"/>
              <w:jc w:val="center"/>
            </w:pPr>
            <w:r>
              <w:rPr>
                <w:b w:val="0"/>
              </w:rPr>
              <w:t xml:space="preserve">55.23</w:t>
            </w:r>
          </w:p>
        </w:tc>
        <w:tc>
          <w:tcPr>
            <w:tcW w:type="dxa" w:w="900"/>
          </w:tcPr>
          <w:p>
            <w:pPr>
              <w:pStyle w:val="Compact"/>
              <w:jc w:val="center"/>
            </w:pPr>
            <w:r>
              <w:rPr>
                <w:b w:val="0"/>
              </w:rPr>
              <w:t xml:space="preserve">50.75</w:t>
            </w:r>
          </w:p>
        </w:tc>
        <w:tc>
          <w:tcPr>
            <w:tcW w:type="dxa" w:w="900"/>
          </w:tcPr>
          <w:p>
            <w:pPr>
              <w:pStyle w:val="Compact"/>
              <w:jc w:val="left"/>
            </w:pPr>
            <w:r>
              <w:rPr>
                <w:b w:val="0"/>
              </w:rPr>
              <w:t xml:space="preserve">76.28</w:t>
            </w:r>
          </w:p>
        </w:tc>
        <w:tc>
          <w:tcPr>
            <w:tcW w:type="dxa" w:w="900"/>
          </w:tcPr>
          <w:p>
            <w:pPr>
              <w:pStyle w:val="Compact"/>
              <w:jc w:val="left"/>
            </w:pPr>
            <w:r>
              <w:rPr>
                <w:b w:val="0"/>
              </w:rPr>
              <w:t xml:space="preserve">63.62</w:t>
            </w:r>
          </w:p>
        </w:tc>
        <w:tc>
          <w:tcPr>
            <w:tcW w:type="dxa" w:w="900"/>
          </w:tcPr>
          <w:p>
            <w:pPr>
              <w:pStyle w:val="Compact"/>
              <w:jc w:val="left"/>
            </w:pPr>
            <w:r>
              <w:rPr>
                <w:b w:val="0"/>
              </w:rPr>
              <w:t xml:space="preserve">+12.87</w:t>
            </w:r>
          </w:p>
        </w:tc>
      </w:tr>
      <w:tr>
        <w:tc>
          <w:tcPr>
            <w:tcW w:type="dxa" w:w="944"/>
          </w:tcPr>
          <w:p>
            <w:pPr>
              <w:pStyle w:val="Compact"/>
              <w:jc w:val="left"/>
            </w:pPr>
            <w:r>
              <w:rPr>
                <w:b w:val="0"/>
              </w:rPr>
              <w:t>qwen3:8b_kb_rag</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48.51</w:t>
            </w:r>
          </w:p>
        </w:tc>
        <w:tc>
          <w:tcPr>
            <w:tcW w:type="dxa" w:w="900"/>
          </w:tcPr>
          <w:p>
            <w:pPr>
              <w:pStyle w:val="Compact"/>
              <w:jc w:val="center"/>
            </w:pPr>
            <w:r>
              <w:rPr>
                <w:b w:val="0"/>
              </w:rPr>
              <w:t xml:space="preserve">59.68</w:t>
            </w:r>
          </w:p>
        </w:tc>
        <w:tc>
          <w:tcPr>
            <w:tcW w:type="dxa" w:w="900"/>
          </w:tcPr>
          <w:p>
            <w:pPr>
              <w:pStyle w:val="Compact"/>
              <w:jc w:val="center"/>
            </w:pPr>
            <w:r>
              <w:rPr>
                <w:b w:val="0"/>
              </w:rPr>
              <w:t xml:space="preserve">51.46</w:t>
            </w:r>
          </w:p>
        </w:tc>
        <w:tc>
          <w:tcPr>
            <w:tcW w:type="dxa" w:w="900"/>
          </w:tcPr>
          <w:p>
            <w:pPr>
              <w:pStyle w:val="Compact"/>
              <w:jc w:val="left"/>
            </w:pPr>
            <w:r>
              <w:rPr>
                <w:b w:val="0"/>
              </w:rPr>
              <w:t xml:space="preserve">72.59</w:t>
            </w:r>
          </w:p>
        </w:tc>
        <w:tc>
          <w:tcPr>
            <w:tcW w:type="dxa" w:w="900"/>
          </w:tcPr>
          <w:p>
            <w:pPr>
              <w:pStyle w:val="Compact"/>
              <w:jc w:val="left"/>
            </w:pPr>
            <w:r>
              <w:rPr>
                <w:b w:val="0"/>
              </w:rPr>
              <w:t xml:space="preserve">64.87</w:t>
            </w:r>
          </w:p>
        </w:tc>
        <w:tc>
          <w:tcPr>
            <w:tcW w:type="dxa" w:w="900"/>
          </w:tcPr>
          <w:p>
            <w:pPr>
              <w:pStyle w:val="Compact"/>
              <w:jc w:val="left"/>
            </w:pPr>
            <w:r>
              <w:rPr>
                <w:b w:val="0"/>
              </w:rPr>
              <w:t xml:space="preserve">+13.41</w:t>
            </w:r>
          </w:p>
        </w:tc>
      </w:tr>
      <w:tr>
        <w:tc>
          <w:tcPr>
            <w:tcW w:type="dxa" w:w="944"/>
          </w:tcPr>
          <w:p>
            <w:pPr>
              <w:pStyle w:val="Compact"/>
              <w:jc w:val="left"/>
            </w:pPr>
            <w:r>
              <w:rPr>
                <w:b w:val="0"/>
              </w:rPr>
              <w:t>qwen3:8b_baseline</w:t>
            </w:r>
          </w:p>
        </w:tc>
        <w:tc>
          <w:tcPr>
            <w:tcW w:type="dxa" w:w="2494"/>
          </w:tcPr>
          <w:p>
            <w:pPr>
              <w:pStyle w:val="Compact"/>
              <w:jc w:val="left"/>
            </w:pPr>
            <w:r>
              <w:rPr>
                <w:b w:val="0"/>
              </w:rPr>
              <w:t>qwen3_nothink_n120_REMOTO</w:t>
            </w:r>
          </w:p>
        </w:tc>
        <w:tc>
          <w:tcPr>
            <w:tcW w:type="dxa" w:w="900"/>
          </w:tcPr>
          <w:p>
            <w:pPr>
              <w:pStyle w:val="Compact"/>
              <w:jc w:val="left"/>
            </w:pPr>
            <w:r>
              <w:rPr>
                <w:b w:val="0"/>
              </w:rPr>
              <w:t xml:space="preserve">46.25</w:t>
            </w:r>
          </w:p>
        </w:tc>
        <w:tc>
          <w:tcPr>
            <w:tcW w:type="dxa" w:w="900"/>
          </w:tcPr>
          <w:p>
            <w:pPr>
              <w:pStyle w:val="Compact"/>
              <w:jc w:val="center"/>
            </w:pPr>
            <w:r>
              <w:rPr>
                <w:b w:val="0"/>
              </w:rPr>
              <w:t xml:space="preserve">55.02</w:t>
            </w:r>
          </w:p>
        </w:tc>
        <w:tc>
          <w:tcPr>
            <w:tcW w:type="dxa" w:w="900"/>
          </w:tcPr>
          <w:p>
            <w:pPr>
              <w:pStyle w:val="Compact"/>
              <w:jc w:val="center"/>
            </w:pPr>
            <w:r>
              <w:rPr>
                <w:b w:val="0"/>
              </w:rPr>
              <w:t xml:space="preserve">48.21</w:t>
            </w:r>
          </w:p>
        </w:tc>
        <w:tc>
          <w:tcPr>
            <w:tcW w:type="dxa" w:w="900"/>
          </w:tcPr>
          <w:p>
            <w:pPr>
              <w:pStyle w:val="Compact"/>
              <w:jc w:val="left"/>
            </w:pPr>
            <w:r>
              <w:rPr>
                <w:b w:val="0"/>
              </w:rPr>
              <w:t xml:space="preserve">75.27</w:t>
            </w:r>
          </w:p>
        </w:tc>
        <w:tc>
          <w:tcPr>
            <w:tcW w:type="dxa" w:w="900"/>
          </w:tcPr>
          <w:p>
            <w:pPr>
              <w:pStyle w:val="Compact"/>
              <w:jc w:val="left"/>
            </w:pPr>
            <w:r>
              <w:rPr>
                <w:b w:val="0"/>
              </w:rPr>
              <w:t xml:space="preserve">63.05</w:t>
            </w:r>
          </w:p>
        </w:tc>
        <w:tc>
          <w:tcPr>
            <w:tcW w:type="dxa" w:w="900"/>
          </w:tcPr>
          <w:p>
            <w:pPr>
              <w:pStyle w:val="Compact"/>
              <w:jc w:val="left"/>
            </w:pPr>
            <w:r>
              <w:rPr>
                <w:b w:val="0"/>
              </w:rPr>
              <w:t xml:space="preserve">+14.84</w:t>
            </w:r>
          </w:p>
        </w:tc>
      </w:tr>
      <w:tr>
        <w:tc>
          <w:tcPr>
            <w:tcW w:type="dxa" w:w="944"/>
          </w:tcPr>
          <w:p>
            <w:pPr>
              <w:pStyle w:val="Compact"/>
              <w:jc w:val="left"/>
            </w:pPr>
            <w:r>
              <w:rPr>
                <w:b w:val="0"/>
              </w:rPr>
              <w:t>qwen2.5:14b_rag_enhanced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50.99</w:t>
            </w:r>
          </w:p>
        </w:tc>
        <w:tc>
          <w:tcPr>
            <w:tcW w:type="dxa" w:w="900"/>
          </w:tcPr>
          <w:p>
            <w:pPr>
              <w:pStyle w:val="Compact"/>
              <w:jc w:val="center"/>
            </w:pPr>
            <w:r>
              <w:rPr>
                <w:b w:val="0"/>
              </w:rPr>
              <w:t xml:space="preserve">51.31</w:t>
            </w:r>
          </w:p>
        </w:tc>
        <w:tc>
          <w:tcPr>
            <w:tcW w:type="dxa" w:w="900"/>
          </w:tcPr>
          <w:p>
            <w:pPr>
              <w:pStyle w:val="Compact"/>
              <w:jc w:val="center"/>
            </w:pPr>
            <w:r>
              <w:rPr>
                <w:b w:val="0"/>
              </w:rPr>
              <w:t xml:space="preserve">49.05</w:t>
            </w:r>
          </w:p>
        </w:tc>
        <w:tc>
          <w:tcPr>
            <w:tcW w:type="dxa" w:w="900"/>
          </w:tcPr>
          <w:p>
            <w:pPr>
              <w:pStyle w:val="Compact"/>
              <w:jc w:val="left"/>
            </w:pPr>
            <w:r>
              <w:rPr>
                <w:b w:val="0"/>
              </w:rPr>
              <w:t xml:space="preserve">85.30</w:t>
            </w:r>
          </w:p>
        </w:tc>
        <w:tc>
          <w:tcPr>
            <w:tcW w:type="dxa" w:w="900"/>
          </w:tcPr>
          <w:p>
            <w:pPr>
              <w:pStyle w:val="Compact"/>
              <w:jc w:val="left"/>
            </w:pPr>
            <w:r>
              <w:rPr>
                <w:b w:val="0"/>
              </w:rPr>
              <w:t xml:space="preserve">63.64</w:t>
            </w:r>
          </w:p>
        </w:tc>
        <w:tc>
          <w:tcPr>
            <w:tcW w:type="dxa" w:w="900"/>
          </w:tcPr>
          <w:p>
            <w:pPr>
              <w:pStyle w:val="Compact"/>
              <w:jc w:val="left"/>
            </w:pPr>
            <w:r>
              <w:rPr>
                <w:b w:val="0"/>
              </w:rPr>
              <w:t xml:space="preserve">+14.59</w:t>
            </w:r>
          </w:p>
        </w:tc>
      </w:tr>
      <w:tr>
        <w:tc>
          <w:tcPr>
            <w:tcW w:type="dxa" w:w="944"/>
          </w:tcPr>
          <w:p>
            <w:pPr>
              <w:pStyle w:val="Compact"/>
              <w:jc w:val="left"/>
            </w:pPr>
            <w:r>
              <w:rPr>
                <w:b w:val="0"/>
              </w:rPr>
              <w:t>llama3.2:latest_kb_rag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48.92</w:t>
            </w:r>
          </w:p>
        </w:tc>
        <w:tc>
          <w:tcPr>
            <w:tcW w:type="dxa" w:w="900"/>
          </w:tcPr>
          <w:p>
            <w:pPr>
              <w:pStyle w:val="Compact"/>
              <w:jc w:val="center"/>
            </w:pPr>
            <w:r>
              <w:rPr>
                <w:b w:val="0"/>
              </w:rPr>
              <w:t xml:space="preserve">51.81</w:t>
            </w:r>
          </w:p>
        </w:tc>
        <w:tc>
          <w:tcPr>
            <w:tcW w:type="dxa" w:w="900"/>
          </w:tcPr>
          <w:p>
            <w:pPr>
              <w:pStyle w:val="Compact"/>
              <w:jc w:val="center"/>
            </w:pPr>
            <w:r>
              <w:rPr>
                <w:b w:val="0"/>
              </w:rPr>
              <w:t xml:space="preserve">46.93</w:t>
            </w:r>
          </w:p>
        </w:tc>
        <w:tc>
          <w:tcPr>
            <w:tcW w:type="dxa" w:w="900"/>
          </w:tcPr>
          <w:p>
            <w:pPr>
              <w:pStyle w:val="Compact"/>
              <w:jc w:val="left"/>
            </w:pPr>
            <w:r>
              <w:rPr>
                <w:b w:val="0"/>
              </w:rPr>
              <w:t xml:space="preserve">75.45</w:t>
            </w:r>
          </w:p>
        </w:tc>
        <w:tc>
          <w:tcPr>
            <w:tcW w:type="dxa" w:w="900"/>
          </w:tcPr>
          <w:p>
            <w:pPr>
              <w:pStyle w:val="Compact"/>
              <w:jc w:val="left"/>
            </w:pPr>
            <w:r>
              <w:rPr>
                <w:b w:val="0"/>
              </w:rPr>
              <w:t xml:space="preserve">59.86</w:t>
            </w:r>
          </w:p>
        </w:tc>
        <w:tc>
          <w:tcPr>
            <w:tcW w:type="dxa" w:w="900"/>
          </w:tcPr>
          <w:p>
            <w:pPr>
              <w:pStyle w:val="Compact"/>
              <w:jc w:val="left"/>
            </w:pPr>
            <w:r>
              <w:rPr>
                <w:b w:val="0"/>
              </w:rPr>
              <w:t xml:space="preserve">+12.92</w:t>
            </w:r>
          </w:p>
        </w:tc>
      </w:tr>
      <w:tr>
        <w:tc>
          <w:tcPr>
            <w:tcW w:type="dxa" w:w="944"/>
          </w:tcPr>
          <w:p>
            <w:pPr>
              <w:pStyle w:val="Compact"/>
              <w:jc w:val="left"/>
            </w:pPr>
            <w:r>
              <w:rPr>
                <w:b w:val="0"/>
              </w:rPr>
              <w:t>llama3.1:8b_rag_enhanced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47.02</w:t>
            </w:r>
          </w:p>
        </w:tc>
        <w:tc>
          <w:tcPr>
            <w:tcW w:type="dxa" w:w="900"/>
          </w:tcPr>
          <w:p>
            <w:pPr>
              <w:pStyle w:val="Compact"/>
              <w:jc w:val="center"/>
            </w:pPr>
            <w:r>
              <w:rPr>
                <w:b w:val="0"/>
              </w:rPr>
              <w:t xml:space="preserve">46.98</w:t>
            </w:r>
          </w:p>
        </w:tc>
        <w:tc>
          <w:tcPr>
            <w:tcW w:type="dxa" w:w="900"/>
          </w:tcPr>
          <w:p>
            <w:pPr>
              <w:pStyle w:val="Compact"/>
              <w:jc w:val="center"/>
            </w:pPr>
            <w:r>
              <w:rPr>
                <w:b w:val="0"/>
              </w:rPr>
              <w:t xml:space="preserve">44.56</w:t>
            </w:r>
          </w:p>
        </w:tc>
        <w:tc>
          <w:tcPr>
            <w:tcW w:type="dxa" w:w="900"/>
          </w:tcPr>
          <w:p>
            <w:pPr>
              <w:pStyle w:val="Compact"/>
              <w:jc w:val="left"/>
            </w:pPr>
            <w:r>
              <w:rPr>
                <w:b w:val="0"/>
              </w:rPr>
              <w:t xml:space="preserve">87.02</w:t>
            </w:r>
          </w:p>
        </w:tc>
        <w:tc>
          <w:tcPr>
            <w:tcW w:type="dxa" w:w="900"/>
          </w:tcPr>
          <w:p>
            <w:pPr>
              <w:pStyle w:val="Compact"/>
              <w:jc w:val="left"/>
            </w:pPr>
            <w:r>
              <w:rPr>
                <w:b w:val="0"/>
              </w:rPr>
              <w:t xml:space="preserve">59.25</w:t>
            </w:r>
          </w:p>
        </w:tc>
        <w:tc>
          <w:tcPr>
            <w:tcW w:type="dxa" w:w="900"/>
          </w:tcPr>
          <w:p>
            <w:pPr>
              <w:pStyle w:val="Compact"/>
              <w:jc w:val="left"/>
            </w:pPr>
            <w:r>
              <w:rPr>
                <w:b w:val="0"/>
              </w:rPr>
              <w:t xml:space="preserve">+14.69</w:t>
            </w:r>
          </w:p>
        </w:tc>
      </w:tr>
      <w:tr>
        <w:tc>
          <w:tcPr>
            <w:tcW w:type="dxa" w:w="944"/>
          </w:tcPr>
          <w:p>
            <w:pPr>
              <w:pStyle w:val="Compact"/>
              <w:jc w:val="left"/>
            </w:pPr>
            <w:r>
              <w:rPr>
                <w:b w:val="0"/>
              </w:rPr>
              <w:t>gemma:latest_kb_rag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52.31</w:t>
            </w:r>
          </w:p>
        </w:tc>
        <w:tc>
          <w:tcPr>
            <w:tcW w:type="dxa" w:w="900"/>
          </w:tcPr>
          <w:p>
            <w:pPr>
              <w:pStyle w:val="Compact"/>
              <w:jc w:val="center"/>
            </w:pPr>
            <w:r>
              <w:rPr>
                <w:b w:val="0"/>
              </w:rPr>
              <w:t xml:space="preserve">56.62</w:t>
            </w:r>
          </w:p>
        </w:tc>
        <w:tc>
          <w:tcPr>
            <w:tcW w:type="dxa" w:w="900"/>
          </w:tcPr>
          <w:p>
            <w:pPr>
              <w:pStyle w:val="Compact"/>
              <w:jc w:val="center"/>
            </w:pPr>
            <w:r>
              <w:rPr>
                <w:b w:val="0"/>
              </w:rPr>
              <w:t xml:space="preserve">51.36</w:t>
            </w:r>
          </w:p>
        </w:tc>
        <w:tc>
          <w:tcPr>
            <w:tcW w:type="dxa" w:w="900"/>
          </w:tcPr>
          <w:p>
            <w:pPr>
              <w:pStyle w:val="Compact"/>
              <w:jc w:val="left"/>
            </w:pPr>
            <w:r>
              <w:rPr>
                <w:b w:val="0"/>
              </w:rPr>
              <w:t xml:space="preserve">61.48</w:t>
            </w:r>
          </w:p>
        </w:tc>
        <w:tc>
          <w:tcPr>
            <w:tcW w:type="dxa" w:w="900"/>
          </w:tcPr>
          <w:p>
            <w:pPr>
              <w:pStyle w:val="Compact"/>
              <w:jc w:val="left"/>
            </w:pPr>
            <w:r>
              <w:rPr>
                <w:b w:val="0"/>
              </w:rPr>
              <w:t xml:space="preserve">56.37</w:t>
            </w:r>
          </w:p>
        </w:tc>
        <w:tc>
          <w:tcPr>
            <w:tcW w:type="dxa" w:w="900"/>
          </w:tcPr>
          <w:p>
            <w:pPr>
              <w:pStyle w:val="Compact"/>
              <w:jc w:val="left"/>
            </w:pPr>
            <w:r>
              <w:rPr>
                <w:b w:val="0"/>
              </w:rPr>
              <w:t xml:space="preserve">+5.01</w:t>
            </w:r>
          </w:p>
        </w:tc>
      </w:tr>
      <w:tr>
        <w:tc>
          <w:tcPr>
            <w:tcW w:type="dxa" w:w="944"/>
          </w:tcPr>
          <w:p>
            <w:pPr>
              <w:pStyle w:val="Compact"/>
              <w:jc w:val="left"/>
            </w:pPr>
            <w:r>
              <w:rPr>
                <w:b w:val="0"/>
              </w:rPr>
              <w:t>mistral-nemo:latest_baseline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52.39</w:t>
            </w:r>
          </w:p>
        </w:tc>
        <w:tc>
          <w:tcPr>
            <w:tcW w:type="dxa" w:w="900"/>
          </w:tcPr>
          <w:p>
            <w:pPr>
              <w:pStyle w:val="Compact"/>
              <w:jc w:val="center"/>
            </w:pPr>
            <w:r>
              <w:rPr>
                <w:b w:val="0"/>
              </w:rPr>
              <w:t xml:space="preserve">41.09</w:t>
            </w:r>
          </w:p>
        </w:tc>
        <w:tc>
          <w:tcPr>
            <w:tcW w:type="dxa" w:w="900"/>
          </w:tcPr>
          <w:p>
            <w:pPr>
              <w:pStyle w:val="Compact"/>
              <w:jc w:val="center"/>
            </w:pPr>
            <w:r>
              <w:rPr>
                <w:b w:val="0"/>
              </w:rPr>
              <w:t xml:space="preserve">43.38</w:t>
            </w:r>
          </w:p>
        </w:tc>
        <w:tc>
          <w:tcPr>
            <w:tcW w:type="dxa" w:w="900"/>
          </w:tcPr>
          <w:p>
            <w:pPr>
              <w:pStyle w:val="Compact"/>
              <w:jc w:val="left"/>
            </w:pPr>
            <w:r>
              <w:rPr>
                <w:b w:val="0"/>
              </w:rPr>
              <w:t xml:space="preserve">82.24</w:t>
            </w:r>
          </w:p>
        </w:tc>
        <w:tc>
          <w:tcPr>
            <w:tcW w:type="dxa" w:w="900"/>
          </w:tcPr>
          <w:p>
            <w:pPr>
              <w:pStyle w:val="Compact"/>
              <w:jc w:val="left"/>
            </w:pPr>
            <w:r>
              <w:rPr>
                <w:b w:val="0"/>
              </w:rPr>
              <w:t xml:space="preserve">54.09</w:t>
            </w:r>
          </w:p>
        </w:tc>
        <w:tc>
          <w:tcPr>
            <w:tcW w:type="dxa" w:w="900"/>
          </w:tcPr>
          <w:p>
            <w:pPr>
              <w:pStyle w:val="Compact"/>
              <w:jc w:val="left"/>
            </w:pPr>
            <w:r>
              <w:rPr>
                <w:b w:val="0"/>
              </w:rPr>
              <w:t xml:space="preserve">+10.70</w:t>
            </w:r>
          </w:p>
        </w:tc>
      </w:tr>
      <w:tr>
        <w:tc>
          <w:tcPr>
            <w:tcW w:type="dxa" w:w="944"/>
          </w:tcPr>
          <w:p>
            <w:pPr>
              <w:pStyle w:val="Compact"/>
              <w:jc w:val="left"/>
            </w:pPr>
            <w:r>
              <w:rPr>
                <w:b w:val="0"/>
              </w:rPr>
              <w:t>qwen3:8b_rag_enhanced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43.47</w:t>
            </w:r>
          </w:p>
        </w:tc>
        <w:tc>
          <w:tcPr>
            <w:tcW w:type="dxa" w:w="900"/>
          </w:tcPr>
          <w:p>
            <w:pPr>
              <w:pStyle w:val="Compact"/>
              <w:jc w:val="center"/>
            </w:pPr>
            <w:r>
              <w:rPr>
                <w:b w:val="0"/>
              </w:rPr>
              <w:t xml:space="preserve">45.28</w:t>
            </w:r>
          </w:p>
        </w:tc>
        <w:tc>
          <w:tcPr>
            <w:tcW w:type="dxa" w:w="900"/>
          </w:tcPr>
          <w:p>
            <w:pPr>
              <w:pStyle w:val="Compact"/>
              <w:jc w:val="center"/>
            </w:pPr>
            <w:r>
              <w:rPr>
                <w:b w:val="0"/>
              </w:rPr>
              <w:t xml:space="preserve">43.17</w:t>
            </w:r>
          </w:p>
        </w:tc>
        <w:tc>
          <w:tcPr>
            <w:tcW w:type="dxa" w:w="900"/>
          </w:tcPr>
          <w:p>
            <w:pPr>
              <w:pStyle w:val="Compact"/>
              <w:jc w:val="left"/>
            </w:pPr>
            <w:r>
              <w:rPr>
                <w:b w:val="0"/>
              </w:rPr>
              <w:t xml:space="preserve">71.66</w:t>
            </w:r>
          </w:p>
        </w:tc>
        <w:tc>
          <w:tcPr>
            <w:tcW w:type="dxa" w:w="900"/>
          </w:tcPr>
          <w:p>
            <w:pPr>
              <w:pStyle w:val="Compact"/>
              <w:jc w:val="left"/>
            </w:pPr>
            <w:r>
              <w:rPr>
                <w:b w:val="0"/>
              </w:rPr>
              <w:t xml:space="preserve">56.00</w:t>
            </w:r>
          </w:p>
        </w:tc>
        <w:tc>
          <w:tcPr>
            <w:tcW w:type="dxa" w:w="900"/>
          </w:tcPr>
          <w:p>
            <w:pPr>
              <w:pStyle w:val="Compact"/>
              <w:jc w:val="left"/>
            </w:pPr>
            <w:r>
              <w:rPr>
                <w:b w:val="0"/>
              </w:rPr>
              <w:t xml:space="preserve">+12.83</w:t>
            </w:r>
          </w:p>
        </w:tc>
      </w:tr>
      <w:tr>
        <w:tc>
          <w:tcPr>
            <w:tcW w:type="dxa" w:w="944"/>
          </w:tcPr>
          <w:p>
            <w:pPr>
              <w:pStyle w:val="Compact"/>
              <w:jc w:val="left"/>
            </w:pPr>
            <w:r>
              <w:rPr>
                <w:b w:val="0"/>
              </w:rPr>
              <w:t>mistral-nemo:latest_kb_rag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57.59</w:t>
            </w:r>
          </w:p>
        </w:tc>
        <w:tc>
          <w:tcPr>
            <w:tcW w:type="dxa" w:w="900"/>
          </w:tcPr>
          <w:p>
            <w:pPr>
              <w:pStyle w:val="Compact"/>
              <w:jc w:val="center"/>
            </w:pPr>
            <w:r>
              <w:rPr>
                <w:b w:val="0"/>
              </w:rPr>
              <w:t xml:space="preserve">41.91</w:t>
            </w:r>
          </w:p>
        </w:tc>
        <w:tc>
          <w:tcPr>
            <w:tcW w:type="dxa" w:w="900"/>
          </w:tcPr>
          <w:p>
            <w:pPr>
              <w:pStyle w:val="Compact"/>
              <w:jc w:val="center"/>
            </w:pPr>
            <w:r>
              <w:rPr>
                <w:b w:val="0"/>
              </w:rPr>
              <w:t xml:space="preserve">45.76</w:t>
            </w:r>
          </w:p>
        </w:tc>
        <w:tc>
          <w:tcPr>
            <w:tcW w:type="dxa" w:w="900"/>
          </w:tcPr>
          <w:p>
            <w:pPr>
              <w:pStyle w:val="Compact"/>
              <w:jc w:val="left"/>
            </w:pPr>
            <w:r>
              <w:rPr>
                <w:b w:val="0"/>
              </w:rPr>
              <w:t xml:space="preserve">80.15</w:t>
            </w:r>
          </w:p>
        </w:tc>
        <w:tc>
          <w:tcPr>
            <w:tcW w:type="dxa" w:w="900"/>
          </w:tcPr>
          <w:p>
            <w:pPr>
              <w:pStyle w:val="Compact"/>
              <w:jc w:val="left"/>
            </w:pPr>
            <w:r>
              <w:rPr>
                <w:b w:val="0"/>
              </w:rPr>
              <w:t xml:space="preserve">53.07</w:t>
            </w:r>
          </w:p>
        </w:tc>
        <w:tc>
          <w:tcPr>
            <w:tcW w:type="dxa" w:w="900"/>
          </w:tcPr>
          <w:p>
            <w:pPr>
              <w:pStyle w:val="Compact"/>
              <w:jc w:val="left"/>
            </w:pPr>
            <w:r>
              <w:rPr>
                <w:b w:val="0"/>
              </w:rPr>
              <w:t xml:space="preserve">+7.31</w:t>
            </w:r>
          </w:p>
        </w:tc>
      </w:tr>
      <w:tr>
        <w:tc>
          <w:tcPr>
            <w:tcW w:type="dxa" w:w="944"/>
          </w:tcPr>
          <w:p>
            <w:pPr>
              <w:pStyle w:val="Compact"/>
              <w:jc w:val="left"/>
            </w:pPr>
            <w:r>
              <w:rPr>
                <w:b w:val="0"/>
              </w:rPr>
              <w:t>gemma:latest_baseline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49.00</w:t>
            </w:r>
          </w:p>
        </w:tc>
        <w:tc>
          <w:tcPr>
            <w:tcW w:type="dxa" w:w="900"/>
          </w:tcPr>
          <w:p>
            <w:pPr>
              <w:pStyle w:val="Compact"/>
              <w:jc w:val="center"/>
            </w:pPr>
            <w:r>
              <w:rPr>
                <w:b w:val="0"/>
              </w:rPr>
              <w:t xml:space="preserve">44.97</w:t>
            </w:r>
          </w:p>
        </w:tc>
        <w:tc>
          <w:tcPr>
            <w:tcW w:type="dxa" w:w="900"/>
          </w:tcPr>
          <w:p>
            <w:pPr>
              <w:pStyle w:val="Compact"/>
              <w:jc w:val="center"/>
            </w:pPr>
            <w:r>
              <w:rPr>
                <w:b w:val="0"/>
              </w:rPr>
              <w:t xml:space="preserve">44.00</w:t>
            </w:r>
          </w:p>
        </w:tc>
        <w:tc>
          <w:tcPr>
            <w:tcW w:type="dxa" w:w="900"/>
          </w:tcPr>
          <w:p>
            <w:pPr>
              <w:pStyle w:val="Compact"/>
              <w:jc w:val="left"/>
            </w:pPr>
            <w:r>
              <w:rPr>
                <w:b w:val="0"/>
              </w:rPr>
              <w:t xml:space="preserve">65.23</w:t>
            </w:r>
          </w:p>
        </w:tc>
        <w:tc>
          <w:tcPr>
            <w:tcW w:type="dxa" w:w="900"/>
          </w:tcPr>
          <w:p>
            <w:pPr>
              <w:pStyle w:val="Compact"/>
              <w:jc w:val="left"/>
            </w:pPr>
            <w:r>
              <w:rPr>
                <w:b w:val="0"/>
              </w:rPr>
              <w:t xml:space="preserve">51.85</w:t>
            </w:r>
          </w:p>
        </w:tc>
        <w:tc>
          <w:tcPr>
            <w:tcW w:type="dxa" w:w="900"/>
          </w:tcPr>
          <w:p>
            <w:pPr>
              <w:pStyle w:val="Compact"/>
              <w:jc w:val="left"/>
            </w:pPr>
            <w:r>
              <w:rPr>
                <w:b w:val="0"/>
              </w:rPr>
              <w:t xml:space="preserve">+7.85</w:t>
            </w:r>
          </w:p>
        </w:tc>
      </w:tr>
      <w:tr>
        <w:tc>
          <w:tcPr>
            <w:tcW w:type="dxa" w:w="944"/>
          </w:tcPr>
          <w:p>
            <w:pPr>
              <w:pStyle w:val="Compact"/>
              <w:jc w:val="left"/>
            </w:pPr>
            <w:r>
              <w:rPr>
                <w:b w:val="0"/>
              </w:rPr>
              <w:t>llama3.2:latest_baseline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llama3.2:latest</w:t>
            </w:r>
          </w:p>
        </w:tc>
        <w:tc>
          <w:tcPr>
            <w:tcW w:type="dxa" w:w="2494"/>
          </w:tcPr>
          <w:p>
            <w:pPr>
              <w:pStyle w:val="Compact"/>
              <w:jc w:val="left"/>
            </w:pPr>
            <w:r>
              <w:rPr>
                <w:b w:val="0"/>
              </w:rPr>
              <w:t>benchmark_balanced_120_20260824_173017</w:t>
            </w:r>
          </w:p>
        </w:tc>
        <w:tc>
          <w:tcPr>
            <w:tcW w:type="dxa" w:w="900"/>
          </w:tcPr>
          <w:p>
            <w:pPr>
              <w:pStyle w:val="Compact"/>
              <w:jc w:val="left"/>
            </w:pPr>
            <w:r>
              <w:rPr>
                <w:b w:val="0"/>
              </w:rPr>
              <w:t xml:space="preserve">40.18</w:t>
            </w:r>
          </w:p>
        </w:tc>
        <w:tc>
          <w:tcPr>
            <w:tcW w:type="dxa" w:w="900"/>
          </w:tcPr>
          <w:p>
            <w:pPr>
              <w:pStyle w:val="Compact"/>
              <w:jc w:val="center"/>
            </w:pPr>
            <w:r>
              <w:rPr>
                <w:b w:val="0"/>
              </w:rPr>
              <w:t xml:space="preserve">37.48</w:t>
            </w:r>
          </w:p>
        </w:tc>
        <w:tc>
          <w:tcPr>
            <w:tcW w:type="dxa" w:w="900"/>
          </w:tcPr>
          <w:p>
            <w:pPr>
              <w:pStyle w:val="Compact"/>
              <w:jc w:val="center"/>
            </w:pPr>
            <w:r>
              <w:rPr>
                <w:b w:val="0"/>
              </w:rPr>
              <w:t xml:space="preserve">36.11</w:t>
            </w:r>
          </w:p>
        </w:tc>
        <w:tc>
          <w:tcPr>
            <w:tcW w:type="dxa" w:w="900"/>
          </w:tcPr>
          <w:p>
            <w:pPr>
              <w:pStyle w:val="Compact"/>
              <w:jc w:val="left"/>
            </w:pPr>
            <w:r>
              <w:rPr>
                <w:b w:val="0"/>
              </w:rPr>
              <w:t xml:space="preserve">79.63</w:t>
            </w:r>
          </w:p>
        </w:tc>
        <w:tc>
          <w:tcPr>
            <w:tcW w:type="dxa" w:w="900"/>
          </w:tcPr>
          <w:p>
            <w:pPr>
              <w:pStyle w:val="Compact"/>
              <w:jc w:val="left"/>
            </w:pPr>
            <w:r>
              <w:rPr>
                <w:b w:val="0"/>
              </w:rPr>
              <w:t xml:space="preserve">49.65</w:t>
            </w:r>
          </w:p>
        </w:tc>
        <w:tc>
          <w:tcPr>
            <w:tcW w:type="dxa" w:w="900"/>
          </w:tcPr>
          <w:p>
            <w:pPr>
              <w:pStyle w:val="Compact"/>
              <w:jc w:val="left"/>
            </w:pPr>
            <w:r>
              <w:rPr>
                <w:b w:val="0"/>
              </w:rPr>
              <w:t xml:space="preserve">+13.54</w:t>
            </w:r>
          </w:p>
        </w:tc>
      </w:tr>
      <w:tr>
        <w:tc>
          <w:tcPr>
            <w:tcW w:type="dxa" w:w="944"/>
          </w:tcPr>
          <w:p>
            <w:pPr>
              <w:pStyle w:val="Compact"/>
              <w:jc w:val="left"/>
            </w:pPr>
            <w:r>
              <w:rPr>
                <w:b w:val="0"/>
              </w:rPr>
              <w:t>gemma:latest_rag_enhanced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46.09</w:t>
            </w:r>
          </w:p>
        </w:tc>
        <w:tc>
          <w:tcPr>
            <w:tcW w:type="dxa" w:w="900"/>
          </w:tcPr>
          <w:p>
            <w:pPr>
              <w:pStyle w:val="Compact"/>
              <w:jc w:val="center"/>
            </w:pPr>
            <w:r>
              <w:rPr>
                <w:b w:val="0"/>
              </w:rPr>
              <w:t xml:space="preserve">39.74</w:t>
            </w:r>
          </w:p>
        </w:tc>
        <w:tc>
          <w:tcPr>
            <w:tcW w:type="dxa" w:w="900"/>
          </w:tcPr>
          <w:p>
            <w:pPr>
              <w:pStyle w:val="Compact"/>
              <w:jc w:val="center"/>
            </w:pPr>
            <w:r>
              <w:rPr>
                <w:b w:val="0"/>
              </w:rPr>
              <w:t xml:space="preserve">40.09</w:t>
            </w:r>
          </w:p>
        </w:tc>
        <w:tc>
          <w:tcPr>
            <w:tcW w:type="dxa" w:w="900"/>
          </w:tcPr>
          <w:p>
            <w:pPr>
              <w:pStyle w:val="Compact"/>
              <w:jc w:val="left"/>
            </w:pPr>
            <w:r>
              <w:rPr>
                <w:b w:val="0"/>
              </w:rPr>
              <w:t xml:space="preserve">63.27</w:t>
            </w:r>
          </w:p>
        </w:tc>
        <w:tc>
          <w:tcPr>
            <w:tcW w:type="dxa" w:w="900"/>
          </w:tcPr>
          <w:p>
            <w:pPr>
              <w:pStyle w:val="Compact"/>
              <w:jc w:val="left"/>
            </w:pPr>
            <w:r>
              <w:rPr>
                <w:b w:val="0"/>
              </w:rPr>
              <w:t xml:space="preserve">47.57</w:t>
            </w:r>
          </w:p>
        </w:tc>
        <w:tc>
          <w:tcPr>
            <w:tcW w:type="dxa" w:w="900"/>
          </w:tcPr>
          <w:p>
            <w:pPr>
              <w:pStyle w:val="Compact"/>
              <w:jc w:val="left"/>
            </w:pPr>
            <w:r>
              <w:rPr>
                <w:b w:val="0"/>
              </w:rPr>
              <w:t xml:space="preserve">+7.48</w:t>
            </w:r>
          </w:p>
        </w:tc>
      </w:tr>
      <w:tr>
        <w:tc>
          <w:tcPr>
            <w:tcW w:type="dxa" w:w="944"/>
          </w:tcPr>
          <w:p>
            <w:pPr>
              <w:pStyle w:val="Compact"/>
              <w:jc w:val="left"/>
            </w:pPr>
            <w:r>
              <w:rPr>
                <w:b w:val="0"/>
              </w:rPr>
              <w:t>nemotron-mini:4b_kb_rag</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44.80</w:t>
            </w:r>
          </w:p>
        </w:tc>
        <w:tc>
          <w:tcPr>
            <w:tcW w:type="dxa" w:w="900"/>
          </w:tcPr>
          <w:p>
            <w:pPr>
              <w:pStyle w:val="Compact"/>
              <w:jc w:val="center"/>
            </w:pPr>
            <w:r>
              <w:rPr>
                <w:b w:val="0"/>
              </w:rPr>
              <w:t xml:space="preserve">36.62</w:t>
            </w:r>
          </w:p>
        </w:tc>
        <w:tc>
          <w:tcPr>
            <w:tcW w:type="dxa" w:w="900"/>
          </w:tcPr>
          <w:p>
            <w:pPr>
              <w:pStyle w:val="Compact"/>
              <w:jc w:val="center"/>
            </w:pPr>
            <w:r>
              <w:rPr>
                <w:b w:val="0"/>
              </w:rPr>
              <w:t xml:space="preserve">37.12</w:t>
            </w:r>
          </w:p>
        </w:tc>
        <w:tc>
          <w:tcPr>
            <w:tcW w:type="dxa" w:w="900"/>
          </w:tcPr>
          <w:p>
            <w:pPr>
              <w:pStyle w:val="Compact"/>
              <w:jc w:val="left"/>
            </w:pPr>
            <w:r>
              <w:rPr>
                <w:b w:val="0"/>
              </w:rPr>
              <w:t xml:space="preserve">55.19</w:t>
            </w:r>
          </w:p>
        </w:tc>
        <w:tc>
          <w:tcPr>
            <w:tcW w:type="dxa" w:w="900"/>
          </w:tcPr>
          <w:p>
            <w:pPr>
              <w:pStyle w:val="Compact"/>
              <w:jc w:val="left"/>
            </w:pPr>
            <w:r>
              <w:rPr>
                <w:b w:val="0"/>
              </w:rPr>
              <w:t xml:space="preserve">40.77</w:t>
            </w:r>
          </w:p>
        </w:tc>
        <w:tc>
          <w:tcPr>
            <w:tcW w:type="dxa" w:w="900"/>
          </w:tcPr>
          <w:p>
            <w:pPr>
              <w:pStyle w:val="Compact"/>
              <w:jc w:val="left"/>
            </w:pPr>
            <w:r>
              <w:rPr>
                <w:b w:val="0"/>
              </w:rPr>
              <w:t xml:space="preserve">+3.65</w:t>
            </w:r>
          </w:p>
        </w:tc>
      </w:tr>
      <w:tr>
        <w:tc>
          <w:tcPr>
            <w:tcW w:type="dxa" w:w="944"/>
          </w:tcPr>
          <w:p>
            <w:pPr>
              <w:pStyle w:val="Compact"/>
              <w:jc w:val="left"/>
            </w:pPr>
            <w:r>
              <w:rPr>
                <w:b w:val="0"/>
              </w:rPr>
              <w:t>llama3.2:latest_rag_enhanced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38.78</w:t>
            </w:r>
          </w:p>
        </w:tc>
        <w:tc>
          <w:tcPr>
            <w:tcW w:type="dxa" w:w="900"/>
          </w:tcPr>
          <w:p>
            <w:pPr>
              <w:pStyle w:val="Compact"/>
              <w:jc w:val="center"/>
            </w:pPr>
            <w:r>
              <w:rPr>
                <w:b w:val="0"/>
              </w:rPr>
              <w:t xml:space="preserve">30.41</w:t>
            </w:r>
          </w:p>
        </w:tc>
        <w:tc>
          <w:tcPr>
            <w:tcW w:type="dxa" w:w="900"/>
          </w:tcPr>
          <w:p>
            <w:pPr>
              <w:pStyle w:val="Compact"/>
              <w:jc w:val="center"/>
            </w:pPr>
            <w:r>
              <w:rPr>
                <w:b w:val="0"/>
              </w:rPr>
              <w:t xml:space="preserve">31.13</w:t>
            </w:r>
          </w:p>
        </w:tc>
        <w:tc>
          <w:tcPr>
            <w:tcW w:type="dxa" w:w="900"/>
          </w:tcPr>
          <w:p>
            <w:pPr>
              <w:pStyle w:val="Compact"/>
              <w:jc w:val="left"/>
            </w:pPr>
            <w:r>
              <w:rPr>
                <w:b w:val="0"/>
              </w:rPr>
              <w:t xml:space="preserve">70.58</w:t>
            </w:r>
          </w:p>
        </w:tc>
        <w:tc>
          <w:tcPr>
            <w:tcW w:type="dxa" w:w="900"/>
          </w:tcPr>
          <w:p>
            <w:pPr>
              <w:pStyle w:val="Compact"/>
              <w:jc w:val="left"/>
            </w:pPr>
            <w:r>
              <w:rPr>
                <w:b w:val="0"/>
              </w:rPr>
              <w:t xml:space="preserve">38.90</w:t>
            </w:r>
          </w:p>
        </w:tc>
        <w:tc>
          <w:tcPr>
            <w:tcW w:type="dxa" w:w="900"/>
          </w:tcPr>
          <w:p>
            <w:pPr>
              <w:pStyle w:val="Compact"/>
              <w:jc w:val="left"/>
            </w:pPr>
            <w:r>
              <w:rPr>
                <w:b w:val="0"/>
              </w:rPr>
              <w:t xml:space="preserve">+7.77</w:t>
            </w:r>
          </w:p>
        </w:tc>
      </w:tr>
      <w:tr>
        <w:tc>
          <w:tcPr>
            <w:tcW w:type="dxa" w:w="944"/>
          </w:tcPr>
          <w:p>
            <w:pPr>
              <w:pStyle w:val="Compact"/>
              <w:jc w:val="left"/>
            </w:pPr>
            <w:r>
              <w:rPr>
                <w:b w:val="0"/>
              </w:rPr>
              <w:t>gemma4:12b-mlx_baseline</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51.91</w:t>
            </w:r>
          </w:p>
        </w:tc>
        <w:tc>
          <w:tcPr>
            <w:tcW w:type="dxa" w:w="900"/>
          </w:tcPr>
          <w:p>
            <w:pPr>
              <w:pStyle w:val="Compact"/>
              <w:jc w:val="center"/>
            </w:pPr>
            <w:r>
              <w:rPr>
                <w:b w:val="0"/>
              </w:rPr>
              <w:t xml:space="preserve">66.05</w:t>
            </w:r>
          </w:p>
        </w:tc>
        <w:tc>
          <w:tcPr>
            <w:tcW w:type="dxa" w:w="900"/>
          </w:tcPr>
          <w:p>
            <w:pPr>
              <w:pStyle w:val="Compact"/>
              <w:jc w:val="center"/>
            </w:pPr>
            <w:r>
              <w:rPr>
                <w:b w:val="0"/>
              </w:rPr>
              <w:t xml:space="preserve">56.18</w:t>
            </w:r>
          </w:p>
        </w:tc>
        <w:tc>
          <w:tcPr>
            <w:tcW w:type="dxa" w:w="900"/>
          </w:tcPr>
          <w:p>
            <w:pPr>
              <w:pStyle w:val="Compact"/>
              <w:jc w:val="left"/>
            </w:pPr>
            <w:r>
              <w:rPr>
                <w:b w:val="0"/>
              </w:rPr>
              <w:t xml:space="preserve">83.26</w:t>
            </w:r>
          </w:p>
        </w:tc>
        <w:tc>
          <w:tcPr>
            <w:tcW w:type="dxa" w:w="900"/>
          </w:tcPr>
          <w:p>
            <w:pPr>
              <w:pStyle w:val="Compact"/>
              <w:jc w:val="left"/>
            </w:pPr>
            <w:r>
              <w:rPr>
                <w:b w:val="0"/>
              </w:rPr>
              <w:t xml:space="preserve">73.81</w:t>
            </w:r>
          </w:p>
        </w:tc>
        <w:tc>
          <w:tcPr>
            <w:tcW w:type="dxa" w:w="900"/>
          </w:tcPr>
          <w:p>
            <w:pPr>
              <w:pStyle w:val="Compact"/>
              <w:jc w:val="left"/>
            </w:pPr>
            <w:r>
              <w:rPr>
                <w:b w:val="0"/>
              </w:rPr>
              <w:t xml:space="preserve">+17.63</w:t>
            </w:r>
          </w:p>
        </w:tc>
      </w:tr>
      <w:tr>
        <w:tc>
          <w:tcPr>
            <w:tcW w:type="dxa" w:w="944"/>
          </w:tcPr>
          <w:p>
            <w:pPr>
              <w:pStyle w:val="Compact"/>
              <w:jc w:val="left"/>
            </w:pPr>
            <w:r>
              <w:rPr>
                <w:b w:val="0"/>
              </w:rPr>
              <w:t>mistral-nemo:latest_rag_enhanced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42.99</w:t>
            </w:r>
          </w:p>
        </w:tc>
        <w:tc>
          <w:tcPr>
            <w:tcW w:type="dxa" w:w="900"/>
          </w:tcPr>
          <w:p>
            <w:pPr>
              <w:pStyle w:val="Compact"/>
              <w:jc w:val="center"/>
            </w:pPr>
            <w:r>
              <w:rPr>
                <w:b w:val="0"/>
              </w:rPr>
              <w:t xml:space="preserve">24.38</w:t>
            </w:r>
          </w:p>
        </w:tc>
        <w:tc>
          <w:tcPr>
            <w:tcW w:type="dxa" w:w="900"/>
          </w:tcPr>
          <w:p>
            <w:pPr>
              <w:pStyle w:val="Compact"/>
              <w:jc w:val="center"/>
            </w:pPr>
            <w:r>
              <w:rPr>
                <w:b w:val="0"/>
              </w:rPr>
              <w:t xml:space="preserve">28.52</w:t>
            </w:r>
          </w:p>
        </w:tc>
        <w:tc>
          <w:tcPr>
            <w:tcW w:type="dxa" w:w="900"/>
          </w:tcPr>
          <w:p>
            <w:pPr>
              <w:pStyle w:val="Compact"/>
              <w:jc w:val="left"/>
            </w:pPr>
            <w:r>
              <w:rPr>
                <w:b w:val="0"/>
              </w:rPr>
              <w:t xml:space="preserve">79.85</w:t>
            </w:r>
          </w:p>
        </w:tc>
        <w:tc>
          <w:tcPr>
            <w:tcW w:type="dxa" w:w="900"/>
          </w:tcPr>
          <w:p>
            <w:pPr>
              <w:pStyle w:val="Compact"/>
              <w:jc w:val="left"/>
            </w:pPr>
            <w:r>
              <w:rPr>
                <w:b w:val="0"/>
              </w:rPr>
              <w:t xml:space="preserve">36.18</w:t>
            </w:r>
          </w:p>
        </w:tc>
        <w:tc>
          <w:tcPr>
            <w:tcW w:type="dxa" w:w="900"/>
          </w:tcPr>
          <w:p>
            <w:pPr>
              <w:pStyle w:val="Compact"/>
              <w:jc w:val="left"/>
            </w:pPr>
            <w:r>
              <w:rPr>
                <w:b w:val="0"/>
              </w:rPr>
              <w:t xml:space="preserve">+7.66</w:t>
            </w:r>
          </w:p>
        </w:tc>
      </w:tr>
      <w:tr>
        <w:tc>
          <w:tcPr>
            <w:tcW w:type="dxa" w:w="944"/>
          </w:tcPr>
          <w:p>
            <w:pPr>
              <w:pStyle w:val="Compact"/>
              <w:jc w:val="left"/>
            </w:pPr>
            <w:r>
              <w:rPr>
                <w:b w:val="0"/>
              </w:rPr>
              <w:t>gemma4:31b-cloud_rag_enhanced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16.96</w:t>
            </w:r>
          </w:p>
        </w:tc>
        <w:tc>
          <w:tcPr>
            <w:tcW w:type="dxa" w:w="900"/>
          </w:tcPr>
          <w:p>
            <w:pPr>
              <w:pStyle w:val="Compact"/>
              <w:jc w:val="center"/>
            </w:pPr>
            <w:r>
              <w:rPr>
                <w:b w:val="0"/>
              </w:rPr>
              <w:t xml:space="preserve">21.11</w:t>
            </w:r>
          </w:p>
        </w:tc>
        <w:tc>
          <w:tcPr>
            <w:tcW w:type="dxa" w:w="900"/>
          </w:tcPr>
          <w:p>
            <w:pPr>
              <w:pStyle w:val="Compact"/>
              <w:jc w:val="center"/>
            </w:pPr>
            <w:r>
              <w:rPr>
                <w:b w:val="0"/>
              </w:rPr>
              <w:t xml:space="preserve">18.52</w:t>
            </w:r>
          </w:p>
        </w:tc>
        <w:tc>
          <w:tcPr>
            <w:tcW w:type="dxa" w:w="900"/>
          </w:tcPr>
          <w:p>
            <w:pPr>
              <w:pStyle w:val="Compact"/>
              <w:jc w:val="left"/>
            </w:pPr>
            <w:r>
              <w:rPr>
                <w:b w:val="0"/>
              </w:rPr>
              <w:t xml:space="preserve">24.56</w:t>
            </w:r>
          </w:p>
        </w:tc>
        <w:tc>
          <w:tcPr>
            <w:tcW w:type="dxa" w:w="900"/>
          </w:tcPr>
          <w:p>
            <w:pPr>
              <w:pStyle w:val="Compact"/>
              <w:jc w:val="left"/>
            </w:pPr>
            <w:r>
              <w:rPr>
                <w:b w:val="0"/>
              </w:rPr>
              <w:t xml:space="preserve">23.04</w:t>
            </w:r>
          </w:p>
        </w:tc>
        <w:tc>
          <w:tcPr>
            <w:tcW w:type="dxa" w:w="900"/>
          </w:tcPr>
          <w:p>
            <w:pPr>
              <w:pStyle w:val="Compact"/>
              <w:jc w:val="left"/>
            </w:pPr>
            <w:r>
              <w:rPr>
                <w:b w:val="0"/>
              </w:rPr>
              <w:t xml:space="preserve">+4.51</w:t>
            </w:r>
          </w:p>
        </w:tc>
      </w:tr>
      <w:tr>
        <w:tc>
          <w:tcPr>
            <w:tcW w:type="dxa" w:w="944"/>
          </w:tcPr>
          <w:p>
            <w:pPr>
              <w:pStyle w:val="Compact"/>
              <w:jc w:val="left"/>
            </w:pPr>
            <w:r>
              <w:rPr>
                <w:b w:val="0"/>
              </w:rPr>
              <w:t>deepseek-r1:1.5b_baseline</w:t>
            </w:r>
          </w:p>
        </w:tc>
        <w:tc>
          <w:tcPr>
            <w:tcW w:type="dxa" w:w="2494"/>
          </w:tcPr>
          <w:p>
            <w:pPr>
              <w:pStyle w:val="Compact"/>
              <w:jc w:val="left"/>
            </w:pPr>
            <w:r>
              <w:rPr>
                <w:b w:val="0"/>
              </w:rPr>
              <w:t>benchmark_n120_REMOTO</w:t>
            </w:r>
          </w:p>
        </w:tc>
        <w:tc>
          <w:tcPr>
            <w:tcW w:type="dxa" w:w="900"/>
          </w:tcPr>
          <w:p>
            <w:pPr>
              <w:pStyle w:val="Compact"/>
              <w:jc w:val="left"/>
            </w:pPr>
            <w:r>
              <w:rPr>
                <w:b w:val="0"/>
              </w:rPr>
              <w:t xml:space="preserve">29.96</w:t>
            </w:r>
          </w:p>
        </w:tc>
        <w:tc>
          <w:tcPr>
            <w:tcW w:type="dxa" w:w="900"/>
          </w:tcPr>
          <w:p>
            <w:pPr>
              <w:pStyle w:val="Compact"/>
              <w:jc w:val="center"/>
            </w:pPr>
            <w:r>
              <w:rPr>
                <w:b w:val="0"/>
              </w:rPr>
              <w:t xml:space="preserve">24.72</w:t>
            </w:r>
          </w:p>
        </w:tc>
        <w:tc>
          <w:tcPr>
            <w:tcW w:type="dxa" w:w="900"/>
          </w:tcPr>
          <w:p>
            <w:pPr>
              <w:pStyle w:val="Compact"/>
              <w:jc w:val="center"/>
            </w:pPr>
            <w:r>
              <w:rPr>
                <w:b w:val="0"/>
              </w:rPr>
              <w:t xml:space="preserve">24.83</w:t>
            </w:r>
          </w:p>
        </w:tc>
        <w:tc>
          <w:tcPr>
            <w:tcW w:type="dxa" w:w="900"/>
          </w:tcPr>
          <w:p>
            <w:pPr>
              <w:pStyle w:val="Compact"/>
              <w:jc w:val="left"/>
            </w:pPr>
            <w:r>
              <w:rPr>
                <w:b w:val="0"/>
              </w:rPr>
              <w:t xml:space="preserve">43.27</w:t>
            </w:r>
          </w:p>
        </w:tc>
        <w:tc>
          <w:tcPr>
            <w:tcW w:type="dxa" w:w="900"/>
          </w:tcPr>
          <w:p>
            <w:pPr>
              <w:pStyle w:val="Compact"/>
              <w:jc w:val="left"/>
            </w:pPr>
            <w:r>
              <w:rPr>
                <w:b w:val="0"/>
              </w:rPr>
              <w:t xml:space="preserve">29.34</w:t>
            </w:r>
          </w:p>
        </w:tc>
        <w:tc>
          <w:tcPr>
            <w:tcW w:type="dxa" w:w="900"/>
          </w:tcPr>
          <w:p>
            <w:pPr>
              <w:pStyle w:val="Compact"/>
              <w:jc w:val="left"/>
            </w:pPr>
            <w:r>
              <w:rPr>
                <w:b w:val="0"/>
              </w:rPr>
              <w:t xml:space="preserve">+4.50</w:t>
            </w:r>
          </w:p>
        </w:tc>
      </w:tr>
      <w:tr>
        <w:tc>
          <w:tcPr>
            <w:tcW w:type="dxa" w:w="944"/>
          </w:tcPr>
          <w:p>
            <w:pPr>
              <w:pStyle w:val="Compact"/>
              <w:jc w:val="left"/>
            </w:pPr>
            <w:r>
              <w:rPr>
                <w:b w:val="0"/>
              </w:rPr>
              <w:t>deepseek-r1:1.5b_kb_rag</w:t>
            </w:r>
          </w:p>
        </w:tc>
        <w:tc>
          <w:tcPr>
            <w:tcW w:type="dxa" w:w="2494"/>
          </w:tcPr>
          <w:p>
            <w:pPr>
              <w:pStyle w:val="Compact"/>
              <w:jc w:val="left"/>
            </w:pPr>
            <w:r>
              <w:rPr>
                <w:b w:val="0"/>
              </w:rPr>
              <w:t>benchmark_n120_REMOTO</w:t>
            </w:r>
          </w:p>
        </w:tc>
        <w:tc>
          <w:tcPr>
            <w:tcW w:type="dxa" w:w="900"/>
          </w:tcPr>
          <w:p>
            <w:pPr>
              <w:pStyle w:val="Compact"/>
              <w:jc w:val="left"/>
            </w:pPr>
            <w:r>
              <w:rPr>
                <w:b w:val="0"/>
              </w:rPr>
              <w:t xml:space="preserve">28.35</w:t>
            </w:r>
          </w:p>
        </w:tc>
        <w:tc>
          <w:tcPr>
            <w:tcW w:type="dxa" w:w="900"/>
          </w:tcPr>
          <w:p>
            <w:pPr>
              <w:pStyle w:val="Compact"/>
              <w:jc w:val="center"/>
            </w:pPr>
            <w:r>
              <w:rPr>
                <w:b w:val="0"/>
              </w:rPr>
              <w:t xml:space="preserve">24.71</w:t>
            </w:r>
          </w:p>
        </w:tc>
        <w:tc>
          <w:tcPr>
            <w:tcW w:type="dxa" w:w="900"/>
          </w:tcPr>
          <w:p>
            <w:pPr>
              <w:pStyle w:val="Compact"/>
              <w:jc w:val="center"/>
            </w:pPr>
            <w:r>
              <w:rPr>
                <w:b w:val="0"/>
              </w:rPr>
              <w:t xml:space="preserve">23.94</w:t>
            </w:r>
          </w:p>
        </w:tc>
        <w:tc>
          <w:tcPr>
            <w:tcW w:type="dxa" w:w="900"/>
          </w:tcPr>
          <w:p>
            <w:pPr>
              <w:pStyle w:val="Compact"/>
              <w:jc w:val="left"/>
            </w:pPr>
            <w:r>
              <w:rPr>
                <w:b w:val="0"/>
              </w:rPr>
              <w:t xml:space="preserve">36.13</w:t>
            </w:r>
          </w:p>
        </w:tc>
        <w:tc>
          <w:tcPr>
            <w:tcW w:type="dxa" w:w="900"/>
          </w:tcPr>
          <w:p>
            <w:pPr>
              <w:pStyle w:val="Compact"/>
              <w:jc w:val="left"/>
            </w:pPr>
            <w:r>
              <w:rPr>
                <w:b w:val="0"/>
              </w:rPr>
              <w:t xml:space="preserve">26.91</w:t>
            </w:r>
          </w:p>
        </w:tc>
        <w:tc>
          <w:tcPr>
            <w:tcW w:type="dxa" w:w="900"/>
          </w:tcPr>
          <w:p>
            <w:pPr>
              <w:pStyle w:val="Compact"/>
              <w:jc w:val="left"/>
            </w:pPr>
            <w:r>
              <w:rPr>
                <w:b w:val="0"/>
              </w:rPr>
              <w:t xml:space="preserve">+2.97</w:t>
            </w:r>
          </w:p>
        </w:tc>
      </w:tr>
      <w:tr>
        <w:tc>
          <w:tcPr>
            <w:tcW w:type="dxa" w:w="944"/>
          </w:tcPr>
          <w:p>
            <w:pPr>
              <w:pStyle w:val="Compact"/>
              <w:jc w:val="left"/>
            </w:pPr>
            <w:r>
              <w:rPr>
                <w:b w:val="0"/>
              </w:rPr>
              <w:t>nemotron-mini:4b_baseline</w:t>
            </w:r>
          </w:p>
        </w:tc>
        <w:tc>
          <w:tcPr>
            <w:tcW w:type="dxa" w:w="2494"/>
          </w:tcPr>
          <w:p>
            <w:pPr>
              <w:pStyle w:val="Compact"/>
              <w:jc w:val="left"/>
            </w:pPr>
            <w:r>
              <w:rPr>
                <w:b w:val="0"/>
              </w:rPr>
              <w:t>nemotron_rerun_n120_REMOTO</w:t>
            </w:r>
          </w:p>
        </w:tc>
        <w:tc>
          <w:tcPr>
            <w:tcW w:type="dxa" w:w="900"/>
          </w:tcPr>
          <w:p>
            <w:pPr>
              <w:pStyle w:val="Compact"/>
              <w:jc w:val="left"/>
            </w:pPr>
            <w:r>
              <w:rPr>
                <w:b w:val="0"/>
              </w:rPr>
              <w:t xml:space="preserve">34.50</w:t>
            </w:r>
          </w:p>
        </w:tc>
        <w:tc>
          <w:tcPr>
            <w:tcW w:type="dxa" w:w="900"/>
          </w:tcPr>
          <w:p>
            <w:pPr>
              <w:pStyle w:val="Compact"/>
              <w:jc w:val="center"/>
            </w:pPr>
            <w:r>
              <w:rPr>
                <w:b w:val="0"/>
              </w:rPr>
              <w:t xml:space="preserve">21.20</w:t>
            </w:r>
          </w:p>
        </w:tc>
        <w:tc>
          <w:tcPr>
            <w:tcW w:type="dxa" w:w="900"/>
          </w:tcPr>
          <w:p>
            <w:pPr>
              <w:pStyle w:val="Compact"/>
              <w:jc w:val="center"/>
            </w:pPr>
            <w:r>
              <w:rPr>
                <w:b w:val="0"/>
              </w:rPr>
              <w:t xml:space="preserve">22.59</w:t>
            </w:r>
          </w:p>
        </w:tc>
        <w:tc>
          <w:tcPr>
            <w:tcW w:type="dxa" w:w="900"/>
          </w:tcPr>
          <w:p>
            <w:pPr>
              <w:pStyle w:val="Compact"/>
              <w:jc w:val="left"/>
            </w:pPr>
            <w:r>
              <w:rPr>
                <w:b w:val="0"/>
              </w:rPr>
              <w:t xml:space="preserve">46.59</w:t>
            </w:r>
          </w:p>
        </w:tc>
        <w:tc>
          <w:tcPr>
            <w:tcW w:type="dxa" w:w="900"/>
          </w:tcPr>
          <w:p>
            <w:pPr>
              <w:pStyle w:val="Compact"/>
              <w:jc w:val="left"/>
            </w:pPr>
            <w:r>
              <w:rPr>
                <w:b w:val="0"/>
              </w:rPr>
              <w:t xml:space="preserve">25.28</w:t>
            </w:r>
          </w:p>
        </w:tc>
        <w:tc>
          <w:tcPr>
            <w:tcW w:type="dxa" w:w="900"/>
          </w:tcPr>
          <w:p>
            <w:pPr>
              <w:pStyle w:val="Compact"/>
              <w:jc w:val="left"/>
            </w:pPr>
            <w:r>
              <w:rPr>
                <w:b w:val="0"/>
              </w:rPr>
              <w:t xml:space="preserve">+2.68</w:t>
            </w:r>
          </w:p>
        </w:tc>
      </w:tr>
      <w:tr>
        <w:tc>
          <w:tcPr>
            <w:tcW w:type="dxa" w:w="944"/>
          </w:tcPr>
          <w:p>
            <w:pPr>
              <w:pStyle w:val="Compact"/>
              <w:jc w:val="left"/>
            </w:pPr>
            <w:r>
              <w:rPr>
                <w:b w:val="0"/>
              </w:rPr>
              <w:t>nemotron-mini:4b_rag_enhanced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35.16</w:t>
            </w:r>
          </w:p>
        </w:tc>
        <w:tc>
          <w:tcPr>
            <w:tcW w:type="dxa" w:w="900"/>
          </w:tcPr>
          <w:p>
            <w:pPr>
              <w:pStyle w:val="Compact"/>
              <w:jc w:val="center"/>
            </w:pPr>
            <w:r>
              <w:rPr>
                <w:b w:val="0"/>
              </w:rPr>
              <w:t xml:space="preserve">16.39</w:t>
            </w:r>
          </w:p>
        </w:tc>
        <w:tc>
          <w:tcPr>
            <w:tcW w:type="dxa" w:w="900"/>
          </w:tcPr>
          <w:p>
            <w:pPr>
              <w:pStyle w:val="Compact"/>
              <w:jc w:val="center"/>
            </w:pPr>
            <w:r>
              <w:rPr>
                <w:b w:val="0"/>
              </w:rPr>
              <w:t xml:space="preserve">19.54</w:t>
            </w:r>
          </w:p>
        </w:tc>
        <w:tc>
          <w:tcPr>
            <w:tcW w:type="dxa" w:w="900"/>
          </w:tcPr>
          <w:p>
            <w:pPr>
              <w:pStyle w:val="Compact"/>
              <w:jc w:val="left"/>
            </w:pPr>
            <w:r>
              <w:rPr>
                <w:b w:val="0"/>
              </w:rPr>
              <w:t xml:space="preserve">40.45</w:t>
            </w:r>
          </w:p>
        </w:tc>
        <w:tc>
          <w:tcPr>
            <w:tcW w:type="dxa" w:w="900"/>
          </w:tcPr>
          <w:p>
            <w:pPr>
              <w:pStyle w:val="Compact"/>
              <w:jc w:val="left"/>
            </w:pPr>
            <w:r>
              <w:rPr>
                <w:b w:val="0"/>
              </w:rPr>
              <w:t xml:space="preserve">21.26</w:t>
            </w:r>
          </w:p>
        </w:tc>
        <w:tc>
          <w:tcPr>
            <w:tcW w:type="dxa" w:w="900"/>
          </w:tcPr>
          <w:p>
            <w:pPr>
              <w:pStyle w:val="Compact"/>
              <w:jc w:val="left"/>
            </w:pPr>
            <w:r>
              <w:rPr>
                <w:b w:val="0"/>
              </w:rPr>
              <w:t xml:space="preserve">+1.72</w:t>
            </w:r>
          </w:p>
        </w:tc>
      </w:tr>
      <w:tr>
        <w:tc>
          <w:tcPr>
            <w:tcW w:type="dxa" w:w="944"/>
          </w:tcPr>
          <w:p>
            <w:pPr>
              <w:pStyle w:val="Compact"/>
              <w:jc w:val="left"/>
            </w:pPr>
            <w:r>
              <w:rPr>
                <w:b w:val="0"/>
              </w:rPr>
              <w:t>deepseek-r1:1.5b_rag_enhanced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 xml:space="preserve">22.28</w:t>
            </w:r>
          </w:p>
        </w:tc>
        <w:tc>
          <w:tcPr>
            <w:tcW w:type="dxa" w:w="900"/>
          </w:tcPr>
          <w:p>
            <w:pPr>
              <w:pStyle w:val="Compact"/>
              <w:jc w:val="center"/>
            </w:pPr>
            <w:r>
              <w:rPr>
                <w:b w:val="0"/>
              </w:rPr>
              <w:t xml:space="preserve">17.41</w:t>
            </w:r>
          </w:p>
        </w:tc>
        <w:tc>
          <w:tcPr>
            <w:tcW w:type="dxa" w:w="900"/>
          </w:tcPr>
          <w:p>
            <w:pPr>
              <w:pStyle w:val="Compact"/>
              <w:jc w:val="center"/>
            </w:pPr>
            <w:r>
              <w:rPr>
                <w:b w:val="0"/>
              </w:rPr>
              <w:t xml:space="preserve">16.82</w:t>
            </w:r>
          </w:p>
        </w:tc>
        <w:tc>
          <w:tcPr>
            <w:tcW w:type="dxa" w:w="900"/>
          </w:tcPr>
          <w:p>
            <w:pPr>
              <w:pStyle w:val="Compact"/>
              <w:jc w:val="left"/>
            </w:pPr>
            <w:r>
              <w:rPr>
                <w:b w:val="0"/>
              </w:rPr>
              <w:t xml:space="preserve">30.80</w:t>
            </w:r>
          </w:p>
        </w:tc>
        <w:tc>
          <w:tcPr>
            <w:tcW w:type="dxa" w:w="900"/>
          </w:tcPr>
          <w:p>
            <w:pPr>
              <w:pStyle w:val="Compact"/>
              <w:jc w:val="left"/>
            </w:pPr>
            <w:r>
              <w:rPr>
                <w:b w:val="0"/>
              </w:rPr>
              <w:t xml:space="preserve">20.11</w:t>
            </w:r>
          </w:p>
        </w:tc>
        <w:tc>
          <w:tcPr>
            <w:tcW w:type="dxa" w:w="900"/>
          </w:tcPr>
          <w:p>
            <w:pPr>
              <w:pStyle w:val="Compact"/>
              <w:jc w:val="left"/>
            </w:pPr>
            <w:r>
              <w:rPr>
                <w:b w:val="0"/>
              </w:rPr>
              <w:t xml:space="preserve">+3.29</w:t>
            </w:r>
          </w:p>
        </w:tc>
      </w:tr>
      <w:tr>
        <w:tc>
          <w:tcPr>
            <w:tcW w:type="dxa" w:w="944"/>
          </w:tcPr>
          <w:p>
            <w:pPr>
              <w:pStyle w:val="Compact"/>
              <w:jc w:val="left"/>
            </w:pPr>
            <w:r>
              <w:rPr>
                <w:b w:val="0"/>
              </w:rPr>
              <w:t>gemma4:12b-mlx_kb_rag</w:t>
            </w:r>
          </w:p>
        </w:tc>
        <w:tc>
          <w:tcPr>
            <w:tcW w:type="dxa" w:w="2494"/>
          </w:tcPr>
          <w:p>
            <w:pPr>
              <w:pStyle w:val="Compact"/>
              <w:jc w:val="left"/>
            </w:pPr>
            <w:r>
              <w:rPr>
                <w:b w:val="0"/>
              </w:rPr>
              <w:t xml:space="preserve">afectados_thinking_n120_REMOTO</w:t>
            </w:r>
          </w:p>
        </w:tc>
        <w:tc>
          <w:tcPr>
            <w:tcW w:type="dxa" w:w="900"/>
          </w:tcPr>
          <w:p>
            <w:pPr>
              <w:pStyle w:val="Compact"/>
              <w:jc w:val="left"/>
            </w:pPr>
            <w:r>
              <w:rPr>
                <w:b w:val="0"/>
              </w:rPr>
              <w:t xml:space="preserve">53.29</w:t>
            </w:r>
          </w:p>
        </w:tc>
        <w:tc>
          <w:tcPr>
            <w:tcW w:type="dxa" w:w="900"/>
          </w:tcPr>
          <w:p>
            <w:pPr>
              <w:pStyle w:val="Compact"/>
              <w:jc w:val="center"/>
            </w:pPr>
            <w:r>
              <w:rPr>
                <w:b w:val="0"/>
              </w:rPr>
              <w:t xml:space="preserve">68.33</w:t>
            </w:r>
          </w:p>
        </w:tc>
        <w:tc>
          <w:tcPr>
            <w:tcW w:type="dxa" w:w="900"/>
          </w:tcPr>
          <w:p>
            <w:pPr>
              <w:pStyle w:val="Compact"/>
              <w:jc w:val="center"/>
            </w:pPr>
            <w:r>
              <w:rPr>
                <w:b w:val="0"/>
              </w:rPr>
              <w:t xml:space="preserve">58.46</w:t>
            </w:r>
          </w:p>
        </w:tc>
        <w:tc>
          <w:tcPr>
            <w:tcW w:type="dxa" w:w="900"/>
          </w:tcPr>
          <w:p>
            <w:pPr>
              <w:pStyle w:val="Compact"/>
              <w:jc w:val="left"/>
            </w:pPr>
            <w:r>
              <w:rPr>
                <w:b w:val="0"/>
              </w:rPr>
              <w:t xml:space="preserve">80.50</w:t>
            </w:r>
          </w:p>
        </w:tc>
        <w:tc>
          <w:tcPr>
            <w:tcW w:type="dxa" w:w="900"/>
          </w:tcPr>
          <w:p>
            <w:pPr>
              <w:pStyle w:val="Compact"/>
              <w:jc w:val="left"/>
            </w:pPr>
            <w:r>
              <w:rPr>
                <w:b w:val="0"/>
              </w:rPr>
              <w:t xml:space="preserve">74.30</w:t>
            </w:r>
          </w:p>
        </w:tc>
        <w:tc>
          <w:tcPr>
            <w:tcW w:type="dxa" w:w="900"/>
          </w:tcPr>
          <w:p>
            <w:pPr>
              <w:pStyle w:val="Compact"/>
              <w:jc w:val="left"/>
            </w:pPr>
            <w:r>
              <w:rPr>
                <w:b w:val="0"/>
              </w:rPr>
              <w:t xml:space="preserve">+15.84</w:t>
            </w:r>
          </w:p>
        </w:tc>
      </w:tr>
    </w:tbl>
    <w:p>
      <w:pPr>
        <w:numPr>
          <w:ilvl w:val="0"/>
          <w:numId w:val="0"/>
        </w:numPr>
        <w:pStyle w:val="Normal"/>
      </w:pPr>
      <w:r>
        <w:t xml:space="preserve">En conjunto, 20 946 de los 32 201 falsos positivos de estas cuarenta y dos configuraciones (65,0 %) proceden de la categoría no anotada. La cifra no coincide con el 66,0 % que da §3.3 porque cubre una población distinta: esta tabla incluye configuraciones que el estudio no publica, entre ellas corridas después sustituidas por inválidas. Ambas son ciertas sobre lo que dicen medir. El mejor modelo local sobre este corpus, </w:t>
      </w:r>
      <w:r>
        <w:t xml:space="preserve">gemma4:31b-mlx</w:t>
      </w:r>
      <w:r>
        <w:t xml:space="preserve">, pasa de 62,67 % a 76,55 % de F1 y supera el umbral</w:t>
      </w:r>
      <w:r>
        <w:rPr>
          <w:b/>
        </w:rPr>
        <w:t xml:space="preserve"/>
      </w:r>
      <w:r>
        <w:t xml:space="preserve"> de 70 % que fija la hipótesis sobre material periodístico mayoritariamente en español. La variante en la nube del mismo modelo conserva su ventaja (80,42 % frente a 76,55 %), de modo que la corrección </w:t>
      </w:r>
      <w:r>
        <w:rPr>
          <w:b/>
        </w:rPr>
        <w:t xml:space="preserve">no</w:t>
      </w:r>
      <w:r>
        <w:t xml:space="preserve"> altera la conclusión sobre la comparación entre ejecución local y alojada.</w:t>
      </w:r>
    </w:p>
    <w:sectPr w:rsidR="00AD2E51" w:rsidRPr="00302DE4" w:rsidSect="003B35BB">
      <w:headerReference w:type="even" r:id="rId9"/>
      <w:headerReference w:type="default" r:id="rId10"/>
      <w:footerReference w:type="even" r:id="rId11"/>
      <w:footerReference w:type="default" r:id="rId12"/>
      <w:headerReference w:type="first" r:id="rId13"/>
      <w:pgSz w:w="12240" w:h="15840" w:code="1"/>
      <w:pgMar w:top="1871" w:right="1701" w:bottom="1418" w:left="1701" w:header="85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C7A39F" w14:textId="77777777" w:rsidR="00124D96" w:rsidRDefault="00124D96">
      <w:r>
        <w:separator/>
      </w:r>
    </w:p>
  </w:endnote>
  <w:endnote w:type="continuationSeparator" w:id="0">
    <w:p w14:paraId="45888D19" w14:textId="77777777" w:rsidR="00124D96" w:rsidRDefault="00124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ms Rmn">
    <w:panose1 w:val="020B0604020202020204"/>
    <w:charset w:val="4D"/>
    <w:family w:val="roman"/>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ourier">
    <w:altName w:val="Courier New"/>
    <w:panose1 w:val="020703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Tahoma">
    <w:panose1 w:val="020B0604030504040204"/>
    <w:charset w:val="00"/>
    <w:family w:val="swiss"/>
    <w:pitch w:val="variable"/>
    <w:sig w:usb0="E1002EFF" w:usb1="C000605B" w:usb2="00000029" w:usb3="00000000" w:csb0="000101FF" w:csb1="00000000"/>
  </w:font>
  <w:font w:name="Copperplate Gothic Light">
    <w:altName w:val="Calibri"/>
    <w:panose1 w:val="02000604030000020004"/>
    <w:charset w:val="00"/>
    <w:family w:val="auto"/>
    <w:pitch w:val="variable"/>
    <w:sig w:usb0="80000067" w:usb1="00000000" w:usb2="00000000" w:usb3="00000000" w:csb0="00000111"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1"/>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25786"/>
      <w:docPartObj>
        <w:docPartGallery w:val="Page Numbers (Bottom of Page)"/>
        <w:docPartUnique/>
      </w:docPartObj>
    </w:sdtPr>
    <w:sdtContent>
      <w:p w14:paraId="55201DF0" w14:textId="39DC08F2" w:rsidR="000D1C00" w:rsidRDefault="000D1C00" w:rsidP="009C54F1">
        <w:pPr>
          <w:pStyle w:val="Piedepgina"/>
          <w:ind w:firstLine="0"/>
        </w:pPr>
        <w:r>
          <w:fldChar w:fldCharType="begin"/>
        </w:r>
        <w:r>
          <w:instrText xml:space="preserve"> PAGE   \* MERGEFORMAT </w:instrText>
        </w:r>
        <w:r>
          <w:fldChar w:fldCharType="separate"/>
        </w:r>
        <w:r w:rsidR="00ED3273">
          <w:rPr>
            <w:noProof/>
          </w:rPr>
          <w:t>4</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25788"/>
      <w:docPartObj>
        <w:docPartGallery w:val="Page Numbers (Bottom of Page)"/>
        <w:docPartUnique/>
      </w:docPartObj>
    </w:sdtPr>
    <w:sdtContent>
      <w:p w14:paraId="6D71C20B" w14:textId="77777777" w:rsidR="000D1C00" w:rsidRDefault="000D1C00">
        <w:pPr>
          <w:pStyle w:val="Piedepgina"/>
          <w:jc w:val="right"/>
        </w:pPr>
        <w:r>
          <w:fldChar w:fldCharType="begin"/>
        </w:r>
        <w:r>
          <w:instrText xml:space="preserve"> PAGE   \* MERGEFORMAT </w:instrText>
        </w:r>
        <w:r>
          <w:fldChar w:fldCharType="separate"/>
        </w:r>
        <w:r w:rsidR="00ED3273">
          <w:rPr>
            <w:noProof/>
          </w:rPr>
          <w:t>3</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74392D" w14:textId="77777777" w:rsidR="00124D96" w:rsidRDefault="00124D96" w:rsidP="00895F20">
      <w:pPr>
        <w:ind w:firstLine="0"/>
      </w:pPr>
      <w:r>
        <w:separator/>
      </w:r>
    </w:p>
  </w:footnote>
  <w:footnote w:type="continuationSeparator" w:id="0">
    <w:p w14:paraId="4A6E383B" w14:textId="77777777" w:rsidR="00124D96" w:rsidRDefault="00124D96" w:rsidP="00895F20">
      <w:pPr>
        <w:ind w:firstLine="0"/>
      </w:pPr>
      <w:r>
        <w:continuationSeparator/>
      </w:r>
    </w:p>
  </w:footnote>
  <w:footnote w:id="1">
    <w:p w14:paraId="63B15674" w14:textId="3DC13C73" w:rsidR="000D1C00" w:rsidRPr="00D014AB" w:rsidRDefault="000D1C00">
      <w:pPr>
        <w:pStyle w:val="Textonotapie"/>
      </w:pPr>
      <w:r w:rsidRPr="00D014AB">
        <w:rPr>
          <w:rStyle w:val="Refdenotaalpie"/>
        </w:rPr>
        <w:footnoteRef/>
      </w:r>
      <w:r w:rsidRPr="00D014AB">
        <w:t xml:space="preserve"> </w:t>
      </w:r>
      <w:r>
        <w:t xml:space="preserve">Título profesional y grado académico no se colocan en el nombre y dirección del autor. </w:t>
      </w:r>
      <w:r w:rsidRPr="00302DE4">
        <w:rPr>
          <w:u w:val="single"/>
        </w:rPr>
        <w:t>Opci</w:t>
      </w:r>
      <w:r>
        <w:rPr>
          <w:u w:val="single"/>
        </w:rPr>
        <w:t>o</w:t>
      </w:r>
      <w:r w:rsidRPr="00302DE4">
        <w:rPr>
          <w:u w:val="single"/>
        </w:rPr>
        <w:t>nalmente</w:t>
      </w:r>
      <w:r>
        <w:t xml:space="preserve"> si desea agregar este tipo de información, se podría poner como nota al pie de página.</w:t>
      </w:r>
    </w:p>
  </w:footnote>
  <w:footnote w:id="2">
    <w:p w14:paraId="48E2089E" w14:textId="3AE71C72" w:rsidR="00EB4F62" w:rsidRPr="00EB4F62" w:rsidRDefault="00EB4F62">
      <w:pPr>
        <w:pStyle w:val="Textonotapie"/>
        <w:rPr>
          <w:lang w:val="es-ES"/>
        </w:rPr>
      </w:pPr>
      <w:r>
        <w:rPr>
          <w:rStyle w:val="Refdenotaalpie"/>
        </w:rPr>
        <w:footnoteRef/>
      </w:r>
      <w:r>
        <w:t xml:space="preserve"> </w:t>
      </w:r>
      <w:r w:rsidRPr="00EB4F62">
        <w:t>https://www.springer.com/gp/computer-science/lncs/conference-proceedings-guidelines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4AAC3A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9CEBF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E4FC2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99EE65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4AA93E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31E8D1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42165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27C1FB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5F0AEA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D2EC46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FA23158"/>
    <w:lvl w:ilvl="0">
      <w:numFmt w:val="none"/>
      <w:lvlText w:val=""/>
      <w:lvlJc w:val="left"/>
    </w:lvl>
    <w:lvl w:ilvl="1">
      <w:numFmt w:val="none"/>
      <w:lvlText w:val=""/>
      <w:lvlJc w:val="left"/>
    </w:lvl>
    <w:lvl w:ilvl="2">
      <w:numFmt w:val="none"/>
      <w:lvlText w:val=""/>
      <w:lvlJc w:val="left"/>
    </w:lvl>
    <w:lvl w:ilvl="3">
      <w:numFmt w:val="decimal"/>
      <w:lvlText w:val="%4"/>
      <w:legacy w:legacy="1" w:legacySpace="0" w:legacyIndent="0"/>
      <w:lvlJc w:val="left"/>
      <w:rPr>
        <w:rFonts w:ascii="Tms Rmn" w:hAnsi="Tms Rmn" w:hint="default"/>
      </w:rPr>
    </w:lvl>
    <w:lvl w:ilvl="4">
      <w:numFmt w:val="decimal"/>
      <w:lvlText w:val="%5"/>
      <w:legacy w:legacy="1" w:legacySpace="0" w:legacyIndent="0"/>
      <w:lvlJc w:val="left"/>
      <w:rPr>
        <w:rFonts w:ascii="Tms Rmn" w:hAnsi="Tms Rmn" w:hint="default"/>
      </w:rPr>
    </w:lvl>
    <w:lvl w:ilvl="5">
      <w:numFmt w:val="decimal"/>
      <w:lvlText w:val="%6"/>
      <w:legacy w:legacy="1" w:legacySpace="0" w:legacyIndent="0"/>
      <w:lvlJc w:val="left"/>
      <w:rPr>
        <w:rFonts w:ascii="Tms Rmn" w:hAnsi="Tms Rmn" w:hint="default"/>
      </w:rPr>
    </w:lvl>
    <w:lvl w:ilvl="6">
      <w:numFmt w:val="decimal"/>
      <w:lvlText w:val="%7"/>
      <w:legacy w:legacy="1" w:legacySpace="0" w:legacyIndent="0"/>
      <w:lvlJc w:val="left"/>
      <w:rPr>
        <w:rFonts w:ascii="Tms Rmn" w:hAnsi="Tms Rmn" w:hint="default"/>
      </w:rPr>
    </w:lvl>
    <w:lvl w:ilvl="7">
      <w:numFmt w:val="decimal"/>
      <w:lvlText w:val="%8"/>
      <w:legacy w:legacy="1" w:legacySpace="0" w:legacyIndent="0"/>
      <w:lvlJc w:val="left"/>
      <w:rPr>
        <w:rFonts w:ascii="Tms Rmn" w:hAnsi="Tms Rmn" w:hint="default"/>
      </w:rPr>
    </w:lvl>
    <w:lvl w:ilvl="8">
      <w:numFmt w:val="decimal"/>
      <w:lvlText w:val="%9"/>
      <w:legacy w:legacy="1" w:legacySpace="0" w:legacyIndent="0"/>
      <w:lvlJc w:val="left"/>
      <w:rPr>
        <w:rFonts w:ascii="Tms Rmn" w:hAnsi="Tms Rmn" w:hint="default"/>
      </w:rPr>
    </w:lvl>
  </w:abstractNum>
  <w:abstractNum w:abstractNumId="11" w15:restartNumberingAfterBreak="0">
    <w:nsid w:val="FFFFFFFE"/>
    <w:multiLevelType w:val="singleLevel"/>
    <w:tmpl w:val="4F3865D4"/>
    <w:lvl w:ilvl="0">
      <w:numFmt w:val="decimal"/>
      <w:lvlText w:val="*"/>
      <w:lvlJc w:val="left"/>
    </w:lvl>
  </w:abstractNum>
  <w:abstractNum w:abstractNumId="12" w15:restartNumberingAfterBreak="0">
    <w:nsid w:val="02D55B6C"/>
    <w:multiLevelType w:val="singleLevel"/>
    <w:tmpl w:val="81EC9844"/>
    <w:lvl w:ilvl="0">
      <w:start w:val="1"/>
      <w:numFmt w:val="decimal"/>
      <w:lvlText w:val="%1."/>
      <w:legacy w:legacy="1" w:legacySpace="0" w:legacyIndent="227"/>
      <w:lvlJc w:val="left"/>
      <w:pPr>
        <w:ind w:left="227" w:hanging="227"/>
      </w:pPr>
    </w:lvl>
  </w:abstractNum>
  <w:abstractNum w:abstractNumId="13" w15:restartNumberingAfterBreak="0">
    <w:nsid w:val="053E4D3F"/>
    <w:multiLevelType w:val="singleLevel"/>
    <w:tmpl w:val="81EC9844"/>
    <w:lvl w:ilvl="0">
      <w:start w:val="1"/>
      <w:numFmt w:val="decimal"/>
      <w:lvlText w:val="%1."/>
      <w:legacy w:legacy="1" w:legacySpace="0" w:legacyIndent="227"/>
      <w:lvlJc w:val="left"/>
      <w:pPr>
        <w:ind w:left="227" w:hanging="227"/>
      </w:pPr>
    </w:lvl>
  </w:abstractNum>
  <w:abstractNum w:abstractNumId="14" w15:restartNumberingAfterBreak="0">
    <w:nsid w:val="05D43929"/>
    <w:multiLevelType w:val="hybridMultilevel"/>
    <w:tmpl w:val="E32E169C"/>
    <w:lvl w:ilvl="0" w:tplc="69C65DD4">
      <w:start w:val="1"/>
      <w:numFmt w:val="bullet"/>
      <w:pStyle w:val="dashitem"/>
      <w:lvlText w:val="─"/>
      <w:lvlJc w:val="left"/>
      <w:pPr>
        <w:tabs>
          <w:tab w:val="num" w:pos="454"/>
        </w:tabs>
        <w:ind w:left="454" w:hanging="227"/>
      </w:pPr>
      <w:rPr>
        <w:rFonts w:ascii="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0C7C2E30"/>
    <w:multiLevelType w:val="hybridMultilevel"/>
    <w:tmpl w:val="5D5E74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0E55254"/>
    <w:multiLevelType w:val="multilevel"/>
    <w:tmpl w:val="32DA4DBC"/>
    <w:lvl w:ilvl="0">
      <w:start w:val="1"/>
      <w:numFmt w:val="bullet"/>
      <w:lvlText w:val=""/>
      <w:lvlJc w:val="left"/>
      <w:pPr>
        <w:tabs>
          <w:tab w:val="num" w:pos="510"/>
        </w:tabs>
        <w:ind w:left="510" w:hanging="283"/>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11052F1B"/>
    <w:multiLevelType w:val="singleLevel"/>
    <w:tmpl w:val="81EC9844"/>
    <w:lvl w:ilvl="0">
      <w:start w:val="1"/>
      <w:numFmt w:val="decimal"/>
      <w:lvlText w:val="%1."/>
      <w:legacy w:legacy="1" w:legacySpace="0" w:legacyIndent="227"/>
      <w:lvlJc w:val="left"/>
      <w:pPr>
        <w:ind w:left="227" w:hanging="227"/>
      </w:pPr>
    </w:lvl>
  </w:abstractNum>
  <w:abstractNum w:abstractNumId="18" w15:restartNumberingAfterBreak="0">
    <w:nsid w:val="15917E03"/>
    <w:multiLevelType w:val="multilevel"/>
    <w:tmpl w:val="6EE0EBAA"/>
    <w:lvl w:ilvl="0">
      <w:start w:val="1"/>
      <w:numFmt w:val="decimal"/>
      <w:lvlText w:val="%1"/>
      <w:lvlJc w:val="left"/>
      <w:pPr>
        <w:tabs>
          <w:tab w:val="num" w:pos="454"/>
        </w:tabs>
        <w:ind w:left="567" w:hanging="567"/>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1751252D"/>
    <w:multiLevelType w:val="hybridMultilevel"/>
    <w:tmpl w:val="B02E4590"/>
    <w:lvl w:ilvl="0" w:tplc="E0943A4E">
      <w:start w:val="1"/>
      <w:numFmt w:val="decimal"/>
      <w:pStyle w:val="numbereditem"/>
      <w:lvlText w:val="%1."/>
      <w:lvlJc w:val="left"/>
      <w:pPr>
        <w:tabs>
          <w:tab w:val="num" w:pos="227"/>
        </w:tabs>
        <w:ind w:left="227" w:hanging="227"/>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0" w15:restartNumberingAfterBreak="0">
    <w:nsid w:val="19881F8B"/>
    <w:multiLevelType w:val="hybridMultilevel"/>
    <w:tmpl w:val="1CD67CEE"/>
    <w:lvl w:ilvl="0" w:tplc="79844764">
      <w:start w:val="1"/>
      <w:numFmt w:val="decimal"/>
      <w:lvlText w:val="[%1]"/>
      <w:lvlJc w:val="left"/>
      <w:pPr>
        <w:tabs>
          <w:tab w:val="num" w:pos="454"/>
        </w:tabs>
        <w:ind w:left="454" w:hanging="454"/>
      </w:pPr>
      <w:rPr>
        <w:rFonts w:hint="default"/>
        <w:b w:val="0"/>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1" w15:restartNumberingAfterBreak="0">
    <w:nsid w:val="1A590811"/>
    <w:multiLevelType w:val="multilevel"/>
    <w:tmpl w:val="514647BC"/>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2" w15:restartNumberingAfterBreak="0">
    <w:nsid w:val="1C0D4426"/>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1DAF76D9"/>
    <w:multiLevelType w:val="singleLevel"/>
    <w:tmpl w:val="81EC9844"/>
    <w:lvl w:ilvl="0">
      <w:start w:val="1"/>
      <w:numFmt w:val="decimal"/>
      <w:lvlText w:val="%1."/>
      <w:legacy w:legacy="1" w:legacySpace="0" w:legacyIndent="227"/>
      <w:lvlJc w:val="left"/>
      <w:pPr>
        <w:ind w:left="227" w:hanging="227"/>
      </w:pPr>
    </w:lvl>
  </w:abstractNum>
  <w:abstractNum w:abstractNumId="24" w15:restartNumberingAfterBreak="0">
    <w:nsid w:val="2B2603BC"/>
    <w:multiLevelType w:val="hybridMultilevel"/>
    <w:tmpl w:val="F120FB80"/>
    <w:lvl w:ilvl="0" w:tplc="1BD62FAA">
      <w:start w:val="1"/>
      <w:numFmt w:val="bullet"/>
      <w:lvlText w:val=""/>
      <w:lvlJc w:val="left"/>
      <w:pPr>
        <w:tabs>
          <w:tab w:val="num" w:pos="814"/>
        </w:tabs>
        <w:ind w:left="737" w:hanging="283"/>
      </w:pPr>
      <w:rPr>
        <w:rFonts w:ascii="Symbol" w:hAnsi="Symbol" w:hint="default"/>
      </w:rPr>
    </w:lvl>
    <w:lvl w:ilvl="1" w:tplc="7E68C14E">
      <w:start w:val="1"/>
      <w:numFmt w:val="bullet"/>
      <w:lvlText w:val=""/>
      <w:lvlJc w:val="left"/>
      <w:pPr>
        <w:tabs>
          <w:tab w:val="num" w:pos="1440"/>
        </w:tabs>
        <w:ind w:left="1364" w:hanging="284"/>
      </w:pPr>
      <w:rPr>
        <w:rFonts w:ascii="Symbol" w:hAnsi="Symbo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2D025C32"/>
    <w:multiLevelType w:val="hybridMultilevel"/>
    <w:tmpl w:val="D6DE813A"/>
    <w:lvl w:ilvl="0" w:tplc="5AA87014">
      <w:start w:val="1"/>
      <w:numFmt w:val="bullet"/>
      <w:lvlText w:val=""/>
      <w:lvlJc w:val="left"/>
      <w:pPr>
        <w:tabs>
          <w:tab w:val="num" w:pos="927"/>
        </w:tabs>
        <w:ind w:left="284" w:firstLine="283"/>
      </w:pPr>
      <w:rPr>
        <w:rFonts w:ascii="Symbol" w:hAnsi="Symbol" w:hint="default"/>
      </w:rPr>
    </w:lvl>
    <w:lvl w:ilvl="1" w:tplc="04070003" w:tentative="1">
      <w:start w:val="1"/>
      <w:numFmt w:val="bullet"/>
      <w:lvlText w:val="o"/>
      <w:lvlJc w:val="left"/>
      <w:pPr>
        <w:tabs>
          <w:tab w:val="num" w:pos="873"/>
        </w:tabs>
        <w:ind w:left="873" w:hanging="360"/>
      </w:pPr>
      <w:rPr>
        <w:rFonts w:ascii="Courier New" w:hAnsi="Courier New" w:hint="default"/>
      </w:rPr>
    </w:lvl>
    <w:lvl w:ilvl="2" w:tplc="04070005" w:tentative="1">
      <w:start w:val="1"/>
      <w:numFmt w:val="bullet"/>
      <w:lvlText w:val=""/>
      <w:lvlJc w:val="left"/>
      <w:pPr>
        <w:tabs>
          <w:tab w:val="num" w:pos="1593"/>
        </w:tabs>
        <w:ind w:left="1593" w:hanging="360"/>
      </w:pPr>
      <w:rPr>
        <w:rFonts w:ascii="Wingdings" w:hAnsi="Wingdings" w:hint="default"/>
      </w:rPr>
    </w:lvl>
    <w:lvl w:ilvl="3" w:tplc="04070001" w:tentative="1">
      <w:start w:val="1"/>
      <w:numFmt w:val="bullet"/>
      <w:lvlText w:val=""/>
      <w:lvlJc w:val="left"/>
      <w:pPr>
        <w:tabs>
          <w:tab w:val="num" w:pos="2313"/>
        </w:tabs>
        <w:ind w:left="2313" w:hanging="360"/>
      </w:pPr>
      <w:rPr>
        <w:rFonts w:ascii="Symbol" w:hAnsi="Symbol" w:hint="default"/>
      </w:rPr>
    </w:lvl>
    <w:lvl w:ilvl="4" w:tplc="04070003" w:tentative="1">
      <w:start w:val="1"/>
      <w:numFmt w:val="bullet"/>
      <w:lvlText w:val="o"/>
      <w:lvlJc w:val="left"/>
      <w:pPr>
        <w:tabs>
          <w:tab w:val="num" w:pos="3033"/>
        </w:tabs>
        <w:ind w:left="3033" w:hanging="360"/>
      </w:pPr>
      <w:rPr>
        <w:rFonts w:ascii="Courier New" w:hAnsi="Courier New" w:hint="default"/>
      </w:rPr>
    </w:lvl>
    <w:lvl w:ilvl="5" w:tplc="04070005" w:tentative="1">
      <w:start w:val="1"/>
      <w:numFmt w:val="bullet"/>
      <w:lvlText w:val=""/>
      <w:lvlJc w:val="left"/>
      <w:pPr>
        <w:tabs>
          <w:tab w:val="num" w:pos="3753"/>
        </w:tabs>
        <w:ind w:left="3753" w:hanging="360"/>
      </w:pPr>
      <w:rPr>
        <w:rFonts w:ascii="Wingdings" w:hAnsi="Wingdings" w:hint="default"/>
      </w:rPr>
    </w:lvl>
    <w:lvl w:ilvl="6" w:tplc="04070001" w:tentative="1">
      <w:start w:val="1"/>
      <w:numFmt w:val="bullet"/>
      <w:lvlText w:val=""/>
      <w:lvlJc w:val="left"/>
      <w:pPr>
        <w:tabs>
          <w:tab w:val="num" w:pos="4473"/>
        </w:tabs>
        <w:ind w:left="4473" w:hanging="360"/>
      </w:pPr>
      <w:rPr>
        <w:rFonts w:ascii="Symbol" w:hAnsi="Symbol" w:hint="default"/>
      </w:rPr>
    </w:lvl>
    <w:lvl w:ilvl="7" w:tplc="04070003" w:tentative="1">
      <w:start w:val="1"/>
      <w:numFmt w:val="bullet"/>
      <w:lvlText w:val="o"/>
      <w:lvlJc w:val="left"/>
      <w:pPr>
        <w:tabs>
          <w:tab w:val="num" w:pos="5193"/>
        </w:tabs>
        <w:ind w:left="5193" w:hanging="360"/>
      </w:pPr>
      <w:rPr>
        <w:rFonts w:ascii="Courier New" w:hAnsi="Courier New" w:hint="default"/>
      </w:rPr>
    </w:lvl>
    <w:lvl w:ilvl="8" w:tplc="04070005" w:tentative="1">
      <w:start w:val="1"/>
      <w:numFmt w:val="bullet"/>
      <w:lvlText w:val=""/>
      <w:lvlJc w:val="left"/>
      <w:pPr>
        <w:tabs>
          <w:tab w:val="num" w:pos="5913"/>
        </w:tabs>
        <w:ind w:left="5913" w:hanging="360"/>
      </w:pPr>
      <w:rPr>
        <w:rFonts w:ascii="Wingdings" w:hAnsi="Wingdings" w:hint="default"/>
      </w:rPr>
    </w:lvl>
  </w:abstractNum>
  <w:abstractNum w:abstractNumId="26" w15:restartNumberingAfterBreak="0">
    <w:nsid w:val="30E9101C"/>
    <w:multiLevelType w:val="multilevel"/>
    <w:tmpl w:val="3E54AE94"/>
    <w:lvl w:ilvl="0">
      <w:start w:val="1"/>
      <w:numFmt w:val="decimal"/>
      <w:lvlText w:val="%1"/>
      <w:lvlJc w:val="left"/>
      <w:pPr>
        <w:tabs>
          <w:tab w:val="num" w:pos="454"/>
        </w:tabs>
        <w:ind w:left="510" w:hanging="510"/>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7" w15:restartNumberingAfterBreak="0">
    <w:nsid w:val="3253626E"/>
    <w:multiLevelType w:val="hybridMultilevel"/>
    <w:tmpl w:val="5BEC08B2"/>
    <w:lvl w:ilvl="0" w:tplc="F872F310">
      <w:start w:val="1"/>
      <w:numFmt w:val="bullet"/>
      <w:pStyle w:val="bulletitem"/>
      <w:lvlText w:val=""/>
      <w:lvlJc w:val="left"/>
      <w:pPr>
        <w:tabs>
          <w:tab w:val="num" w:pos="227"/>
        </w:tabs>
        <w:ind w:left="227" w:hanging="227"/>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1C72B9E"/>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 w15:restartNumberingAfterBreak="0">
    <w:nsid w:val="45D77DF3"/>
    <w:multiLevelType w:val="hybridMultilevel"/>
    <w:tmpl w:val="412240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B42760C"/>
    <w:multiLevelType w:val="multilevel"/>
    <w:tmpl w:val="A17A625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1" w15:restartNumberingAfterBreak="0">
    <w:nsid w:val="4F995541"/>
    <w:multiLevelType w:val="singleLevel"/>
    <w:tmpl w:val="81EC9844"/>
    <w:lvl w:ilvl="0">
      <w:start w:val="1"/>
      <w:numFmt w:val="decimal"/>
      <w:lvlText w:val="%1."/>
      <w:legacy w:legacy="1" w:legacySpace="0" w:legacyIndent="227"/>
      <w:lvlJc w:val="left"/>
      <w:pPr>
        <w:ind w:left="227" w:hanging="227"/>
      </w:pPr>
    </w:lvl>
  </w:abstractNum>
  <w:abstractNum w:abstractNumId="32" w15:restartNumberingAfterBreak="0">
    <w:nsid w:val="514513F3"/>
    <w:multiLevelType w:val="multilevel"/>
    <w:tmpl w:val="6EE0EBAA"/>
    <w:lvl w:ilvl="0">
      <w:start w:val="1"/>
      <w:numFmt w:val="decimal"/>
      <w:pStyle w:val="Ttulo1"/>
      <w:lvlText w:val="%1"/>
      <w:lvlJc w:val="left"/>
      <w:pPr>
        <w:tabs>
          <w:tab w:val="num" w:pos="454"/>
        </w:tabs>
        <w:ind w:left="567" w:hanging="567"/>
      </w:pPr>
      <w:rPr>
        <w:rFonts w:hint="default"/>
      </w:rPr>
    </w:lvl>
    <w:lvl w:ilvl="1">
      <w:start w:val="1"/>
      <w:numFmt w:val="decimal"/>
      <w:pStyle w:val="Ttulo2"/>
      <w:lvlText w:val="%1.%2"/>
      <w:lvlJc w:val="left"/>
      <w:pPr>
        <w:tabs>
          <w:tab w:val="num" w:pos="567"/>
        </w:tabs>
        <w:ind w:left="567" w:hanging="567"/>
      </w:pPr>
      <w:rPr>
        <w:rFonts w:hint="default"/>
      </w:rPr>
    </w:lvl>
    <w:lvl w:ilvl="2">
      <w:start w:val="1"/>
      <w:numFmt w:val="decimal"/>
      <w:pStyle w:val="Ttulo3"/>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33" w15:restartNumberingAfterBreak="0">
    <w:nsid w:val="518B12A0"/>
    <w:multiLevelType w:val="singleLevel"/>
    <w:tmpl w:val="81EC9844"/>
    <w:lvl w:ilvl="0">
      <w:start w:val="1"/>
      <w:numFmt w:val="decimal"/>
      <w:lvlText w:val="%1."/>
      <w:legacy w:legacy="1" w:legacySpace="0" w:legacyIndent="227"/>
      <w:lvlJc w:val="left"/>
      <w:pPr>
        <w:ind w:left="227" w:hanging="227"/>
      </w:pPr>
    </w:lvl>
  </w:abstractNum>
  <w:abstractNum w:abstractNumId="34" w15:restartNumberingAfterBreak="0">
    <w:nsid w:val="53F769B9"/>
    <w:multiLevelType w:val="multilevel"/>
    <w:tmpl w:val="7F3A4E14"/>
    <w:lvl w:ilvl="0">
      <w:start w:val="1"/>
      <w:numFmt w:val="decimal"/>
      <w:lvlText w:val="%1"/>
      <w:lvlJc w:val="left"/>
      <w:pPr>
        <w:tabs>
          <w:tab w:val="num" w:pos="454"/>
        </w:tabs>
        <w:ind w:left="510" w:hanging="510"/>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15:restartNumberingAfterBreak="0">
    <w:nsid w:val="64C35ACD"/>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6F461BA7"/>
    <w:multiLevelType w:val="multilevel"/>
    <w:tmpl w:val="E020E450"/>
    <w:lvl w:ilvl="0">
      <w:start w:val="1"/>
      <w:numFmt w:val="bullet"/>
      <w:lvlText w:val=""/>
      <w:lvlJc w:val="left"/>
      <w:pPr>
        <w:tabs>
          <w:tab w:val="num" w:pos="510"/>
        </w:tabs>
        <w:ind w:left="510" w:hanging="283"/>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6FFA0C55"/>
    <w:multiLevelType w:val="hybridMultilevel"/>
    <w:tmpl w:val="709C8C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44378E6"/>
    <w:multiLevelType w:val="hybridMultilevel"/>
    <w:tmpl w:val="DE04CA64"/>
    <w:lvl w:ilvl="0" w:tplc="D1DA2662">
      <w:start w:val="1"/>
      <w:numFmt w:val="bullet"/>
      <w:lvlText w:val="•"/>
      <w:lvlJc w:val="left"/>
      <w:pPr>
        <w:tabs>
          <w:tab w:val="num" w:pos="720"/>
        </w:tabs>
        <w:ind w:left="720" w:hanging="360"/>
      </w:pPr>
      <w:rPr>
        <w:rFonts w:ascii="Arial" w:hAnsi="Arial" w:hint="default"/>
      </w:rPr>
    </w:lvl>
    <w:lvl w:ilvl="1" w:tplc="F560F336" w:tentative="1">
      <w:start w:val="1"/>
      <w:numFmt w:val="bullet"/>
      <w:lvlText w:val="•"/>
      <w:lvlJc w:val="left"/>
      <w:pPr>
        <w:tabs>
          <w:tab w:val="num" w:pos="1440"/>
        </w:tabs>
        <w:ind w:left="1440" w:hanging="360"/>
      </w:pPr>
      <w:rPr>
        <w:rFonts w:ascii="Arial" w:hAnsi="Arial" w:hint="default"/>
      </w:rPr>
    </w:lvl>
    <w:lvl w:ilvl="2" w:tplc="1270C952" w:tentative="1">
      <w:start w:val="1"/>
      <w:numFmt w:val="bullet"/>
      <w:lvlText w:val="•"/>
      <w:lvlJc w:val="left"/>
      <w:pPr>
        <w:tabs>
          <w:tab w:val="num" w:pos="2160"/>
        </w:tabs>
        <w:ind w:left="2160" w:hanging="360"/>
      </w:pPr>
      <w:rPr>
        <w:rFonts w:ascii="Arial" w:hAnsi="Arial" w:hint="default"/>
      </w:rPr>
    </w:lvl>
    <w:lvl w:ilvl="3" w:tplc="CD5E25FE" w:tentative="1">
      <w:start w:val="1"/>
      <w:numFmt w:val="bullet"/>
      <w:lvlText w:val="•"/>
      <w:lvlJc w:val="left"/>
      <w:pPr>
        <w:tabs>
          <w:tab w:val="num" w:pos="2880"/>
        </w:tabs>
        <w:ind w:left="2880" w:hanging="360"/>
      </w:pPr>
      <w:rPr>
        <w:rFonts w:ascii="Arial" w:hAnsi="Arial" w:hint="default"/>
      </w:rPr>
    </w:lvl>
    <w:lvl w:ilvl="4" w:tplc="0452245E" w:tentative="1">
      <w:start w:val="1"/>
      <w:numFmt w:val="bullet"/>
      <w:lvlText w:val="•"/>
      <w:lvlJc w:val="left"/>
      <w:pPr>
        <w:tabs>
          <w:tab w:val="num" w:pos="3600"/>
        </w:tabs>
        <w:ind w:left="3600" w:hanging="360"/>
      </w:pPr>
      <w:rPr>
        <w:rFonts w:ascii="Arial" w:hAnsi="Arial" w:hint="default"/>
      </w:rPr>
    </w:lvl>
    <w:lvl w:ilvl="5" w:tplc="8BEEC588" w:tentative="1">
      <w:start w:val="1"/>
      <w:numFmt w:val="bullet"/>
      <w:lvlText w:val="•"/>
      <w:lvlJc w:val="left"/>
      <w:pPr>
        <w:tabs>
          <w:tab w:val="num" w:pos="4320"/>
        </w:tabs>
        <w:ind w:left="4320" w:hanging="360"/>
      </w:pPr>
      <w:rPr>
        <w:rFonts w:ascii="Arial" w:hAnsi="Arial" w:hint="default"/>
      </w:rPr>
    </w:lvl>
    <w:lvl w:ilvl="6" w:tplc="9B1E617E" w:tentative="1">
      <w:start w:val="1"/>
      <w:numFmt w:val="bullet"/>
      <w:lvlText w:val="•"/>
      <w:lvlJc w:val="left"/>
      <w:pPr>
        <w:tabs>
          <w:tab w:val="num" w:pos="5040"/>
        </w:tabs>
        <w:ind w:left="5040" w:hanging="360"/>
      </w:pPr>
      <w:rPr>
        <w:rFonts w:ascii="Arial" w:hAnsi="Arial" w:hint="default"/>
      </w:rPr>
    </w:lvl>
    <w:lvl w:ilvl="7" w:tplc="ADBC9B84" w:tentative="1">
      <w:start w:val="1"/>
      <w:numFmt w:val="bullet"/>
      <w:lvlText w:val="•"/>
      <w:lvlJc w:val="left"/>
      <w:pPr>
        <w:tabs>
          <w:tab w:val="num" w:pos="5760"/>
        </w:tabs>
        <w:ind w:left="5760" w:hanging="360"/>
      </w:pPr>
      <w:rPr>
        <w:rFonts w:ascii="Arial" w:hAnsi="Arial" w:hint="default"/>
      </w:rPr>
    </w:lvl>
    <w:lvl w:ilvl="8" w:tplc="850C916E" w:tentative="1">
      <w:start w:val="1"/>
      <w:numFmt w:val="bullet"/>
      <w:lvlText w:val="•"/>
      <w:lvlJc w:val="left"/>
      <w:pPr>
        <w:tabs>
          <w:tab w:val="num" w:pos="6480"/>
        </w:tabs>
        <w:ind w:left="6480" w:hanging="360"/>
      </w:pPr>
      <w:rPr>
        <w:rFonts w:ascii="Arial" w:hAnsi="Arial" w:hint="default"/>
      </w:rPr>
    </w:lvl>
  </w:abstractNum>
  <w:num w:numId="1" w16cid:durableId="1589079088">
    <w:abstractNumId w:val="11"/>
    <w:lvlOverride w:ilvl="0">
      <w:lvl w:ilvl="0">
        <w:start w:val="1"/>
        <w:numFmt w:val="bullet"/>
        <w:lvlText w:val=""/>
        <w:legacy w:legacy="1" w:legacySpace="0" w:legacyIndent="227"/>
        <w:lvlJc w:val="left"/>
        <w:pPr>
          <w:ind w:left="227" w:hanging="227"/>
        </w:pPr>
        <w:rPr>
          <w:rFonts w:ascii="Symbol" w:hAnsi="Symbol" w:hint="default"/>
        </w:rPr>
      </w:lvl>
    </w:lvlOverride>
  </w:num>
  <w:num w:numId="2" w16cid:durableId="1610770344">
    <w:abstractNumId w:val="25"/>
  </w:num>
  <w:num w:numId="3" w16cid:durableId="1422414946">
    <w:abstractNumId w:val="24"/>
  </w:num>
  <w:num w:numId="4" w16cid:durableId="1460107734">
    <w:abstractNumId w:val="20"/>
  </w:num>
  <w:num w:numId="5" w16cid:durableId="1676608286">
    <w:abstractNumId w:val="30"/>
  </w:num>
  <w:num w:numId="6" w16cid:durableId="1955483448">
    <w:abstractNumId w:val="30"/>
  </w:num>
  <w:num w:numId="7" w16cid:durableId="244917176">
    <w:abstractNumId w:val="30"/>
  </w:num>
  <w:num w:numId="8" w16cid:durableId="1936015476">
    <w:abstractNumId w:val="10"/>
  </w:num>
  <w:num w:numId="9" w16cid:durableId="1892691430">
    <w:abstractNumId w:val="10"/>
  </w:num>
  <w:num w:numId="10" w16cid:durableId="309409698">
    <w:abstractNumId w:val="10"/>
  </w:num>
  <w:num w:numId="11" w16cid:durableId="984119172">
    <w:abstractNumId w:val="10"/>
  </w:num>
  <w:num w:numId="12" w16cid:durableId="665867542">
    <w:abstractNumId w:val="10"/>
  </w:num>
  <w:num w:numId="13" w16cid:durableId="1158963998">
    <w:abstractNumId w:val="10"/>
  </w:num>
  <w:num w:numId="14" w16cid:durableId="216278847">
    <w:abstractNumId w:val="11"/>
    <w:lvlOverride w:ilvl="0">
      <w:lvl w:ilvl="0">
        <w:start w:val="1"/>
        <w:numFmt w:val="bullet"/>
        <w:lvlText w:val=""/>
        <w:legacy w:legacy="1" w:legacySpace="0" w:legacyIndent="227"/>
        <w:lvlJc w:val="left"/>
        <w:pPr>
          <w:ind w:left="227" w:hanging="227"/>
        </w:pPr>
        <w:rPr>
          <w:rFonts w:ascii="Arial" w:hAnsi="Arial" w:cs="Arial" w:hint="default"/>
        </w:rPr>
      </w:lvl>
    </w:lvlOverride>
  </w:num>
  <w:num w:numId="15" w16cid:durableId="173762763">
    <w:abstractNumId w:val="9"/>
  </w:num>
  <w:num w:numId="16" w16cid:durableId="676881682">
    <w:abstractNumId w:val="7"/>
  </w:num>
  <w:num w:numId="17" w16cid:durableId="1190991558">
    <w:abstractNumId w:val="6"/>
  </w:num>
  <w:num w:numId="18" w16cid:durableId="195314436">
    <w:abstractNumId w:val="5"/>
  </w:num>
  <w:num w:numId="19" w16cid:durableId="909773615">
    <w:abstractNumId w:val="4"/>
  </w:num>
  <w:num w:numId="20" w16cid:durableId="758217798">
    <w:abstractNumId w:val="8"/>
  </w:num>
  <w:num w:numId="21" w16cid:durableId="2094663600">
    <w:abstractNumId w:val="3"/>
  </w:num>
  <w:num w:numId="22" w16cid:durableId="183524832">
    <w:abstractNumId w:val="2"/>
  </w:num>
  <w:num w:numId="23" w16cid:durableId="1090009488">
    <w:abstractNumId w:val="1"/>
  </w:num>
  <w:num w:numId="24" w16cid:durableId="673141990">
    <w:abstractNumId w:val="0"/>
  </w:num>
  <w:num w:numId="25" w16cid:durableId="1270090057">
    <w:abstractNumId w:val="28"/>
  </w:num>
  <w:num w:numId="26" w16cid:durableId="986477376">
    <w:abstractNumId w:val="11"/>
    <w:lvlOverride w:ilvl="0">
      <w:lvl w:ilvl="0">
        <w:start w:val="1"/>
        <w:numFmt w:val="bullet"/>
        <w:lvlText w:val=""/>
        <w:legacy w:legacy="1" w:legacySpace="0" w:legacyIndent="227"/>
        <w:lvlJc w:val="left"/>
        <w:pPr>
          <w:ind w:left="227" w:hanging="227"/>
        </w:pPr>
        <w:rPr>
          <w:rFonts w:ascii="Arial" w:hAnsi="Arial" w:cs="Arial" w:hint="default"/>
        </w:rPr>
      </w:lvl>
    </w:lvlOverride>
  </w:num>
  <w:num w:numId="27" w16cid:durableId="43332462">
    <w:abstractNumId w:val="14"/>
  </w:num>
  <w:num w:numId="28" w16cid:durableId="1824421035">
    <w:abstractNumId w:val="31"/>
  </w:num>
  <w:num w:numId="29" w16cid:durableId="1137408769">
    <w:abstractNumId w:val="16"/>
  </w:num>
  <w:num w:numId="30" w16cid:durableId="724529789">
    <w:abstractNumId w:val="27"/>
  </w:num>
  <w:num w:numId="31" w16cid:durableId="752434601">
    <w:abstractNumId w:val="36"/>
  </w:num>
  <w:num w:numId="32" w16cid:durableId="917785646">
    <w:abstractNumId w:val="17"/>
  </w:num>
  <w:num w:numId="33" w16cid:durableId="1242523880">
    <w:abstractNumId w:val="13"/>
  </w:num>
  <w:num w:numId="34" w16cid:durableId="256329309">
    <w:abstractNumId w:val="12"/>
  </w:num>
  <w:num w:numId="35" w16cid:durableId="805854051">
    <w:abstractNumId w:val="23"/>
  </w:num>
  <w:num w:numId="36" w16cid:durableId="619189255">
    <w:abstractNumId w:val="33"/>
  </w:num>
  <w:num w:numId="37" w16cid:durableId="697438028">
    <w:abstractNumId w:val="19"/>
  </w:num>
  <w:num w:numId="38" w16cid:durableId="1743066885">
    <w:abstractNumId w:val="32"/>
  </w:num>
  <w:num w:numId="39" w16cid:durableId="376517412">
    <w:abstractNumId w:val="22"/>
  </w:num>
  <w:num w:numId="40" w16cid:durableId="1096943130">
    <w:abstractNumId w:val="35"/>
  </w:num>
  <w:num w:numId="41" w16cid:durableId="805706334">
    <w:abstractNumId w:val="21"/>
  </w:num>
  <w:num w:numId="42" w16cid:durableId="503515442">
    <w:abstractNumId w:val="26"/>
  </w:num>
  <w:num w:numId="43" w16cid:durableId="1797210382">
    <w:abstractNumId w:val="34"/>
  </w:num>
  <w:num w:numId="44" w16cid:durableId="1147866492">
    <w:abstractNumId w:val="18"/>
  </w:num>
  <w:num w:numId="45" w16cid:durableId="1449008553">
    <w:abstractNumId w:val="15"/>
  </w:num>
  <w:num w:numId="46" w16cid:durableId="231427768">
    <w:abstractNumId w:val="27"/>
  </w:num>
  <w:num w:numId="47" w16cid:durableId="530730062">
    <w:abstractNumId w:val="38"/>
  </w:num>
  <w:num w:numId="48" w16cid:durableId="802307557">
    <w:abstractNumId w:val="29"/>
  </w:num>
  <w:num w:numId="49" w16cid:durableId="1380327084">
    <w:abstractNumId w:val="37"/>
  </w:num>
  <w:num w:numId="50" w16cid:durableId="400640198">
    <w:abstractNumId w:val="27"/>
  </w: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2"/>
  <w:proofState w:spelling="clean" w:grammar="clean"/>
  <w:attachedTemplate r:id="rId1"/>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evenAndOddHeaders/>
  <w:drawingGridHorizontalSpacing w:val="10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00C3C"/>
    <w:rsid w:val="0000056A"/>
    <w:rsid w:val="00001D94"/>
    <w:rsid w:val="000058CD"/>
    <w:rsid w:val="00006405"/>
    <w:rsid w:val="00007F40"/>
    <w:rsid w:val="00011C8D"/>
    <w:rsid w:val="00015441"/>
    <w:rsid w:val="00025D8F"/>
    <w:rsid w:val="000309B7"/>
    <w:rsid w:val="00030E3E"/>
    <w:rsid w:val="0003135A"/>
    <w:rsid w:val="00034555"/>
    <w:rsid w:val="00040402"/>
    <w:rsid w:val="0004696A"/>
    <w:rsid w:val="00053018"/>
    <w:rsid w:val="0005696A"/>
    <w:rsid w:val="000569E7"/>
    <w:rsid w:val="00067568"/>
    <w:rsid w:val="000740BE"/>
    <w:rsid w:val="0007498B"/>
    <w:rsid w:val="0008374A"/>
    <w:rsid w:val="00090710"/>
    <w:rsid w:val="00090731"/>
    <w:rsid w:val="000927C5"/>
    <w:rsid w:val="00092FA6"/>
    <w:rsid w:val="000934BA"/>
    <w:rsid w:val="00094656"/>
    <w:rsid w:val="000A2E55"/>
    <w:rsid w:val="000B1E82"/>
    <w:rsid w:val="000B2266"/>
    <w:rsid w:val="000B7E4C"/>
    <w:rsid w:val="000C006D"/>
    <w:rsid w:val="000C04F0"/>
    <w:rsid w:val="000C4C8F"/>
    <w:rsid w:val="000D033E"/>
    <w:rsid w:val="000D16FA"/>
    <w:rsid w:val="000D1C00"/>
    <w:rsid w:val="000D3597"/>
    <w:rsid w:val="000D6D27"/>
    <w:rsid w:val="000E071F"/>
    <w:rsid w:val="000F0DC5"/>
    <w:rsid w:val="000F4747"/>
    <w:rsid w:val="000F782C"/>
    <w:rsid w:val="00117CC9"/>
    <w:rsid w:val="00120D79"/>
    <w:rsid w:val="00124D96"/>
    <w:rsid w:val="0013193E"/>
    <w:rsid w:val="001362F0"/>
    <w:rsid w:val="0013666A"/>
    <w:rsid w:val="00145AF7"/>
    <w:rsid w:val="00162CC8"/>
    <w:rsid w:val="00163AF4"/>
    <w:rsid w:val="00164D7E"/>
    <w:rsid w:val="0016678D"/>
    <w:rsid w:val="00172752"/>
    <w:rsid w:val="00172A1B"/>
    <w:rsid w:val="0018408E"/>
    <w:rsid w:val="00185973"/>
    <w:rsid w:val="00187D64"/>
    <w:rsid w:val="00187E43"/>
    <w:rsid w:val="00190935"/>
    <w:rsid w:val="00197686"/>
    <w:rsid w:val="001A0E09"/>
    <w:rsid w:val="001B255B"/>
    <w:rsid w:val="001B4547"/>
    <w:rsid w:val="001B4A7C"/>
    <w:rsid w:val="001D3E27"/>
    <w:rsid w:val="001D53EB"/>
    <w:rsid w:val="001E21AD"/>
    <w:rsid w:val="001F45CE"/>
    <w:rsid w:val="001F5439"/>
    <w:rsid w:val="0020457A"/>
    <w:rsid w:val="00204E89"/>
    <w:rsid w:val="00210248"/>
    <w:rsid w:val="00210DB8"/>
    <w:rsid w:val="0021134D"/>
    <w:rsid w:val="00213A7D"/>
    <w:rsid w:val="00214AC2"/>
    <w:rsid w:val="002224E1"/>
    <w:rsid w:val="00226E54"/>
    <w:rsid w:val="00227960"/>
    <w:rsid w:val="0023086D"/>
    <w:rsid w:val="00230C00"/>
    <w:rsid w:val="0023104F"/>
    <w:rsid w:val="00231803"/>
    <w:rsid w:val="002354AE"/>
    <w:rsid w:val="0024075B"/>
    <w:rsid w:val="00240D33"/>
    <w:rsid w:val="0024174C"/>
    <w:rsid w:val="0024529B"/>
    <w:rsid w:val="002542EE"/>
    <w:rsid w:val="002639D9"/>
    <w:rsid w:val="00264407"/>
    <w:rsid w:val="00270386"/>
    <w:rsid w:val="0027411A"/>
    <w:rsid w:val="0027506C"/>
    <w:rsid w:val="00281FDA"/>
    <w:rsid w:val="002823FC"/>
    <w:rsid w:val="00293043"/>
    <w:rsid w:val="002974C4"/>
    <w:rsid w:val="002A0162"/>
    <w:rsid w:val="002A4602"/>
    <w:rsid w:val="002A4A69"/>
    <w:rsid w:val="002A56B5"/>
    <w:rsid w:val="002B406E"/>
    <w:rsid w:val="002B53C3"/>
    <w:rsid w:val="002B66F5"/>
    <w:rsid w:val="002B7863"/>
    <w:rsid w:val="002C110C"/>
    <w:rsid w:val="002D34CD"/>
    <w:rsid w:val="002E323E"/>
    <w:rsid w:val="002E36AF"/>
    <w:rsid w:val="002E5AD3"/>
    <w:rsid w:val="002E6BA4"/>
    <w:rsid w:val="002F3CD1"/>
    <w:rsid w:val="002F3D2A"/>
    <w:rsid w:val="00302DE4"/>
    <w:rsid w:val="00305345"/>
    <w:rsid w:val="00307282"/>
    <w:rsid w:val="00307D1B"/>
    <w:rsid w:val="0031466D"/>
    <w:rsid w:val="00316E8F"/>
    <w:rsid w:val="0032462A"/>
    <w:rsid w:val="00330F5E"/>
    <w:rsid w:val="00334C04"/>
    <w:rsid w:val="00341AEA"/>
    <w:rsid w:val="00341F67"/>
    <w:rsid w:val="0035112D"/>
    <w:rsid w:val="003606CA"/>
    <w:rsid w:val="0036104B"/>
    <w:rsid w:val="00362269"/>
    <w:rsid w:val="003633D4"/>
    <w:rsid w:val="003655E1"/>
    <w:rsid w:val="00371063"/>
    <w:rsid w:val="00372CA7"/>
    <w:rsid w:val="00376180"/>
    <w:rsid w:val="00377276"/>
    <w:rsid w:val="00377424"/>
    <w:rsid w:val="00394942"/>
    <w:rsid w:val="003949F3"/>
    <w:rsid w:val="003A3A01"/>
    <w:rsid w:val="003B0216"/>
    <w:rsid w:val="003B13D1"/>
    <w:rsid w:val="003B2F07"/>
    <w:rsid w:val="003B33F7"/>
    <w:rsid w:val="003B35BB"/>
    <w:rsid w:val="003B7599"/>
    <w:rsid w:val="003C1A34"/>
    <w:rsid w:val="003C4911"/>
    <w:rsid w:val="003C5BCA"/>
    <w:rsid w:val="003D6DAC"/>
    <w:rsid w:val="003E2A5E"/>
    <w:rsid w:val="003E3032"/>
    <w:rsid w:val="003E5997"/>
    <w:rsid w:val="003E5A23"/>
    <w:rsid w:val="003F185F"/>
    <w:rsid w:val="003F1DCF"/>
    <w:rsid w:val="003F4765"/>
    <w:rsid w:val="003F65A6"/>
    <w:rsid w:val="00414563"/>
    <w:rsid w:val="0041626B"/>
    <w:rsid w:val="00423551"/>
    <w:rsid w:val="00423F1B"/>
    <w:rsid w:val="00426C62"/>
    <w:rsid w:val="0042772B"/>
    <w:rsid w:val="00433441"/>
    <w:rsid w:val="00435214"/>
    <w:rsid w:val="00435D07"/>
    <w:rsid w:val="00436948"/>
    <w:rsid w:val="0043737C"/>
    <w:rsid w:val="00442A6C"/>
    <w:rsid w:val="004435BA"/>
    <w:rsid w:val="00444190"/>
    <w:rsid w:val="00453C76"/>
    <w:rsid w:val="00454DD4"/>
    <w:rsid w:val="00456287"/>
    <w:rsid w:val="004705AF"/>
    <w:rsid w:val="00471B63"/>
    <w:rsid w:val="0047305E"/>
    <w:rsid w:val="00473617"/>
    <w:rsid w:val="00476386"/>
    <w:rsid w:val="00477F90"/>
    <w:rsid w:val="00484DD3"/>
    <w:rsid w:val="00486D71"/>
    <w:rsid w:val="004918B5"/>
    <w:rsid w:val="004956C3"/>
    <w:rsid w:val="00495761"/>
    <w:rsid w:val="00497AD6"/>
    <w:rsid w:val="004A65D2"/>
    <w:rsid w:val="004C20E7"/>
    <w:rsid w:val="004C2656"/>
    <w:rsid w:val="004C2812"/>
    <w:rsid w:val="004D189F"/>
    <w:rsid w:val="004D49E8"/>
    <w:rsid w:val="004D4E83"/>
    <w:rsid w:val="004D6665"/>
    <w:rsid w:val="004E0C9D"/>
    <w:rsid w:val="004F16B4"/>
    <w:rsid w:val="00500895"/>
    <w:rsid w:val="005010B4"/>
    <w:rsid w:val="00501B8C"/>
    <w:rsid w:val="0050369B"/>
    <w:rsid w:val="00504743"/>
    <w:rsid w:val="0050621E"/>
    <w:rsid w:val="00511908"/>
    <w:rsid w:val="00512421"/>
    <w:rsid w:val="00514982"/>
    <w:rsid w:val="0051658B"/>
    <w:rsid w:val="00521BC8"/>
    <w:rsid w:val="0052599C"/>
    <w:rsid w:val="00531942"/>
    <w:rsid w:val="00531E07"/>
    <w:rsid w:val="00532F36"/>
    <w:rsid w:val="00535B82"/>
    <w:rsid w:val="0053704E"/>
    <w:rsid w:val="0053710F"/>
    <w:rsid w:val="005377DD"/>
    <w:rsid w:val="00564ED7"/>
    <w:rsid w:val="00571515"/>
    <w:rsid w:val="005808CB"/>
    <w:rsid w:val="005846B6"/>
    <w:rsid w:val="00584C20"/>
    <w:rsid w:val="00585F4C"/>
    <w:rsid w:val="00591219"/>
    <w:rsid w:val="005A2E29"/>
    <w:rsid w:val="005A5F79"/>
    <w:rsid w:val="005B0EF1"/>
    <w:rsid w:val="005B32AC"/>
    <w:rsid w:val="005B3D33"/>
    <w:rsid w:val="005C70FB"/>
    <w:rsid w:val="005D172C"/>
    <w:rsid w:val="005E026B"/>
    <w:rsid w:val="005E18E0"/>
    <w:rsid w:val="005E316C"/>
    <w:rsid w:val="005F4EB3"/>
    <w:rsid w:val="005F793A"/>
    <w:rsid w:val="00604BA8"/>
    <w:rsid w:val="006052E9"/>
    <w:rsid w:val="0061213E"/>
    <w:rsid w:val="0061522E"/>
    <w:rsid w:val="00616817"/>
    <w:rsid w:val="00620E18"/>
    <w:rsid w:val="006258CB"/>
    <w:rsid w:val="00625C35"/>
    <w:rsid w:val="00625C3B"/>
    <w:rsid w:val="00627D6A"/>
    <w:rsid w:val="00631A9F"/>
    <w:rsid w:val="00637DFE"/>
    <w:rsid w:val="00642073"/>
    <w:rsid w:val="006469B8"/>
    <w:rsid w:val="00650CEB"/>
    <w:rsid w:val="00653A1B"/>
    <w:rsid w:val="0065405B"/>
    <w:rsid w:val="00656155"/>
    <w:rsid w:val="0066250C"/>
    <w:rsid w:val="006713CE"/>
    <w:rsid w:val="00673747"/>
    <w:rsid w:val="00674B8D"/>
    <w:rsid w:val="00674CEB"/>
    <w:rsid w:val="006750C2"/>
    <w:rsid w:val="006778FD"/>
    <w:rsid w:val="00680016"/>
    <w:rsid w:val="0068057D"/>
    <w:rsid w:val="006856F2"/>
    <w:rsid w:val="00690F07"/>
    <w:rsid w:val="006A1D3F"/>
    <w:rsid w:val="006A5D0F"/>
    <w:rsid w:val="006A645F"/>
    <w:rsid w:val="006B184A"/>
    <w:rsid w:val="006C0AD3"/>
    <w:rsid w:val="006C74CC"/>
    <w:rsid w:val="006D63CD"/>
    <w:rsid w:val="006E031A"/>
    <w:rsid w:val="006F1F04"/>
    <w:rsid w:val="006F257F"/>
    <w:rsid w:val="006F3C87"/>
    <w:rsid w:val="00700C3C"/>
    <w:rsid w:val="007027E6"/>
    <w:rsid w:val="0070371D"/>
    <w:rsid w:val="00706A12"/>
    <w:rsid w:val="0070709B"/>
    <w:rsid w:val="007111A3"/>
    <w:rsid w:val="00712089"/>
    <w:rsid w:val="00712F94"/>
    <w:rsid w:val="00714E9D"/>
    <w:rsid w:val="00722FCD"/>
    <w:rsid w:val="00726A40"/>
    <w:rsid w:val="00726F80"/>
    <w:rsid w:val="0073443D"/>
    <w:rsid w:val="00735682"/>
    <w:rsid w:val="0074633C"/>
    <w:rsid w:val="0074741C"/>
    <w:rsid w:val="00750E7D"/>
    <w:rsid w:val="00753629"/>
    <w:rsid w:val="007608F0"/>
    <w:rsid w:val="007626F0"/>
    <w:rsid w:val="0076605E"/>
    <w:rsid w:val="00775796"/>
    <w:rsid w:val="00780F47"/>
    <w:rsid w:val="00791F63"/>
    <w:rsid w:val="007A08F7"/>
    <w:rsid w:val="007A3249"/>
    <w:rsid w:val="007A52AC"/>
    <w:rsid w:val="007C1B8F"/>
    <w:rsid w:val="007C7941"/>
    <w:rsid w:val="007D0A21"/>
    <w:rsid w:val="007D1350"/>
    <w:rsid w:val="007E0352"/>
    <w:rsid w:val="007F3BF6"/>
    <w:rsid w:val="00807BBC"/>
    <w:rsid w:val="00810F00"/>
    <w:rsid w:val="0081281B"/>
    <w:rsid w:val="008141F8"/>
    <w:rsid w:val="008175BD"/>
    <w:rsid w:val="00831B2C"/>
    <w:rsid w:val="008338A5"/>
    <w:rsid w:val="0083409A"/>
    <w:rsid w:val="00837AB8"/>
    <w:rsid w:val="0084618C"/>
    <w:rsid w:val="0084658F"/>
    <w:rsid w:val="00850810"/>
    <w:rsid w:val="00852E68"/>
    <w:rsid w:val="00871A19"/>
    <w:rsid w:val="00872347"/>
    <w:rsid w:val="00873A48"/>
    <w:rsid w:val="008940AB"/>
    <w:rsid w:val="008946C9"/>
    <w:rsid w:val="00895F20"/>
    <w:rsid w:val="008A281F"/>
    <w:rsid w:val="008A7007"/>
    <w:rsid w:val="008A7B46"/>
    <w:rsid w:val="008B1558"/>
    <w:rsid w:val="008B225D"/>
    <w:rsid w:val="008B25C8"/>
    <w:rsid w:val="008B40E2"/>
    <w:rsid w:val="008B42D1"/>
    <w:rsid w:val="008B4C1F"/>
    <w:rsid w:val="008B50BD"/>
    <w:rsid w:val="008B50BF"/>
    <w:rsid w:val="008C1CDA"/>
    <w:rsid w:val="008C511A"/>
    <w:rsid w:val="008C6347"/>
    <w:rsid w:val="008C6548"/>
    <w:rsid w:val="008D00D5"/>
    <w:rsid w:val="008D3C6F"/>
    <w:rsid w:val="008D6649"/>
    <w:rsid w:val="008E0765"/>
    <w:rsid w:val="008E3A00"/>
    <w:rsid w:val="008E47AE"/>
    <w:rsid w:val="008F00F6"/>
    <w:rsid w:val="008F43AB"/>
    <w:rsid w:val="008F60DC"/>
    <w:rsid w:val="0090289B"/>
    <w:rsid w:val="00904402"/>
    <w:rsid w:val="00905DD2"/>
    <w:rsid w:val="009079EF"/>
    <w:rsid w:val="00912D08"/>
    <w:rsid w:val="009236C9"/>
    <w:rsid w:val="00927042"/>
    <w:rsid w:val="0093247D"/>
    <w:rsid w:val="00933633"/>
    <w:rsid w:val="00933AD3"/>
    <w:rsid w:val="00942F71"/>
    <w:rsid w:val="009459F1"/>
    <w:rsid w:val="00950D0B"/>
    <w:rsid w:val="00957940"/>
    <w:rsid w:val="00960D65"/>
    <w:rsid w:val="00963282"/>
    <w:rsid w:val="00963FCB"/>
    <w:rsid w:val="009702E3"/>
    <w:rsid w:val="00984E32"/>
    <w:rsid w:val="0098549F"/>
    <w:rsid w:val="0098555B"/>
    <w:rsid w:val="00990BBC"/>
    <w:rsid w:val="00991EFC"/>
    <w:rsid w:val="00993021"/>
    <w:rsid w:val="009935A9"/>
    <w:rsid w:val="00995A25"/>
    <w:rsid w:val="00997385"/>
    <w:rsid w:val="00997C09"/>
    <w:rsid w:val="009A1677"/>
    <w:rsid w:val="009A2666"/>
    <w:rsid w:val="009A3855"/>
    <w:rsid w:val="009A411B"/>
    <w:rsid w:val="009A5950"/>
    <w:rsid w:val="009C1123"/>
    <w:rsid w:val="009C1481"/>
    <w:rsid w:val="009C3E60"/>
    <w:rsid w:val="009C411C"/>
    <w:rsid w:val="009C54F1"/>
    <w:rsid w:val="009D5432"/>
    <w:rsid w:val="009D627C"/>
    <w:rsid w:val="009E0616"/>
    <w:rsid w:val="009E2957"/>
    <w:rsid w:val="009E4E69"/>
    <w:rsid w:val="009E649D"/>
    <w:rsid w:val="00A03CD2"/>
    <w:rsid w:val="00A06578"/>
    <w:rsid w:val="00A10B22"/>
    <w:rsid w:val="00A12702"/>
    <w:rsid w:val="00A13BEE"/>
    <w:rsid w:val="00A24F12"/>
    <w:rsid w:val="00A2627C"/>
    <w:rsid w:val="00A26846"/>
    <w:rsid w:val="00A32D1E"/>
    <w:rsid w:val="00A33255"/>
    <w:rsid w:val="00A3516F"/>
    <w:rsid w:val="00A35229"/>
    <w:rsid w:val="00A37FEA"/>
    <w:rsid w:val="00A42D6A"/>
    <w:rsid w:val="00A442F2"/>
    <w:rsid w:val="00A504B6"/>
    <w:rsid w:val="00A52DF4"/>
    <w:rsid w:val="00A57525"/>
    <w:rsid w:val="00A652A7"/>
    <w:rsid w:val="00A82F18"/>
    <w:rsid w:val="00A83872"/>
    <w:rsid w:val="00A85F41"/>
    <w:rsid w:val="00A97265"/>
    <w:rsid w:val="00AA19EB"/>
    <w:rsid w:val="00AA4B05"/>
    <w:rsid w:val="00AB2269"/>
    <w:rsid w:val="00AB2CDF"/>
    <w:rsid w:val="00AB5273"/>
    <w:rsid w:val="00AC01DC"/>
    <w:rsid w:val="00AC456C"/>
    <w:rsid w:val="00AC683B"/>
    <w:rsid w:val="00AD2E51"/>
    <w:rsid w:val="00AE0CA7"/>
    <w:rsid w:val="00AE7146"/>
    <w:rsid w:val="00AF2CE7"/>
    <w:rsid w:val="00AF5E1A"/>
    <w:rsid w:val="00B02D5D"/>
    <w:rsid w:val="00B06354"/>
    <w:rsid w:val="00B07D10"/>
    <w:rsid w:val="00B13B2F"/>
    <w:rsid w:val="00B16A67"/>
    <w:rsid w:val="00B2046F"/>
    <w:rsid w:val="00B22932"/>
    <w:rsid w:val="00B2350A"/>
    <w:rsid w:val="00B31C27"/>
    <w:rsid w:val="00B33058"/>
    <w:rsid w:val="00B34E02"/>
    <w:rsid w:val="00B372A9"/>
    <w:rsid w:val="00B37D11"/>
    <w:rsid w:val="00B40B82"/>
    <w:rsid w:val="00B41F94"/>
    <w:rsid w:val="00B469AD"/>
    <w:rsid w:val="00B47023"/>
    <w:rsid w:val="00B4764D"/>
    <w:rsid w:val="00B52C8F"/>
    <w:rsid w:val="00B55008"/>
    <w:rsid w:val="00B55961"/>
    <w:rsid w:val="00B573E7"/>
    <w:rsid w:val="00B57C98"/>
    <w:rsid w:val="00B725D1"/>
    <w:rsid w:val="00B752BF"/>
    <w:rsid w:val="00B754A2"/>
    <w:rsid w:val="00B75A88"/>
    <w:rsid w:val="00B8034A"/>
    <w:rsid w:val="00B86301"/>
    <w:rsid w:val="00B90577"/>
    <w:rsid w:val="00B9219B"/>
    <w:rsid w:val="00B927C6"/>
    <w:rsid w:val="00BA0EDB"/>
    <w:rsid w:val="00BA485F"/>
    <w:rsid w:val="00BA5679"/>
    <w:rsid w:val="00BA6773"/>
    <w:rsid w:val="00BA705B"/>
    <w:rsid w:val="00BB483F"/>
    <w:rsid w:val="00BC02E5"/>
    <w:rsid w:val="00BC0E60"/>
    <w:rsid w:val="00BC26A5"/>
    <w:rsid w:val="00BC69FA"/>
    <w:rsid w:val="00BD55E1"/>
    <w:rsid w:val="00BD7183"/>
    <w:rsid w:val="00BE0FFB"/>
    <w:rsid w:val="00BE1517"/>
    <w:rsid w:val="00BE18BA"/>
    <w:rsid w:val="00BF4592"/>
    <w:rsid w:val="00BF6409"/>
    <w:rsid w:val="00C0016F"/>
    <w:rsid w:val="00C00CEB"/>
    <w:rsid w:val="00C04C3A"/>
    <w:rsid w:val="00C05153"/>
    <w:rsid w:val="00C064A4"/>
    <w:rsid w:val="00C20A4B"/>
    <w:rsid w:val="00C22642"/>
    <w:rsid w:val="00C2501E"/>
    <w:rsid w:val="00C315CF"/>
    <w:rsid w:val="00C43226"/>
    <w:rsid w:val="00C43737"/>
    <w:rsid w:val="00C44013"/>
    <w:rsid w:val="00C453BD"/>
    <w:rsid w:val="00C45C81"/>
    <w:rsid w:val="00C46EFA"/>
    <w:rsid w:val="00C51C56"/>
    <w:rsid w:val="00C60104"/>
    <w:rsid w:val="00C6285A"/>
    <w:rsid w:val="00C62E7B"/>
    <w:rsid w:val="00C64E7D"/>
    <w:rsid w:val="00C70E71"/>
    <w:rsid w:val="00C73FE1"/>
    <w:rsid w:val="00C8067F"/>
    <w:rsid w:val="00C837A2"/>
    <w:rsid w:val="00C91263"/>
    <w:rsid w:val="00CA4564"/>
    <w:rsid w:val="00CB2916"/>
    <w:rsid w:val="00CD0021"/>
    <w:rsid w:val="00CD0BD7"/>
    <w:rsid w:val="00CD4538"/>
    <w:rsid w:val="00CE223C"/>
    <w:rsid w:val="00CF3131"/>
    <w:rsid w:val="00CF3BE1"/>
    <w:rsid w:val="00D00243"/>
    <w:rsid w:val="00D014AB"/>
    <w:rsid w:val="00D05ECD"/>
    <w:rsid w:val="00D073CB"/>
    <w:rsid w:val="00D24964"/>
    <w:rsid w:val="00D30140"/>
    <w:rsid w:val="00D36EBA"/>
    <w:rsid w:val="00D40AC2"/>
    <w:rsid w:val="00D4100E"/>
    <w:rsid w:val="00D43437"/>
    <w:rsid w:val="00D53522"/>
    <w:rsid w:val="00D54466"/>
    <w:rsid w:val="00D63A3C"/>
    <w:rsid w:val="00D6724D"/>
    <w:rsid w:val="00D6791A"/>
    <w:rsid w:val="00D707E2"/>
    <w:rsid w:val="00D75A83"/>
    <w:rsid w:val="00D87891"/>
    <w:rsid w:val="00D96B09"/>
    <w:rsid w:val="00D96C7F"/>
    <w:rsid w:val="00DB0063"/>
    <w:rsid w:val="00DB03EE"/>
    <w:rsid w:val="00DC198D"/>
    <w:rsid w:val="00DC1E99"/>
    <w:rsid w:val="00DC72BF"/>
    <w:rsid w:val="00DD0149"/>
    <w:rsid w:val="00DE09DF"/>
    <w:rsid w:val="00DE2420"/>
    <w:rsid w:val="00DE7B95"/>
    <w:rsid w:val="00DF110D"/>
    <w:rsid w:val="00DF1892"/>
    <w:rsid w:val="00DF45D3"/>
    <w:rsid w:val="00E02E86"/>
    <w:rsid w:val="00E14595"/>
    <w:rsid w:val="00E15CDF"/>
    <w:rsid w:val="00E213DC"/>
    <w:rsid w:val="00E24197"/>
    <w:rsid w:val="00E323DF"/>
    <w:rsid w:val="00E44646"/>
    <w:rsid w:val="00E46F15"/>
    <w:rsid w:val="00E50599"/>
    <w:rsid w:val="00E5102D"/>
    <w:rsid w:val="00E51A46"/>
    <w:rsid w:val="00E5254C"/>
    <w:rsid w:val="00E60F8C"/>
    <w:rsid w:val="00E76629"/>
    <w:rsid w:val="00E774B9"/>
    <w:rsid w:val="00E92398"/>
    <w:rsid w:val="00E95C19"/>
    <w:rsid w:val="00EA69A4"/>
    <w:rsid w:val="00EB0717"/>
    <w:rsid w:val="00EB4F62"/>
    <w:rsid w:val="00EB4F99"/>
    <w:rsid w:val="00EB5DD7"/>
    <w:rsid w:val="00EB6167"/>
    <w:rsid w:val="00EC2435"/>
    <w:rsid w:val="00EC5065"/>
    <w:rsid w:val="00EC76EB"/>
    <w:rsid w:val="00ED3273"/>
    <w:rsid w:val="00ED4B90"/>
    <w:rsid w:val="00ED6091"/>
    <w:rsid w:val="00ED7231"/>
    <w:rsid w:val="00EE1957"/>
    <w:rsid w:val="00EE516F"/>
    <w:rsid w:val="00F061A0"/>
    <w:rsid w:val="00F070EE"/>
    <w:rsid w:val="00F07CC8"/>
    <w:rsid w:val="00F1253E"/>
    <w:rsid w:val="00F14F53"/>
    <w:rsid w:val="00F1693C"/>
    <w:rsid w:val="00F201E5"/>
    <w:rsid w:val="00F225D2"/>
    <w:rsid w:val="00F314E2"/>
    <w:rsid w:val="00F33250"/>
    <w:rsid w:val="00F342C5"/>
    <w:rsid w:val="00F3520B"/>
    <w:rsid w:val="00F356C3"/>
    <w:rsid w:val="00F41EE4"/>
    <w:rsid w:val="00F43471"/>
    <w:rsid w:val="00F4449B"/>
    <w:rsid w:val="00F44FF9"/>
    <w:rsid w:val="00F52239"/>
    <w:rsid w:val="00F56CEA"/>
    <w:rsid w:val="00F60976"/>
    <w:rsid w:val="00F6216E"/>
    <w:rsid w:val="00F63D29"/>
    <w:rsid w:val="00F67D52"/>
    <w:rsid w:val="00F70102"/>
    <w:rsid w:val="00F732B6"/>
    <w:rsid w:val="00F74CE0"/>
    <w:rsid w:val="00F77CFD"/>
    <w:rsid w:val="00F829D8"/>
    <w:rsid w:val="00F83CA8"/>
    <w:rsid w:val="00F850B0"/>
    <w:rsid w:val="00F86D8E"/>
    <w:rsid w:val="00F93F65"/>
    <w:rsid w:val="00F95511"/>
    <w:rsid w:val="00F9578C"/>
    <w:rsid w:val="00FC3D76"/>
    <w:rsid w:val="00FC464E"/>
    <w:rsid w:val="00FC5481"/>
    <w:rsid w:val="00FD0A36"/>
    <w:rsid w:val="00FD146B"/>
    <w:rsid w:val="00FE08C7"/>
    <w:rsid w:val="00FE0F5C"/>
    <w:rsid w:val="00FE1DA6"/>
    <w:rsid w:val="00FE7AC7"/>
    <w:rsid w:val="00FF06DB"/>
    <w:rsid w:val="00FF2928"/>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660766C"/>
  <w15:docId w15:val="{DFAA7382-0238-4841-8542-58D4940B3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qFormat="1"/>
    <w:lsdException w:name="heading 8" w:qFormat="1"/>
    <w:lsdException w:name="heading 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25D1"/>
    <w:pPr>
      <w:overflowPunct w:val="0"/>
      <w:autoSpaceDE w:val="0"/>
      <w:autoSpaceDN w:val="0"/>
      <w:adjustRightInd w:val="0"/>
      <w:spacing w:line="228" w:lineRule="exact"/>
      <w:ind w:firstLine="227"/>
      <w:jc w:val="both"/>
      <w:textAlignment w:val="baseline"/>
    </w:pPr>
    <w:rPr>
      <w:lang w:val="es-ES_tradnl"/>
    </w:rPr>
  </w:style>
  <w:style w:type="paragraph" w:styleId="Ttulo1">
    <w:name w:val="heading 1"/>
    <w:basedOn w:val="Normal"/>
    <w:next w:val="Normal"/>
    <w:qFormat/>
    <w:rsid w:val="002B66F5"/>
    <w:pPr>
      <w:keepNext/>
      <w:keepLines/>
      <w:numPr>
        <w:numId w:val="38"/>
      </w:numPr>
      <w:tabs>
        <w:tab w:val="clear" w:pos="454"/>
        <w:tab w:val="left" w:pos="567"/>
      </w:tabs>
      <w:suppressAutoHyphens/>
      <w:spacing w:before="220" w:after="110" w:line="280" w:lineRule="exact"/>
      <w:jc w:val="left"/>
      <w:outlineLvl w:val="0"/>
    </w:pPr>
    <w:rPr>
      <w:b/>
      <w:sz w:val="24"/>
    </w:rPr>
  </w:style>
  <w:style w:type="paragraph" w:styleId="Ttulo2">
    <w:name w:val="heading 2"/>
    <w:basedOn w:val="Normal"/>
    <w:next w:val="Normal"/>
    <w:qFormat/>
    <w:rsid w:val="002B66F5"/>
    <w:pPr>
      <w:keepNext/>
      <w:keepLines/>
      <w:numPr>
        <w:ilvl w:val="1"/>
        <w:numId w:val="38"/>
      </w:numPr>
      <w:suppressAutoHyphens/>
      <w:spacing w:before="160" w:after="80"/>
      <w:outlineLvl w:val="1"/>
    </w:pPr>
    <w:rPr>
      <w:b/>
    </w:rPr>
  </w:style>
  <w:style w:type="paragraph" w:styleId="Ttulo3">
    <w:name w:val="heading 3"/>
    <w:basedOn w:val="Normal"/>
    <w:next w:val="Normal"/>
    <w:qFormat/>
    <w:rsid w:val="002B66F5"/>
    <w:pPr>
      <w:keepNext/>
      <w:keepLines/>
      <w:numPr>
        <w:ilvl w:val="2"/>
        <w:numId w:val="38"/>
      </w:numPr>
      <w:suppressAutoHyphens/>
      <w:spacing w:before="140" w:after="70"/>
      <w:outlineLvl w:val="2"/>
    </w:pPr>
    <w:rPr>
      <w:b/>
    </w:rPr>
  </w:style>
  <w:style w:type="paragraph" w:styleId="Ttulo4">
    <w:name w:val="heading 4"/>
    <w:basedOn w:val="Normal"/>
    <w:next w:val="Normal"/>
    <w:qFormat/>
    <w:rsid w:val="002B66F5"/>
    <w:pPr>
      <w:keepNext/>
      <w:tabs>
        <w:tab w:val="left" w:pos="680"/>
      </w:tabs>
      <w:spacing w:before="200" w:after="80"/>
      <w:ind w:firstLine="0"/>
      <w:jc w:val="left"/>
      <w:outlineLvl w:val="3"/>
    </w:pPr>
    <w:rPr>
      <w:i/>
      <w:sz w:val="18"/>
    </w:rPr>
  </w:style>
  <w:style w:type="paragraph" w:styleId="Ttulo5">
    <w:name w:val="heading 5"/>
    <w:basedOn w:val="Normal"/>
    <w:next w:val="Normal"/>
    <w:qFormat/>
    <w:rsid w:val="002B66F5"/>
    <w:pPr>
      <w:numPr>
        <w:ilvl w:val="4"/>
        <w:numId w:val="38"/>
      </w:numPr>
      <w:spacing w:before="240" w:after="60"/>
      <w:outlineLvl w:val="4"/>
    </w:pPr>
    <w:rPr>
      <w:rFonts w:ascii="Arial" w:hAnsi="Arial"/>
      <w:sz w:val="22"/>
    </w:rPr>
  </w:style>
  <w:style w:type="paragraph" w:styleId="Ttulo6">
    <w:name w:val="heading 6"/>
    <w:basedOn w:val="Normal"/>
    <w:next w:val="Normal"/>
    <w:qFormat/>
    <w:rsid w:val="002B66F5"/>
    <w:pPr>
      <w:numPr>
        <w:ilvl w:val="5"/>
        <w:numId w:val="38"/>
      </w:numPr>
      <w:spacing w:before="240" w:after="60"/>
      <w:outlineLvl w:val="5"/>
    </w:pPr>
    <w:rPr>
      <w:i/>
      <w:sz w:val="22"/>
    </w:rPr>
  </w:style>
  <w:style w:type="paragraph" w:styleId="Ttulo7">
    <w:name w:val="heading 7"/>
    <w:basedOn w:val="Normal"/>
    <w:next w:val="Normal"/>
    <w:qFormat/>
    <w:rsid w:val="002B66F5"/>
    <w:pPr>
      <w:numPr>
        <w:ilvl w:val="6"/>
        <w:numId w:val="38"/>
      </w:numPr>
      <w:spacing w:before="240" w:after="60"/>
      <w:outlineLvl w:val="6"/>
    </w:pPr>
    <w:rPr>
      <w:rFonts w:ascii="Arial" w:hAnsi="Arial"/>
    </w:rPr>
  </w:style>
  <w:style w:type="paragraph" w:styleId="Ttulo8">
    <w:name w:val="heading 8"/>
    <w:basedOn w:val="Normal"/>
    <w:next w:val="Normal"/>
    <w:qFormat/>
    <w:rsid w:val="002B66F5"/>
    <w:pPr>
      <w:numPr>
        <w:ilvl w:val="7"/>
        <w:numId w:val="38"/>
      </w:numPr>
      <w:spacing w:before="240" w:after="60"/>
      <w:outlineLvl w:val="7"/>
    </w:pPr>
    <w:rPr>
      <w:rFonts w:ascii="Arial" w:hAnsi="Arial"/>
      <w:i/>
    </w:rPr>
  </w:style>
  <w:style w:type="paragraph" w:styleId="Ttulo9">
    <w:name w:val="heading 9"/>
    <w:basedOn w:val="Normal"/>
    <w:next w:val="Normal"/>
    <w:qFormat/>
    <w:rsid w:val="002B66F5"/>
    <w:pPr>
      <w:numPr>
        <w:ilvl w:val="8"/>
        <w:numId w:val="38"/>
      </w:numPr>
      <w:spacing w:before="240" w:after="60"/>
      <w:outlineLvl w:val="8"/>
    </w:pPr>
    <w:rPr>
      <w:rFonts w:ascii="Arial" w:hAnsi="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1a">
    <w:name w:val="p1a"/>
    <w:basedOn w:val="Normal"/>
    <w:next w:val="Normal"/>
    <w:rsid w:val="0053704E"/>
    <w:pPr>
      <w:ind w:firstLine="0"/>
    </w:pPr>
  </w:style>
  <w:style w:type="paragraph" w:customStyle="1" w:styleId="abstract">
    <w:name w:val="abstract"/>
    <w:basedOn w:val="p1a"/>
    <w:rsid w:val="00C91263"/>
    <w:pPr>
      <w:spacing w:before="160" w:after="120" w:line="220" w:lineRule="exact"/>
      <w:ind w:left="567" w:right="567"/>
      <w:contextualSpacing/>
    </w:pPr>
    <w:rPr>
      <w:sz w:val="18"/>
    </w:rPr>
  </w:style>
  <w:style w:type="paragraph" w:customStyle="1" w:styleId="address">
    <w:name w:val="address"/>
    <w:basedOn w:val="p1a"/>
    <w:rsid w:val="0053704E"/>
    <w:pPr>
      <w:jc w:val="center"/>
    </w:pPr>
    <w:rPr>
      <w:sz w:val="18"/>
    </w:rPr>
  </w:style>
  <w:style w:type="paragraph" w:customStyle="1" w:styleId="author">
    <w:name w:val="author"/>
    <w:basedOn w:val="p1a"/>
    <w:next w:val="address"/>
    <w:rsid w:val="0053704E"/>
    <w:pPr>
      <w:spacing w:after="220"/>
      <w:jc w:val="center"/>
    </w:pPr>
  </w:style>
  <w:style w:type="paragraph" w:styleId="Descripcin">
    <w:name w:val="caption"/>
    <w:basedOn w:val="Normal"/>
    <w:next w:val="Normal"/>
    <w:qFormat/>
    <w:rsid w:val="0053704E"/>
    <w:pPr>
      <w:spacing w:before="120" w:after="120"/>
    </w:pPr>
    <w:rPr>
      <w:b/>
    </w:rPr>
  </w:style>
  <w:style w:type="paragraph" w:customStyle="1" w:styleId="image">
    <w:name w:val="image"/>
    <w:basedOn w:val="p1a"/>
    <w:next w:val="p1a"/>
    <w:rsid w:val="008B1558"/>
    <w:pPr>
      <w:spacing w:before="240" w:after="120" w:line="240" w:lineRule="auto"/>
      <w:jc w:val="center"/>
    </w:pPr>
  </w:style>
  <w:style w:type="paragraph" w:customStyle="1" w:styleId="bulletitem">
    <w:name w:val="bullet item"/>
    <w:basedOn w:val="Normal"/>
    <w:rsid w:val="006E031A"/>
    <w:pPr>
      <w:numPr>
        <w:numId w:val="30"/>
      </w:numPr>
      <w:spacing w:before="120" w:after="120"/>
      <w:contextualSpacing/>
    </w:pPr>
  </w:style>
  <w:style w:type="paragraph" w:customStyle="1" w:styleId="dashitem">
    <w:name w:val="dash item"/>
    <w:basedOn w:val="bulletitem"/>
    <w:rsid w:val="00C6285A"/>
    <w:pPr>
      <w:numPr>
        <w:numId w:val="27"/>
      </w:numPr>
      <w:spacing w:before="80" w:after="80"/>
    </w:pPr>
  </w:style>
  <w:style w:type="paragraph" w:customStyle="1" w:styleId="equation">
    <w:name w:val="equation"/>
    <w:basedOn w:val="Normal"/>
    <w:next w:val="p1a"/>
    <w:rsid w:val="0053704E"/>
    <w:pPr>
      <w:tabs>
        <w:tab w:val="left" w:pos="6237"/>
      </w:tabs>
      <w:spacing w:before="120" w:after="120"/>
      <w:ind w:left="227"/>
      <w:jc w:val="center"/>
    </w:pPr>
  </w:style>
  <w:style w:type="paragraph" w:customStyle="1" w:styleId="figurecaption">
    <w:name w:val="figure caption"/>
    <w:basedOn w:val="Normal"/>
    <w:next w:val="p1a"/>
    <w:rsid w:val="00454DD4"/>
    <w:pPr>
      <w:keepNext/>
      <w:keepLines/>
      <w:spacing w:before="120" w:after="240" w:line="220" w:lineRule="exact"/>
      <w:ind w:firstLine="0"/>
      <w:jc w:val="center"/>
    </w:pPr>
    <w:rPr>
      <w:sz w:val="18"/>
    </w:rPr>
  </w:style>
  <w:style w:type="paragraph" w:styleId="Textonotapie">
    <w:name w:val="footnote text"/>
    <w:basedOn w:val="Normal"/>
    <w:semiHidden/>
    <w:rsid w:val="0053704E"/>
    <w:pPr>
      <w:tabs>
        <w:tab w:val="left" w:pos="170"/>
      </w:tabs>
      <w:spacing w:line="220" w:lineRule="exact"/>
      <w:ind w:left="170" w:hanging="170"/>
    </w:pPr>
    <w:rPr>
      <w:sz w:val="18"/>
    </w:rPr>
  </w:style>
  <w:style w:type="character" w:styleId="Hipervnculo">
    <w:name w:val="Hyperlink"/>
    <w:basedOn w:val="Fuentedeprrafopredeter"/>
    <w:rsid w:val="00BA5679"/>
    <w:rPr>
      <w:color w:val="0000FF"/>
      <w:u w:val="single"/>
    </w:rPr>
  </w:style>
  <w:style w:type="character" w:styleId="Refdenotaalpie">
    <w:name w:val="footnote reference"/>
    <w:basedOn w:val="Fuentedeprrafopredeter"/>
    <w:semiHidden/>
    <w:rsid w:val="0053704E"/>
    <w:rPr>
      <w:position w:val="6"/>
      <w:sz w:val="12"/>
      <w:vertAlign w:val="baseline"/>
    </w:rPr>
  </w:style>
  <w:style w:type="paragraph" w:styleId="Piedepgina">
    <w:name w:val="footer"/>
    <w:basedOn w:val="Normal"/>
    <w:link w:val="PiedepginaCar"/>
    <w:uiPriority w:val="99"/>
    <w:rsid w:val="0053704E"/>
    <w:pPr>
      <w:tabs>
        <w:tab w:val="center" w:pos="4536"/>
        <w:tab w:val="right" w:pos="9072"/>
      </w:tabs>
    </w:pPr>
  </w:style>
  <w:style w:type="paragraph" w:customStyle="1" w:styleId="heading1">
    <w:name w:val="heading1"/>
    <w:basedOn w:val="Ttulo1"/>
    <w:next w:val="p1a"/>
    <w:rsid w:val="002B66F5"/>
  </w:style>
  <w:style w:type="paragraph" w:customStyle="1" w:styleId="heading2">
    <w:name w:val="heading2"/>
    <w:basedOn w:val="Ttulo2"/>
    <w:next w:val="p1a"/>
    <w:rsid w:val="00190935"/>
  </w:style>
  <w:style w:type="paragraph" w:customStyle="1" w:styleId="heading3">
    <w:name w:val="heading3"/>
    <w:basedOn w:val="Ttulo3"/>
    <w:next w:val="p1a"/>
    <w:rsid w:val="00A504B6"/>
  </w:style>
  <w:style w:type="paragraph" w:customStyle="1" w:styleId="heading4">
    <w:name w:val="heading4"/>
    <w:basedOn w:val="Ttulo4"/>
    <w:next w:val="p1a"/>
    <w:rsid w:val="00A504B6"/>
  </w:style>
  <w:style w:type="paragraph" w:styleId="Encabezado">
    <w:name w:val="header"/>
    <w:basedOn w:val="Normal"/>
    <w:link w:val="EncabezadoCar"/>
    <w:uiPriority w:val="99"/>
    <w:rsid w:val="00210248"/>
    <w:pPr>
      <w:spacing w:line="220" w:lineRule="exact"/>
      <w:ind w:firstLine="0"/>
    </w:pPr>
    <w:rPr>
      <w:sz w:val="18"/>
    </w:rPr>
  </w:style>
  <w:style w:type="paragraph" w:customStyle="1" w:styleId="numbereditem">
    <w:name w:val="numbered item"/>
    <w:basedOn w:val="Normal"/>
    <w:rsid w:val="006E031A"/>
    <w:pPr>
      <w:numPr>
        <w:numId w:val="37"/>
      </w:numPr>
      <w:spacing w:before="120" w:after="120"/>
      <w:contextualSpacing/>
    </w:pPr>
  </w:style>
  <w:style w:type="paragraph" w:customStyle="1" w:styleId="programcode">
    <w:name w:val="programcode"/>
    <w:basedOn w:val="Normal"/>
    <w:rsid w:val="00001D94"/>
    <w:pPr>
      <w:tabs>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20" w:after="120" w:line="170" w:lineRule="exact"/>
      <w:ind w:left="227" w:firstLine="0"/>
      <w:contextualSpacing/>
      <w:jc w:val="left"/>
    </w:pPr>
    <w:rPr>
      <w:rFonts w:ascii="Courier" w:hAnsi="Courier"/>
      <w:sz w:val="14"/>
      <w:szCs w:val="14"/>
    </w:rPr>
  </w:style>
  <w:style w:type="paragraph" w:customStyle="1" w:styleId="referenceitem">
    <w:name w:val="referenceitem"/>
    <w:basedOn w:val="Normal"/>
    <w:rsid w:val="00F829D8"/>
    <w:pPr>
      <w:spacing w:line="220" w:lineRule="exact"/>
      <w:ind w:left="340" w:hanging="340"/>
    </w:pPr>
    <w:rPr>
      <w:sz w:val="18"/>
    </w:rPr>
  </w:style>
  <w:style w:type="paragraph" w:customStyle="1" w:styleId="runninghead-left">
    <w:name w:val="running head - left"/>
    <w:basedOn w:val="Encabezado"/>
    <w:link w:val="runninghead-leftZchn"/>
    <w:rsid w:val="007608F0"/>
    <w:rPr>
      <w:szCs w:val="18"/>
    </w:rPr>
  </w:style>
  <w:style w:type="paragraph" w:customStyle="1" w:styleId="runninghead-right">
    <w:name w:val="running head - right"/>
    <w:basedOn w:val="Encabezado"/>
    <w:rsid w:val="007608F0"/>
    <w:pPr>
      <w:jc w:val="right"/>
    </w:pPr>
    <w:rPr>
      <w:bCs/>
      <w:szCs w:val="18"/>
    </w:rPr>
  </w:style>
  <w:style w:type="character" w:styleId="Nmerodepgina">
    <w:name w:val="page number"/>
    <w:basedOn w:val="Fuentedeprrafopredeter"/>
    <w:rsid w:val="00210248"/>
    <w:rPr>
      <w:sz w:val="18"/>
    </w:rPr>
  </w:style>
  <w:style w:type="paragraph" w:customStyle="1" w:styleId="tablecaption">
    <w:name w:val="table caption"/>
    <w:basedOn w:val="Normal"/>
    <w:next w:val="Normal"/>
    <w:rsid w:val="00454DD4"/>
    <w:pPr>
      <w:keepNext/>
      <w:keepLines/>
      <w:spacing w:before="100" w:after="60" w:line="220" w:lineRule="exact"/>
      <w:ind w:firstLine="0"/>
      <w:jc w:val="center"/>
    </w:pPr>
    <w:rPr>
      <w:sz w:val="18"/>
      <w:lang w:val="de-DE"/>
    </w:rPr>
  </w:style>
  <w:style w:type="paragraph" w:customStyle="1" w:styleId="Ttulo10">
    <w:name w:val="Título1"/>
    <w:basedOn w:val="p1a"/>
    <w:next w:val="author"/>
    <w:rsid w:val="007608F0"/>
    <w:pPr>
      <w:keepNext/>
      <w:keepLines/>
      <w:pageBreakBefore/>
      <w:suppressAutoHyphens/>
      <w:spacing w:after="460" w:line="348" w:lineRule="exact"/>
      <w:jc w:val="center"/>
    </w:pPr>
    <w:rPr>
      <w:b/>
      <w:sz w:val="28"/>
    </w:rPr>
  </w:style>
  <w:style w:type="paragraph" w:customStyle="1" w:styleId="keywords">
    <w:name w:val="keywords"/>
    <w:basedOn w:val="abstract"/>
    <w:rsid w:val="00001D94"/>
    <w:pPr>
      <w:spacing w:before="240"/>
      <w:jc w:val="left"/>
    </w:pPr>
  </w:style>
  <w:style w:type="paragraph" w:customStyle="1" w:styleId="e-mail">
    <w:name w:val="e-mail"/>
    <w:basedOn w:val="address"/>
    <w:next w:val="address"/>
    <w:rsid w:val="009A411B"/>
    <w:rPr>
      <w:rFonts w:ascii="Courier" w:hAnsi="Courier"/>
    </w:rPr>
  </w:style>
  <w:style w:type="character" w:customStyle="1" w:styleId="EncabezadoCar">
    <w:name w:val="Encabezado Car"/>
    <w:basedOn w:val="Fuentedeprrafopredeter"/>
    <w:link w:val="Encabezado"/>
    <w:uiPriority w:val="99"/>
    <w:rsid w:val="007608F0"/>
    <w:rPr>
      <w:sz w:val="18"/>
      <w:lang w:val="en-US" w:eastAsia="de-DE" w:bidi="ar-SA"/>
    </w:rPr>
  </w:style>
  <w:style w:type="character" w:customStyle="1" w:styleId="runninghead-leftZchn">
    <w:name w:val="running head - left Zchn"/>
    <w:basedOn w:val="EncabezadoCar"/>
    <w:link w:val="runninghead-left"/>
    <w:rsid w:val="007608F0"/>
    <w:rPr>
      <w:sz w:val="18"/>
      <w:szCs w:val="18"/>
      <w:lang w:val="en-US" w:eastAsia="de-DE" w:bidi="ar-SA"/>
    </w:rPr>
  </w:style>
  <w:style w:type="paragraph" w:styleId="Textosinformato">
    <w:name w:val="Plain Text"/>
    <w:basedOn w:val="Normal"/>
    <w:link w:val="TextosinformatoCar"/>
    <w:rsid w:val="0035112D"/>
    <w:pPr>
      <w:spacing w:line="240" w:lineRule="auto"/>
    </w:pPr>
    <w:rPr>
      <w:rFonts w:ascii="Consolas" w:hAnsi="Consolas"/>
      <w:sz w:val="21"/>
      <w:szCs w:val="21"/>
    </w:rPr>
  </w:style>
  <w:style w:type="character" w:customStyle="1" w:styleId="TextosinformatoCar">
    <w:name w:val="Texto sin formato Car"/>
    <w:basedOn w:val="Fuentedeprrafopredeter"/>
    <w:link w:val="Textosinformato"/>
    <w:rsid w:val="0035112D"/>
    <w:rPr>
      <w:rFonts w:ascii="Consolas" w:hAnsi="Consolas"/>
      <w:sz w:val="21"/>
      <w:szCs w:val="21"/>
      <w:lang w:val="en-US"/>
    </w:rPr>
  </w:style>
  <w:style w:type="paragraph" w:styleId="Textodeglobo">
    <w:name w:val="Balloon Text"/>
    <w:basedOn w:val="Normal"/>
    <w:link w:val="TextodegloboCar"/>
    <w:rsid w:val="00C064A4"/>
    <w:pPr>
      <w:spacing w:line="240" w:lineRule="auto"/>
    </w:pPr>
    <w:rPr>
      <w:rFonts w:ascii="Tahoma" w:hAnsi="Tahoma" w:cs="Tahoma"/>
      <w:sz w:val="16"/>
      <w:szCs w:val="16"/>
    </w:rPr>
  </w:style>
  <w:style w:type="character" w:customStyle="1" w:styleId="TextodegloboCar">
    <w:name w:val="Texto de globo Car"/>
    <w:basedOn w:val="Fuentedeprrafopredeter"/>
    <w:link w:val="Textodeglobo"/>
    <w:rsid w:val="00C064A4"/>
    <w:rPr>
      <w:rFonts w:ascii="Tahoma" w:hAnsi="Tahoma" w:cs="Tahoma"/>
      <w:sz w:val="16"/>
      <w:szCs w:val="16"/>
      <w:lang w:val="en-US"/>
    </w:rPr>
  </w:style>
  <w:style w:type="table" w:styleId="Tablaconcuadrcula">
    <w:name w:val="Table Grid"/>
    <w:basedOn w:val="Tablanormal"/>
    <w:rsid w:val="00F43471"/>
    <w:rPr>
      <w:lang w:val="es-CL" w:eastAsia="es-C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iedepginaCar">
    <w:name w:val="Pie de página Car"/>
    <w:basedOn w:val="Fuentedeprrafopredeter"/>
    <w:link w:val="Piedepgina"/>
    <w:uiPriority w:val="99"/>
    <w:rsid w:val="006F3C87"/>
    <w:rPr>
      <w:lang w:val="en-US"/>
    </w:rPr>
  </w:style>
  <w:style w:type="paragraph" w:styleId="Prrafodelista">
    <w:name w:val="List Paragraph"/>
    <w:basedOn w:val="Normal"/>
    <w:uiPriority w:val="34"/>
    <w:qFormat/>
    <w:rsid w:val="00AD2E51"/>
    <w:pPr>
      <w:ind w:left="720"/>
      <w:contextualSpacing/>
    </w:p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Compact">
    <w:name w:val="Compact"/>
    <w:basedOn w:val="Normal"/>
    <w:qFormat/>
    <w:pPr>
      <w:spacing w:before="20" w:after="20" w:line="184" w:lineRule="exact"/>
      <w:ind w:firstLine="0"/>
      <w:contextualSpacing/>
    </w:pPr>
    <w:rPr>
      <w:sz w:val="16"/>
      <w:szCs w:val="16"/>
    </w:rPr>
  </w:style>
  <w:style w:type="table" w:customStyle="1" w:styleId="Table">
    <w:name w:val="Table"/>
    <w:basedOn w:val="TableNormal"/>
    <w:uiPriority w:val="59"/>
    <w:tblPr>
      <w:tblStyleRowBandSize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28" w:type="dxa"/>
        <w:left w:w="72" w:type="dxa"/>
        <w:bottom w:w="28" w:type="dxa"/>
        <w:right w:w="72"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4958529">
      <w:bodyDiv w:val="1"/>
      <w:marLeft w:val="0"/>
      <w:marRight w:val="0"/>
      <w:marTop w:val="0"/>
      <w:marBottom w:val="0"/>
      <w:divBdr>
        <w:top w:val="none" w:sz="0" w:space="0" w:color="auto"/>
        <w:left w:val="none" w:sz="0" w:space="0" w:color="auto"/>
        <w:bottom w:val="none" w:sz="0" w:space="0" w:color="auto"/>
        <w:right w:val="none" w:sz="0" w:space="0" w:color="auto"/>
      </w:divBdr>
      <w:divsChild>
        <w:div w:id="668338083">
          <w:marLeft w:val="547"/>
          <w:marRight w:val="0"/>
          <w:marTop w:val="144"/>
          <w:marBottom w:val="0"/>
          <w:divBdr>
            <w:top w:val="none" w:sz="0" w:space="0" w:color="auto"/>
            <w:left w:val="none" w:sz="0" w:space="0" w:color="auto"/>
            <w:bottom w:val="none" w:sz="0" w:space="0" w:color="auto"/>
            <w:right w:val="none" w:sz="0" w:space="0" w:color="auto"/>
          </w:divBdr>
        </w:div>
        <w:div w:id="1763448250">
          <w:marLeft w:val="547"/>
          <w:marRight w:val="0"/>
          <w:marTop w:val="144"/>
          <w:marBottom w:val="0"/>
          <w:divBdr>
            <w:top w:val="none" w:sz="0" w:space="0" w:color="auto"/>
            <w:left w:val="none" w:sz="0" w:space="0" w:color="auto"/>
            <w:bottom w:val="none" w:sz="0" w:space="0" w:color="auto"/>
            <w:right w:val="none" w:sz="0" w:space="0" w:color="auto"/>
          </w:divBdr>
        </w:div>
        <w:div w:id="340856021">
          <w:marLeft w:val="547"/>
          <w:marRight w:val="0"/>
          <w:marTop w:val="144"/>
          <w:marBottom w:val="0"/>
          <w:divBdr>
            <w:top w:val="none" w:sz="0" w:space="0" w:color="auto"/>
            <w:left w:val="none" w:sz="0" w:space="0" w:color="auto"/>
            <w:bottom w:val="none" w:sz="0" w:space="0" w:color="auto"/>
            <w:right w:val="none" w:sz="0" w:space="0" w:color="auto"/>
          </w:divBdr>
        </w:div>
        <w:div w:id="1787576473">
          <w:marLeft w:val="547"/>
          <w:marRight w:val="0"/>
          <w:marTop w:val="144"/>
          <w:marBottom w:val="0"/>
          <w:divBdr>
            <w:top w:val="none" w:sz="0" w:space="0" w:color="auto"/>
            <w:left w:val="none" w:sz="0" w:space="0" w:color="auto"/>
            <w:bottom w:val="none" w:sz="0" w:space="0" w:color="auto"/>
            <w:right w:val="none" w:sz="0" w:space="0" w:color="auto"/>
          </w:divBdr>
        </w:div>
        <w:div w:id="471213533">
          <w:marLeft w:val="547"/>
          <w:marRight w:val="0"/>
          <w:marTop w:val="144"/>
          <w:marBottom w:val="0"/>
          <w:divBdr>
            <w:top w:val="none" w:sz="0" w:space="0" w:color="auto"/>
            <w:left w:val="none" w:sz="0" w:space="0" w:color="auto"/>
            <w:bottom w:val="none" w:sz="0" w:space="0" w:color="auto"/>
            <w:right w:val="none" w:sz="0" w:space="0" w:color="auto"/>
          </w:divBdr>
        </w:div>
      </w:divsChild>
    </w:div>
    <w:div w:id="1516069049">
      <w:bodyDiv w:val="1"/>
      <w:marLeft w:val="0"/>
      <w:marRight w:val="0"/>
      <w:marTop w:val="0"/>
      <w:marBottom w:val="0"/>
      <w:divBdr>
        <w:top w:val="none" w:sz="0" w:space="0" w:color="auto"/>
        <w:left w:val="none" w:sz="0" w:space="0" w:color="auto"/>
        <w:bottom w:val="none" w:sz="0" w:space="0" w:color="auto"/>
        <w:right w:val="none" w:sz="0" w:space="0" w:color="auto"/>
      </w:divBdr>
      <w:divsChild>
        <w:div w:id="2036275013">
          <w:marLeft w:val="547"/>
          <w:marRight w:val="0"/>
          <w:marTop w:val="144"/>
          <w:marBottom w:val="0"/>
          <w:divBdr>
            <w:top w:val="none" w:sz="0" w:space="0" w:color="auto"/>
            <w:left w:val="none" w:sz="0" w:space="0" w:color="auto"/>
            <w:bottom w:val="none" w:sz="0" w:space="0" w:color="auto"/>
            <w:right w:val="none" w:sz="0" w:space="0" w:color="auto"/>
          </w:divBdr>
        </w:div>
        <w:div w:id="1664164050">
          <w:marLeft w:val="547"/>
          <w:marRight w:val="0"/>
          <w:marTop w:val="144"/>
          <w:marBottom w:val="0"/>
          <w:divBdr>
            <w:top w:val="none" w:sz="0" w:space="0" w:color="auto"/>
            <w:left w:val="none" w:sz="0" w:space="0" w:color="auto"/>
            <w:bottom w:val="none" w:sz="0" w:space="0" w:color="auto"/>
            <w:right w:val="none" w:sz="0" w:space="0" w:color="auto"/>
          </w:divBdr>
        </w:div>
        <w:div w:id="696471438">
          <w:marLeft w:val="547"/>
          <w:marRight w:val="0"/>
          <w:marTop w:val="144"/>
          <w:marBottom w:val="0"/>
          <w:divBdr>
            <w:top w:val="none" w:sz="0" w:space="0" w:color="auto"/>
            <w:left w:val="none" w:sz="0" w:space="0" w:color="auto"/>
            <w:bottom w:val="none" w:sz="0" w:space="0" w:color="auto"/>
            <w:right w:val="none" w:sz="0" w:space="0" w:color="auto"/>
          </w:divBdr>
        </w:div>
        <w:div w:id="1064178273">
          <w:marLeft w:val="547"/>
          <w:marRight w:val="0"/>
          <w:marTop w:val="144"/>
          <w:marBottom w:val="0"/>
          <w:divBdr>
            <w:top w:val="none" w:sz="0" w:space="0" w:color="auto"/>
            <w:left w:val="none" w:sz="0" w:space="0" w:color="auto"/>
            <w:bottom w:val="none" w:sz="0" w:space="0" w:color="auto"/>
            <w:right w:val="none" w:sz="0" w:space="0" w:color="auto"/>
          </w:divBdr>
        </w:div>
        <w:div w:id="881138075">
          <w:marLeft w:val="547"/>
          <w:marRight w:val="0"/>
          <w:marTop w:val="144"/>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rmonge\Mis%20documentos\raul\USM\MTI\Graduacion\Graduaci&#243;n-2008-09\Final\sv-ln20090127.dotm"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780A9CF-D559-0D40-812F-5B4E5CCC69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C:\Documents and Settings\rmonge\Mis documentos\raul\USM\MTI\Graduacion\Graduación-2008-09\Final\sv-ln20090127.dotm</Template>
  <TotalTime>248</TotalTime>
  <Pages>6</Pages>
  <Words>1646</Words>
  <Characters>9054</Characters>
  <Application>Microsoft Office Word</Application>
  <DocSecurity>0</DocSecurity>
  <Lines>75</Lines>
  <Paragraphs>21</Paragraphs>
  <ScaleCrop>false</ScaleCrop>
  <HeadingPairs>
    <vt:vector size="4" baseType="variant">
      <vt:variant>
        <vt:lpstr>Título</vt:lpstr>
      </vt:variant>
      <vt:variant>
        <vt:i4>1</vt:i4>
      </vt:variant>
      <vt:variant>
        <vt:lpstr>Titel</vt:lpstr>
      </vt:variant>
      <vt:variant>
        <vt:i4>1</vt:i4>
      </vt:variant>
    </vt:vector>
  </HeadingPairs>
  <TitlesOfParts>
    <vt:vector size="2" baseType="lpstr">
      <vt:lpstr/>
      <vt:lpstr/>
    </vt:vector>
  </TitlesOfParts>
  <Company>dataspect IT-Services, Heidelberg, Germany</Company>
  <LinksUpToDate>false</LinksUpToDate>
  <CharactersWithSpaces>10679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rmonge</dc:creator>
  <cp:keywords/>
  <dc:description>Formats and macros for Springer Lecture Notes</dc:description>
  <cp:lastModifiedBy>Raul Monge</cp:lastModifiedBy>
  <cp:revision>28</cp:revision>
  <dcterms:created xsi:type="dcterms:W3CDTF">2013-09-26T19:17:00Z</dcterms:created>
  <dcterms:modified xsi:type="dcterms:W3CDTF">2023-08-25T21:35:00Z</dcterms:modified>
</cp:coreProperties>
</file>