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y 30 del dominio en inglés; contrastó la extracción directa con la generación aumentada por recuperación (RAG) contextual y midió las diferencias con ANOVA y Tukey HSD. El beneficio del RAG decrece con la capacidad del modelo: solo alcanza significancia en dos de los trece (+14,5 y +10,8 puntos de F1) y es nulo o adverso en los mayores. Redactar el prompt en español con ejemplos </w:t>
      </w:r>
      <w:r>
        <w:rPr>
          <w:i/>
        </w:rPr>
        <w:t>few-shot</w:t>
      </w:r>
      <w:r>
        <w:t xml:space="preserve"> aporta +10,4 puntos en el corpus de quince artículos, mejora que no replica sobre el corpus mayor. Restringida la medición a las categorías que el corpus anota, el mejor modelo local alcanza 76,55 % de F1 en español y 90,16 % en el dominio,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and 30 domain ones in English; contrasted direct extraction with contextual retrieval-augmented generation (RAG) and measured the differences with ANOVA and Tukey HSD. The benefit of RAG decreases with model capacity: it reaches significance in only two of the thirteen (+14.5 and +10.8 F1 points) and is null or adverse in the larger ones. Writing the prompt in Spanish with </w:t>
      </w:r>
      <w:r>
        <w:rPr>
          <w:i/>
        </w:rPr>
        <w:t>few-shot</w:t>
      </w:r>
      <w:r>
        <w:t xml:space="preserve"> examples yields +10.4 points on the fifteen-article corpus, an improvement that does not replicate on the larger corpus. With scoring restricted to the categories the corpus annotates, the best local model reaches 76.55 % F1 in Spanish and 90.16 % on the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w:t>
      </w:r>
    </w:p>
    <w:p>
      <w:pPr>
        <w:numPr>
          <w:ilvl w:val="0"/>
          <w:numId w:val="0"/>
        </w:numPr>
        <w:pStyle w:val="BodyText"/>
      </w:pPr>
      <w:r>
        <w:t>Conclusiones y Trabajo Futuro</w:t>
      </w:r>
    </w:p>
    <w:p>
      <w:pPr>
        <w:numPr>
          <w:ilvl w:val="0"/>
          <w:numId w:val="0"/>
        </w:numPr>
        <w:pStyle w:val="BodyText"/>
      </w:pPr>
      <w:r>
        <w:t>Referencias Bibliográficas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brecha que este trabajo aborda se sitúa precisamente en esa intersección vacía: obtener un desempeño aprovechable sin datos etiquetados del dominio y sin ceder los datos a un tercero.</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Familias de técnicas para el reconocimiento de entidades y su comportamiento frente a los criterios de selección.</w:t>
      </w:r>
    </w:p>
    <w:tbl>
      <w:tblPr>
        <w:tblStyle w:val="Table"/>
        <w:tblW w:type="pct" w:w="5000.0"/>
        <w:tblLook w:firstRow="1"/>
      </w:tblPr>
      <w:tblGrid>
        <w:gridCol w:w="1940"/>
        <w:gridCol w:w="2011"/>
        <w:gridCol w:w="2443"/>
        <w:gridCol w:w="2444"/>
      </w:tblGrid>
      <w:tr>
        <w:trPr>
          <w:cnfStyle w:firstRow="1"/>
        </w:trPr>
        <w:tc>
          <w:tcPr>
            <w:tcW w:type="dxa" w:w="1940"/>
            <w:tcBorders>
              <w:bottom w:val="single"/>
            </w:tcBorders>
            <w:vAlign w:val="bottom"/>
          </w:tcPr>
          <w:p>
            <w:pPr>
              <w:pStyle w:val="Compact"/>
              <w:jc w:val="left"/>
            </w:pPr>
            <w:r>
              <w:rPr>
                <w:b/>
              </w:rPr>
              <w:t>Familia</w:t>
            </w:r>
          </w:p>
        </w:tc>
        <w:tc>
          <w:tcPr>
            <w:tcW w:type="dxa" w:w="2011"/>
            <w:tcBorders>
              <w:bottom w:val="single"/>
            </w:tcBorders>
            <w:vAlign w:val="bottom"/>
          </w:tcPr>
          <w:p>
            <w:pPr>
              <w:pStyle w:val="Compact"/>
              <w:jc w:val="left"/>
            </w:pPr>
            <w:r>
              <w:rPr>
                <w:b/>
              </w:rPr>
              <w:t>Datos etiquetados requeridos</w:t>
            </w:r>
          </w:p>
        </w:tc>
        <w:tc>
          <w:tcPr>
            <w:tcW w:type="dxa" w:w="2443"/>
            <w:tcBorders>
              <w:bottom w:val="single"/>
            </w:tcBorders>
            <w:vAlign w:val="bottom"/>
          </w:tcPr>
          <w:p>
            <w:pPr>
              <w:pStyle w:val="Compact"/>
              <w:jc w:val="left"/>
            </w:pPr>
            <w:r>
              <w:rPr>
                <w:b/>
              </w:rPr>
              <w:t>Adaptación a dominio nuevo</w:t>
            </w:r>
          </w:p>
        </w:tc>
        <w:tc>
          <w:tcPr>
            <w:tcW w:type="dxa" w:w="2444"/>
            <w:tcBorders>
              <w:bottom w:val="single"/>
            </w:tcBorders>
            <w:vAlign w:val="bottom"/>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[5],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0"/>
        <w:tblLook w:firstRow="1"/>
      </w:tblPr>
      <w:tblGrid>
        <w:gridCol w:w="1295"/>
        <w:gridCol w:w="2376"/>
        <w:gridCol w:w="1523"/>
        <w:gridCol w:w="1447"/>
        <w:gridCol w:w="900"/>
        <w:gridCol w:w="1297"/>
      </w:tblGrid>
      <w:tr>
        <w:trPr>
          <w:cnfStyle w:firstRow="1"/>
        </w:trPr>
        <w:tc>
          <w:tcPr>
            <w:tcW w:type="dxa" w:w="1295"/>
            <w:tcBorders>
              <w:bottom w:val="single"/>
            </w:tcBorders>
            <w:vAlign w:val="bottom"/>
          </w:tcPr>
          <w:p>
            <w:pPr>
              <w:pStyle w:val="Compact"/>
              <w:jc w:val="left"/>
            </w:pPr>
            <w:r>
              <w:rPr>
                <w:b/>
              </w:rPr>
              <w:t>Trabajo</w:t>
            </w:r>
          </w:p>
        </w:tc>
        <w:tc>
          <w:tcPr>
            <w:tcW w:type="dxa" w:w="2376"/>
            <w:tcBorders>
              <w:bottom w:val="single"/>
            </w:tcBorders>
            <w:vAlign w:val="bottom"/>
          </w:tcPr>
          <w:p>
            <w:pPr>
              <w:pStyle w:val="Compact"/>
              <w:jc w:val="left"/>
            </w:pPr>
            <w:r>
              <w:rPr>
                <w:b/>
              </w:rPr>
              <w:t>Dataset</w:t>
            </w:r>
          </w:p>
        </w:tc>
        <w:tc>
          <w:tcPr>
            <w:tcW w:type="dxa" w:w="1523"/>
            <w:tcBorders>
              <w:bottom w:val="single"/>
            </w:tcBorders>
            <w:vAlign w:val="bottom"/>
          </w:tcPr>
          <w:p>
            <w:pPr>
              <w:pStyle w:val="Compact"/>
              <w:jc w:val="left"/>
            </w:pPr>
            <w:r>
              <w:rPr>
                <w:b/>
              </w:rPr>
              <w:t>Modelo</w:t>
            </w:r>
          </w:p>
        </w:tc>
        <w:tc>
          <w:tcPr>
            <w:tcW w:type="dxa" w:w="1447"/>
            <w:tcBorders>
              <w:bottom w:val="single"/>
            </w:tcBorders>
            <w:vAlign w:val="bottom"/>
          </w:tcPr>
          <w:p>
            <w:pPr>
              <w:pStyle w:val="Compact"/>
              <w:jc w:val="center"/>
            </w:pPr>
            <w:r>
              <w:rPr>
                <w:b/>
              </w:rPr>
              <w:t>Desempeño publicado</w:t>
            </w:r>
          </w:p>
        </w:tc>
        <w:tc>
          <w:tcPr>
            <w:tcW w:type="dxa" w:w="900"/>
            <w:tcBorders>
              <w:bottom w:val="single"/>
            </w:tcBorders>
            <w:vAlign w:val="bottom"/>
          </w:tcPr>
          <w:p>
            <w:pPr>
              <w:pStyle w:val="Compact"/>
              <w:jc w:val="center"/>
            </w:pPr>
            <w:r>
              <w:rPr>
                <w:b/>
              </w:rPr>
              <w:t>Privacidad</w:t>
            </w:r>
          </w:p>
        </w:tc>
        <w:tc>
          <w:tcPr>
            <w:tcW w:type="dxa" w:w="1297"/>
            <w:tcBorders>
              <w:bottom w:val="single"/>
            </w:tcBorders>
            <w:vAlign w:val="bottom"/>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 xml:space="preserve">76,55 %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última columna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w:t>
      </w:r>
    </w:p>
    <w:p>
      <w:pPr>
        <w:numPr>
          <w:ilvl w:val="0"/>
          <w:numId w:val="0"/>
        </w:numPr>
        <w:pStyle w:val="TableCaption"/>
      </w:pPr>
      <w:r>
        <w:t>Tabla 3. Arquitectura del sistema por capas, con sus módulos y su detalle técnico.</w:t>
      </w:r>
    </w:p>
    <w:tbl>
      <w:tblPr>
        <w:tblStyle w:val="Table"/>
        <w:tblW w:type="pct" w:w="5000.0"/>
        <w:tblLook w:firstRow="1"/>
      </w:tblPr>
      <w:tblGrid>
        <w:gridCol w:w="1988"/>
        <w:gridCol w:w="3093"/>
        <w:gridCol w:w="3757"/>
      </w:tblGrid>
      <w:tr>
        <w:trPr>
          <w:cnfStyle w:firstRow="1"/>
        </w:trPr>
        <w:tc>
          <w:tcPr>
            <w:tcW w:type="dxa" w:w="1988"/>
            <w:tcBorders>
              <w:bottom w:val="single"/>
            </w:tcBorders>
            <w:vAlign w:val="bottom"/>
          </w:tcPr>
          <w:p>
            <w:pPr>
              <w:pStyle w:val="Compact"/>
              <w:jc w:val="left"/>
            </w:pPr>
            <w:r>
              <w:rPr>
                <w:b/>
              </w:rPr>
              <w:t>Capa</w:t>
            </w:r>
          </w:p>
        </w:tc>
        <w:tc>
          <w:tcPr>
            <w:tcW w:type="dxa" w:w="3093"/>
            <w:tcBorders>
              <w:bottom w:val="single"/>
            </w:tcBorders>
            <w:vAlign w:val="bottom"/>
          </w:tcPr>
          <w:p>
            <w:pPr>
              <w:pStyle w:val="Compact"/>
              <w:jc w:val="left"/>
            </w:pPr>
            <w:r>
              <w:rPr>
                <w:b/>
              </w:rPr>
              <w:t>Módulo(s)</w:t>
            </w:r>
          </w:p>
        </w:tc>
        <w:tc>
          <w:tcPr>
            <w:tcW w:type="dxa" w:w="3757"/>
            <w:tcBorders>
              <w:bottom w:val="single"/>
            </w:tcBorders>
            <w:vAlign w:val="bottom"/>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tres corpus anotan únicamente las dos primeras: el campo de localizaciones está vacío en los ciento veinte registros. Como el evaluador puntúa las tres categorías, toda localización que el modelo devuelve se contabiliza como falso positivo, sin que exista ninguna forma de acertar en ella. El efecto no es menor: </w:t>
      </w:r>
      <w:r>
        <w:rPr>
          <w:b/>
        </w:rPr>
        <w:t xml:space="preserve">el 66,0 % de los falsos positivos del estudio, 12 852 de 19 464, proceden de esa categoría</w:t>
      </w:r>
      <w:r>
        <w:t xml:space="preserve">.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w:t>
      </w:r>
      <w:r>
        <w:rPr>
          <w:b/>
        </w:rPr>
        <w:t>restringida a las categorías que el corpus efectivamente anota</w:t>
      </w:r>
      <w:r>
        <w:t>, que se obtiene reagregando los desgloses por tipo ya almacenados y no requiere repetir la inferencia. Las cifras originales se conservan íntegras junto a ella, de modo que el lector pueda juzgar el alcance de la corrección; la Tabla del Anexo I recoge ambas para las cuarenta y nueve configuraciones medidas sobre el corpus N=120.</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dos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BodyText"/>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tres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tres ejemplos empleados en la configuración few-shot en español cubren un caso de persona sancionada, uno de organización y uno de mención ambigua;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los segundos que tarda el sistema en procesar un artículo, pero no permite comparar modelos entre sí cuando las corridas usaron distinta concurrencia o distinto hardware, como ocurre en este estudio.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a nivel micro por artículo antes de promediarse entre artículos.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0"/>
        <w:tblLook w:firstRow="1"/>
      </w:tblPr>
      <w:tblGrid>
        <w:gridCol w:w="1021"/>
        <w:gridCol w:w="900"/>
        <w:gridCol w:w="948"/>
        <w:gridCol w:w="900"/>
        <w:gridCol w:w="900"/>
        <w:gridCol w:w="900"/>
        <w:gridCol w:w="1232"/>
        <w:gridCol w:w="1137"/>
        <w:gridCol w:w="900"/>
      </w:tblGrid>
      <w:tr>
        <w:trPr>
          <w:cnfStyle w:firstRow="1"/>
        </w:trPr>
        <w:tc>
          <w:tcPr>
            <w:tcW w:type="dxa" w:w="1021"/>
            <w:tcBorders>
              <w:bottom w:val="single"/>
            </w:tcBorders>
            <w:vAlign w:val="bottom"/>
          </w:tcPr>
          <w:p>
            <w:pPr>
              <w:pStyle w:val="Compact"/>
              <w:jc w:val="left"/>
            </w:pPr>
            <w:r>
              <w:rPr>
                <w:b/>
              </w:rPr>
              <w:t>Modelo</w:t>
            </w:r>
          </w:p>
        </w:tc>
        <w:tc>
          <w:tcPr>
            <w:tcW w:type="dxa" w:w="900"/>
            <w:tcBorders>
              <w:bottom w:val="single"/>
            </w:tcBorders>
            <w:vAlign w:val="bottom"/>
          </w:tcPr>
          <w:p>
            <w:pPr>
              <w:pStyle w:val="Compact"/>
              <w:jc w:val="left"/>
            </w:pPr>
            <w:r>
              <w:rPr>
                <w:b/>
              </w:rPr>
              <w:t>Tipo</w:t>
            </w:r>
          </w:p>
        </w:tc>
        <w:tc>
          <w:tcPr>
            <w:tcW w:type="dxa" w:w="948"/>
            <w:tcBorders>
              <w:bottom w:val="single"/>
            </w:tcBorders>
            <w:vAlign w:val="bottom"/>
          </w:tcPr>
          <w:p>
            <w:pPr>
              <w:pStyle w:val="Compact"/>
              <w:jc w:val="left"/>
            </w:pPr>
            <w:r>
              <w:rPr>
                <w:b/>
              </w:rPr>
              <w:t>Parámetros</w:t>
            </w:r>
          </w:p>
        </w:tc>
        <w:tc>
          <w:tcPr>
            <w:tcW w:type="dxa" w:w="900"/>
            <w:tcBorders>
              <w:bottom w:val="single"/>
            </w:tcBorders>
            <w:vAlign w:val="bottom"/>
          </w:tcPr>
          <w:p>
            <w:pPr>
              <w:pStyle w:val="Compact"/>
              <w:jc w:val="center"/>
            </w:pPr>
            <w:r>
              <w:rPr>
                <w:b/>
              </w:rPr>
              <w:t>F1</w:t>
            </w:r>
          </w:p>
        </w:tc>
        <w:tc>
          <w:tcPr>
            <w:tcW w:type="dxa" w:w="900"/>
            <w:tcBorders>
              <w:bottom w:val="single"/>
            </w:tcBorders>
            <w:vAlign w:val="bottom"/>
          </w:tcPr>
          <w:p>
            <w:pPr>
              <w:pStyle w:val="Compact"/>
              <w:jc w:val="center"/>
            </w:pPr>
            <w:r>
              <w:rPr>
                <w:b/>
              </w:rPr>
              <w:t>Precisión</w:t>
            </w:r>
          </w:p>
        </w:tc>
        <w:tc>
          <w:tcPr>
            <w:tcW w:type="dxa" w:w="900"/>
            <w:tcBorders>
              <w:bottom w:val="single"/>
            </w:tcBorders>
            <w:vAlign w:val="bottom"/>
          </w:tcPr>
          <w:p>
            <w:pPr>
              <w:pStyle w:val="Compact"/>
              <w:jc w:val="left"/>
            </w:pPr>
            <w:r>
              <w:rPr>
                <w:b/>
              </w:rPr>
              <w:t>Recall</w:t>
            </w:r>
          </w:p>
        </w:tc>
        <w:tc>
          <w:tcPr>
            <w:tcW w:type="dxa" w:w="1232"/>
            <w:tcBorders>
              <w:bottom w:val="single"/>
            </w:tcBorders>
            <w:vAlign w:val="bottom"/>
          </w:tcPr>
          <w:p>
            <w:pPr>
              <w:pStyle w:val="Compact"/>
              <w:jc w:val="left"/>
            </w:pPr>
            <w:r>
              <w:rPr>
                <w:b/>
              </w:rPr>
              <w:t>Hallucination</w:t>
            </w:r>
          </w:p>
        </w:tc>
        <w:tc>
          <w:tcPr>
            <w:tcW w:type="dxa" w:w="1137"/>
            <w:tcBorders>
              <w:bottom w:val="single"/>
            </w:tcBorders>
            <w:vAlign w:val="bottom"/>
          </w:tcPr>
          <w:p>
            <w:pPr>
              <w:pStyle w:val="Compact"/>
              <w:jc w:val="left"/>
            </w:pPr>
            <w:r>
              <w:rPr>
                <w:b/>
              </w:rPr>
              <w:t>Latencia (s)</w:t>
            </w:r>
          </w:p>
        </w:tc>
        <w:tc>
          <w:tcPr>
            <w:tcW w:type="dxa" w:w="900"/>
            <w:tcBorders>
              <w:bottom w:val="single"/>
            </w:tcBorders>
            <w:vAlign w:val="bottom"/>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 xml:space="preserve">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 xml:space="preserve">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 xml:space="preserve">results/benchmark_results.csv</w:t>
      </w:r>
      <w:r>
        <w:t xml:space="preserve"> (N=15, modo </w:t>
      </w:r>
      <w:r>
        <w:t xml:space="preserve">entities</w:t>
      </w:r>
      <w:r>
        <w:t xml:space="preserve">), salvo </w:t>
      </w:r>
      <w:r>
        <w:t xml:space="preserve">gemma4:31b</w:t>
      </w:r>
      <w:r>
        <w:t xml:space="preserve"> (</w:t>
      </w:r>
      <w:r>
        <w:t xml:space="preserve">gemma4_31b_n15_REMOTO</w:t>
      </w:r>
      <w:r>
        <w:t xml:space="preserve">), las dos variantes de </w:t>
      </w:r>
      <w:r>
        <w:t xml:space="preserve">gemma4:latest</w:t>
      </w:r>
      <w:r>
        <w:t xml:space="preserve"> (</w:t>
      </w:r>
      <w:r>
        <w:t xml:space="preserve">ablacion_n15_REMOTO</w:t>
      </w:r>
      <w:r>
        <w:t xml:space="preserve">) y </w:t>
      </w:r>
      <w:r>
        <w:t xml:space="preserve">gemma4:31b-cloud</w:t>
      </w:r>
      <w:r>
        <w:t xml:space="preserve"> (</w:t>
      </w:r>
      <w:r>
        <w:t xml:space="preserve">cloud_n15_limpio_20260905</w:t>
      </w:r>
      <w:r>
        <w:t xml:space="preserve">). Las latencias proceden de corridas con distinta concurrencia y hardware, por lo que </w:t>
      </w:r>
      <w:r>
        <w:rPr>
          <w:b/>
        </w:rPr>
        <w:t xml:space="preserve">no son comparables entre filas</w:t>
      </w:r>
      <w:r>
        <w:t xml:space="preserve">; el índice Tok/s/B sí lo es. </w:t>
      </w:r>
      <w:r>
        <w:t xml:space="preserve"/>
      </w:r>
      <w:r>
        <w:t xml:space="preserve"/>
      </w:r>
      <w:r>
        <w:t xml:space="preserve"/>
      </w:r>
      <w:r>
        <w:t xml:space="preserve"/>
      </w:r>
      <w:r>
        <w:t xml:space="preserve"/>
      </w:r>
      <w:r>
        <w:t xml:space="preserve">La columna «Parámetros» recoge la denominación nominal de la etiqueta del modelo, que no siempre coincide con el recuento del manifiesto —1,8B en </w:t>
      </w:r>
      <w:r>
        <w:t xml:space="preserve">deepseek-r1:1.5b</w:t>
      </w:r>
      <w:r>
        <w:t xml:space="preserve">, 4,2B en </w:t>
      </w:r>
      <w:r>
        <w:t xml:space="preserve">nemotron-mini:4b</w:t>
      </w:r>
      <w:r>
        <w:t xml:space="preserve">, 8,2B en </w:t>
      </w:r>
      <w:r>
        <w:t xml:space="preserve">qwen3:8b</w:t>
      </w:r>
      <w:r>
        <w:t xml:space="preserve">, 12,2B en </w:t>
      </w:r>
      <w:r>
        <w:t xml:space="preserve">mistral-nemo</w:t>
      </w:r>
      <w:r>
        <w:t xml:space="preserve">, 31,3B en </w:t>
      </w:r>
      <w:r>
        <w:t xml:space="preserve">gemma4:31b</w:t>
      </w:r>
      <w:r>
        <w:t xml:space="preserve">—, y el índice Tok/s/B se calcula sobre la nominal. </w:t>
      </w:r>
      <w:r>
        <w:t xml:space="preserve">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w:t>
      </w:r>
      <w:r>
        <w:t>gemma4:31b</w:t>
      </w:r>
      <w:r>
        <w:t xml:space="preserve"> lidera en Recall entre los locales (86.80%) con una tasa de alucinación de 0.16%, y su contraparte cloud alcanza un Recall equivalente (86.88%). </w:t>
      </w:r>
      <w:r>
        <w:rPr>
          <w:b/>
        </w:rPr>
        <w:t>Hallazgo 3:</w:t>
      </w:r>
      <w:r>
        <w:t xml:space="preserve"> </w:t>
      </w:r>
      <w:r>
        <w:t>deepseek-r1:1.5b</w:t>
      </w:r>
      <w:r>
        <w:t xml:space="preserve"> debe descartarse para producción: F1 de 27.65% y Recall de sólo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pct" w:w="5000.0"/>
        <w:tblLook w:firstRow="1"/>
      </w:tblPr>
      <w:tblGrid>
        <w:gridCol w:w="2254"/>
        <w:gridCol w:w="900"/>
        <w:gridCol w:w="900"/>
        <w:gridCol w:w="900"/>
        <w:gridCol w:w="1293"/>
        <w:gridCol w:w="1194"/>
        <w:gridCol w:w="1397"/>
      </w:tblGrid>
      <w:tr>
        <w:trPr>
          <w:cnfStyle w:firstRow="1"/>
        </w:trPr>
        <w:tc>
          <w:tcPr>
            <w:tcW w:type="dxa" w:w="2254"/>
            <w:tcBorders>
              <w:bottom w:val="single"/>
            </w:tcBorders>
            <w:vAlign w:val="bottom"/>
          </w:tcPr>
          <w:p>
            <w:pPr>
              <w:pStyle w:val="Compact"/>
              <w:jc w:val="left"/>
            </w:pPr>
            <w:r>
              <w:rPr>
                <w:b/>
              </w:rPr>
              <w:t>Configuración</w:t>
            </w:r>
          </w:p>
        </w:tc>
        <w:tc>
          <w:tcPr>
            <w:tcW w:type="dxa" w:w="900"/>
            <w:tcBorders>
              <w:bottom w:val="single"/>
            </w:tcBorders>
            <w:vAlign w:val="bottom"/>
          </w:tcPr>
          <w:p>
            <w:pPr>
              <w:pStyle w:val="Compact"/>
              <w:jc w:val="left"/>
            </w:pPr>
            <w:r>
              <w:rPr>
                <w:b/>
              </w:rPr>
              <w:t>F1</w:t>
            </w:r>
          </w:p>
        </w:tc>
        <w:tc>
          <w:tcPr>
            <w:tcW w:type="dxa" w:w="900"/>
            <w:tcBorders>
              <w:bottom w:val="single"/>
            </w:tcBorders>
            <w:vAlign w:val="bottom"/>
          </w:tcPr>
          <w:p>
            <w:pPr>
              <w:pStyle w:val="Compact"/>
              <w:jc w:val="left"/>
            </w:pPr>
            <w:r>
              <w:rPr>
                <w:b/>
              </w:rPr>
              <w:t>Precisión</w:t>
            </w:r>
          </w:p>
        </w:tc>
        <w:tc>
          <w:tcPr>
            <w:tcW w:type="dxa" w:w="900"/>
            <w:tcBorders>
              <w:bottom w:val="single"/>
            </w:tcBorders>
            <w:vAlign w:val="bottom"/>
          </w:tcPr>
          <w:p>
            <w:pPr>
              <w:pStyle w:val="Compact"/>
              <w:jc w:val="center"/>
            </w:pPr>
            <w:r>
              <w:rPr>
                <w:b/>
              </w:rPr>
              <w:t>Recall</w:t>
            </w:r>
          </w:p>
        </w:tc>
        <w:tc>
          <w:tcPr>
            <w:tcW w:type="dxa" w:w="1293"/>
            <w:tcBorders>
              <w:bottom w:val="single"/>
            </w:tcBorders>
            <w:vAlign w:val="bottom"/>
          </w:tcPr>
          <w:p>
            <w:pPr>
              <w:pStyle w:val="Compact"/>
              <w:jc w:val="center"/>
            </w:pPr>
            <w:r>
              <w:rPr>
                <w:b/>
              </w:rPr>
              <w:t>Hallucination</w:t>
            </w:r>
          </w:p>
        </w:tc>
        <w:tc>
          <w:tcPr>
            <w:tcW w:type="dxa" w:w="1194"/>
            <w:tcBorders>
              <w:bottom w:val="single"/>
            </w:tcBorders>
            <w:vAlign w:val="bottom"/>
          </w:tcPr>
          <w:p>
            <w:pPr>
              <w:pStyle w:val="Compact"/>
              <w:jc w:val="left"/>
            </w:pPr>
            <w:r>
              <w:rPr>
                <w:b/>
              </w:rPr>
              <w:t>Latencia (s)</w:t>
            </w:r>
          </w:p>
        </w:tc>
        <w:tc>
          <w:tcPr>
            <w:tcW w:type="dxa" w:w="1397"/>
            <w:tcBorders>
              <w:bottom w:val="single"/>
            </w:tcBorders>
            <w:vAlign w:val="bottom"/>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6. Validación estadística sobre el corpus del dominio (N=30), con intervalos de confianza del 95 %.</w:t>
      </w:r>
    </w:p>
    <w:tbl>
      <w:tblPr>
        <w:tblStyle w:val="Table"/>
        <w:tblW w:type="pct" w:w="5000.0"/>
        <w:tblLook w:firstRow="1"/>
      </w:tblPr>
      <w:tblGrid>
        <w:gridCol w:w="2028"/>
        <w:gridCol w:w="1014"/>
        <w:gridCol w:w="1303"/>
        <w:gridCol w:w="1014"/>
        <w:gridCol w:w="2579"/>
        <w:gridCol w:w="900"/>
      </w:tblGrid>
      <w:tr>
        <w:trPr>
          <w:cnfStyle w:firstRow="1"/>
        </w:trPr>
        <w:tc>
          <w:tcPr>
            <w:tcW w:type="dxa" w:w="2028"/>
            <w:tcBorders>
              <w:bottom w:val="single"/>
            </w:tcBorders>
            <w:vAlign w:val="bottom"/>
          </w:tcPr>
          <w:p>
            <w:pPr>
              <w:pStyle w:val="Compact"/>
              <w:jc w:val="left"/>
            </w:pPr>
            <w:r>
              <w:rPr>
                <w:b/>
              </w:rPr>
              <w:t>Modelo</w:t>
            </w:r>
          </w:p>
        </w:tc>
        <w:tc>
          <w:tcPr>
            <w:tcW w:type="dxa" w:w="1014"/>
            <w:tcBorders>
              <w:bottom w:val="single"/>
            </w:tcBorders>
            <w:vAlign w:val="bottom"/>
          </w:tcPr>
          <w:p>
            <w:pPr>
              <w:pStyle w:val="Compact"/>
              <w:jc w:val="left"/>
            </w:pPr>
            <w:r>
              <w:rPr>
                <w:b/>
              </w:rPr>
              <w:t>F1</w:t>
            </w:r>
          </w:p>
        </w:tc>
        <w:tc>
          <w:tcPr>
            <w:tcW w:type="dxa" w:w="1303"/>
            <w:tcBorders>
              <w:bottom w:val="single"/>
            </w:tcBorders>
            <w:vAlign w:val="bottom"/>
          </w:tcPr>
          <w:p>
            <w:pPr>
              <w:pStyle w:val="Compact"/>
              <w:jc w:val="left"/>
            </w:pPr>
            <w:r>
              <w:rPr>
                <w:b/>
              </w:rPr>
              <w:t>Precisión</w:t>
            </w:r>
          </w:p>
        </w:tc>
        <w:tc>
          <w:tcPr>
            <w:tcW w:type="dxa" w:w="1014"/>
            <w:tcBorders>
              <w:bottom w:val="single"/>
            </w:tcBorders>
            <w:vAlign w:val="bottom"/>
          </w:tcPr>
          <w:p>
            <w:pPr>
              <w:pStyle w:val="Compact"/>
              <w:jc w:val="center"/>
            </w:pPr>
            <w:r>
              <w:rPr>
                <w:b/>
              </w:rPr>
              <w:t>Recall</w:t>
            </w:r>
          </w:p>
        </w:tc>
        <w:tc>
          <w:tcPr>
            <w:tcW w:type="dxa" w:w="2579"/>
            <w:tcBorders>
              <w:bottom w:val="single"/>
            </w:tcBorders>
            <w:vAlign w:val="bottom"/>
          </w:tcPr>
          <w:p>
            <w:pPr>
              <w:pStyle w:val="Compact"/>
              <w:jc w:val="center"/>
            </w:pPr>
            <w:r>
              <w:rPr>
                <w:b/>
              </w:rPr>
              <w:t>IC 95 % del F1</w:t>
            </w:r>
          </w:p>
        </w:tc>
        <w:tc>
          <w:tcPr>
            <w:tcW w:type="dxa" w:w="900"/>
            <w:tcBorders>
              <w:bottom w:val="single"/>
            </w:tcBorders>
            <w:vAlign w:val="bottom"/>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Normal"/>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BodyText"/>
      </w:pPr>
      <w:r>
        <w:t xml:space="preserve">Sobre el corpus real N=120 descrito en §4.1.3 se ejecutó el mismo protocolo (ANOVA de una vía + Tukey HSD) para el estudio completo de 13 modelos,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7. Efecto de la base de conocimientos contextual sobre el corpus real (N=120, trece modelos).</w:t>
      </w:r>
    </w:p>
    <w:tbl>
      <w:tblPr>
        <w:tblStyle w:val="Table"/>
        <w:tblW w:type="pct" w:w="5000.0"/>
        <w:tblLook w:firstRow="1"/>
      </w:tblPr>
      <w:tblGrid>
        <w:gridCol w:w="2665"/>
        <w:gridCol w:w="1543"/>
        <w:gridCol w:w="1262"/>
        <w:gridCol w:w="1262"/>
        <w:gridCol w:w="2106"/>
      </w:tblGrid>
      <w:tr>
        <w:trPr>
          <w:cnfStyle w:firstRow="1"/>
        </w:trPr>
        <w:tc>
          <w:tcPr>
            <w:tcW w:type="dxa" w:w="2665"/>
            <w:tcBorders>
              <w:bottom w:val="single"/>
            </w:tcBorders>
            <w:vAlign w:val="bottom"/>
          </w:tcPr>
          <w:p>
            <w:pPr>
              <w:pStyle w:val="Compact"/>
              <w:jc w:val="left"/>
            </w:pPr>
            <w:r>
              <w:rPr>
                <w:b/>
              </w:rPr>
              <w:t>Modelo</w:t>
            </w:r>
          </w:p>
        </w:tc>
        <w:tc>
          <w:tcPr>
            <w:tcW w:type="dxa" w:w="1543"/>
            <w:tcBorders>
              <w:bottom w:val="single"/>
            </w:tcBorders>
            <w:vAlign w:val="bottom"/>
          </w:tcPr>
          <w:p>
            <w:pPr>
              <w:pStyle w:val="Compact"/>
              <w:jc w:val="left"/>
            </w:pPr>
            <w:r>
              <w:rPr>
                <w:b/>
              </w:rPr>
              <w:t>F1 baseline</w:t>
            </w:r>
          </w:p>
        </w:tc>
        <w:tc>
          <w:tcPr>
            <w:tcW w:type="dxa" w:w="1262"/>
            <w:tcBorders>
              <w:bottom w:val="single"/>
            </w:tcBorders>
            <w:vAlign w:val="bottom"/>
          </w:tcPr>
          <w:p>
            <w:pPr>
              <w:pStyle w:val="Compact"/>
              <w:jc w:val="left"/>
            </w:pPr>
            <w:r>
              <w:rPr>
                <w:b/>
              </w:rPr>
              <w:t>F1 KB RAG</w:t>
            </w:r>
          </w:p>
        </w:tc>
        <w:tc>
          <w:tcPr>
            <w:tcW w:type="dxa" w:w="1262"/>
            <w:tcBorders>
              <w:bottom w:val="single"/>
            </w:tcBorders>
            <w:vAlign w:val="bottom"/>
          </w:tcPr>
          <w:p>
            <w:pPr>
              <w:pStyle w:val="Compact"/>
              <w:jc w:val="center"/>
            </w:pPr>
            <w:r>
              <w:rPr>
                <w:b/>
              </w:rPr>
              <w:t>Δ RAG</w:t>
            </w:r>
          </w:p>
        </w:tc>
        <w:tc>
          <w:tcPr>
            <w:tcW w:type="dxa" w:w="2106"/>
            <w:tcBorders>
              <w:bottom w:val="single"/>
            </w:tcBorders>
            <w:vAlign w:val="bottom"/>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−0.54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BodyText"/>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BodyText"/>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Normal"/>
      </w:pPr>
      <w:r>
        <w:t xml:space="preserve">El ANOVA de una vía sobre los veintiséis grupos arroja </w:t>
      </w:r>
      <w:r>
        <w:rPr>
          <w:b/>
        </w:rPr>
        <w:t>F = 38,2222</w:t>
      </w:r>
      <w:r>
        <w:t xml:space="preserve"> con p = 3,4453 × 10⁻¹⁶⁰,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158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 Conviene declarar una limitación del contraste: los veintiséis grupos evalúan los mismos 120 artículos, de modo que las observaciones están apareadas y un modelo de medidas repetidas sería el procedimiento estrictamente correcto. La homocedasticidad se verifica (Levene, p = 0,18) y, al ser el diseño pareado más potente que el independiente, la significancia obtenida por esta vía es conservadora.</w:t>
      </w:r>
    </w:p>
    <w:p>
      <w:pPr>
        <w:numPr>
          <w:ilvl w:val="0"/>
          <w:numId w:val="0"/>
        </w:numPr>
        <w:pStyle w:val="Normal"/>
      </w:pPr>
      <w:r>
        <w:t>Ese resultado dibuja el hallazgo central del estudio: el beneficio del KB RAG es inversamente proporcional a la capacidad del modelo. Aporta de forma demostrable en los dos modelos más débiles, es positivo pero no concluyente en la franja intermedia y se anula o revierte en los de mayor capacidad (−0,54 y −0,18 puntos en los dos de 31B), que ya siguen correctamente las instrucciones sin contexto adicional. Nueve de los trece modelos mejoran, aunque solo dos lo hagan de manera estadísticamente sólida.</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según el propio artículo del corpus,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8. Eficiencia en hardware soberano: memoria, rendimiento y coste estimado por artículo.</w:t>
      </w:r>
    </w:p>
    <w:tbl>
      <w:tblPr>
        <w:tblStyle w:val="Table"/>
        <w:tblW w:type="pct" w:w="5000.0"/>
        <w:tblLook w:firstRow="1"/>
      </w:tblPr>
      <w:tblGrid>
        <w:gridCol w:w="1753"/>
        <w:gridCol w:w="1127"/>
        <w:gridCol w:w="900"/>
        <w:gridCol w:w="1753"/>
        <w:gridCol w:w="1753"/>
        <w:gridCol w:w="1552"/>
      </w:tblGrid>
      <w:tr>
        <w:trPr>
          <w:cnfStyle w:firstRow="1"/>
        </w:trPr>
        <w:tc>
          <w:tcPr>
            <w:tcW w:type="dxa" w:w="1753"/>
            <w:tcBorders>
              <w:bottom w:val="single"/>
            </w:tcBorders>
            <w:vAlign w:val="bottom"/>
          </w:tcPr>
          <w:p>
            <w:pPr>
              <w:pStyle w:val="Compact"/>
              <w:jc w:val="left"/>
            </w:pPr>
            <w:r>
              <w:rPr>
                <w:b/>
              </w:rPr>
              <w:t>Modelo</w:t>
            </w:r>
          </w:p>
        </w:tc>
        <w:tc>
          <w:tcPr>
            <w:tcW w:type="dxa" w:w="1127"/>
            <w:tcBorders>
              <w:bottom w:val="single"/>
            </w:tcBorders>
            <w:vAlign w:val="bottom"/>
          </w:tcPr>
          <w:p>
            <w:pPr>
              <w:pStyle w:val="Compact"/>
              <w:jc w:val="left"/>
            </w:pPr>
            <w:r>
              <w:rPr>
                <w:b/>
              </w:rPr>
              <w:t>VRAM (MB)</w:t>
            </w:r>
          </w:p>
        </w:tc>
        <w:tc>
          <w:tcPr>
            <w:tcW w:type="dxa" w:w="900"/>
            <w:tcBorders>
              <w:bottom w:val="single"/>
            </w:tcBorders>
            <w:vAlign w:val="bottom"/>
          </w:tcPr>
          <w:p>
            <w:pPr>
              <w:pStyle w:val="Compact"/>
              <w:jc w:val="left"/>
            </w:pPr>
            <w:r>
              <w:rPr>
                <w:b/>
              </w:rPr>
              <w:t>Tok/s</w:t>
            </w:r>
          </w:p>
        </w:tc>
        <w:tc>
          <w:tcPr>
            <w:tcW w:type="dxa" w:w="1753"/>
            <w:tcBorders>
              <w:bottom w:val="single"/>
            </w:tcBorders>
            <w:vAlign w:val="bottom"/>
          </w:tcPr>
          <w:p>
            <w:pPr>
              <w:pStyle w:val="Compact"/>
              <w:jc w:val="center"/>
            </w:pPr>
            <w:r>
              <w:rPr>
                <w:b/>
              </w:rPr>
              <w:t>Parámetros (B)</w:t>
            </w:r>
          </w:p>
        </w:tc>
        <w:tc>
          <w:tcPr>
            <w:tcW w:type="dxa" w:w="1753"/>
            <w:tcBorders>
              <w:bottom w:val="single"/>
            </w:tcBorders>
            <w:vAlign w:val="bottom"/>
          </w:tcPr>
          <w:p>
            <w:pPr>
              <w:pStyle w:val="Compact"/>
              <w:jc w:val="center"/>
            </w:pPr>
            <w:r>
              <w:rPr>
                <w:b/>
              </w:rPr>
              <w:t>Índice Tok/s/B</w:t>
            </w:r>
          </w:p>
        </w:tc>
        <w:tc>
          <w:tcPr>
            <w:tcW w:type="dxa" w:w="1552"/>
            <w:tcBorders>
              <w:bottom w:val="single"/>
            </w:tcBorders>
            <w:vAlign w:val="bottom"/>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las listas de sanciones de OpenSanctions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doce de los catorce modelos con par completo de resultados empeoraron al activarlo (los quince solicitados menos </w:t>
      </w:r>
      <w:r>
        <w:t>gpt-oss:20b</w:t>
      </w:r>
      <w:r>
        <w:t>, que no llegó a ejecutarse), y entre ellos los de mejor desempeño base; solo mejoraron los dos servidos en la nube.</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§5.3.5,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no se alcanza sobre el corpus periodístico general, cuyo mejor resultado local es 59,25 % (</w:t>
      </w:r>
      <w:r>
        <w:t>gemma4:31b-mlx</w:t>
      </w:r>
      <w:r>
        <w:t>) sobre N=120. La hipótesis queda por tanto confirmada para el dominio específico de sanciones financieras y no confirmada para corpus periodísticos heterogéneos.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equivalencia entre ejecución local y en la nube.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con la medición restringida a las categorías que el corpus anota, </w:t>
      </w:r>
      <w:r>
        <w:rPr>
          <w:b/>
        </w:rPr>
        <w:t xml:space="preserve">76,55 % de F1 sobre el corpus periodístico de ciento veinte artículos</w:t>
      </w:r>
      <w:r>
        <w:t xml:space="preserve"> —de los que 105 están en español— y </w:t>
      </w:r>
      <w:r>
        <w:rPr>
          <w:b/>
        </w:rPr>
        <w:t xml:space="preserve">90,16 % sobre el corpus del dominio de treinta artículos</w:t>
      </w:r>
      <w:r>
        <w:t>, que está redactado en inglés. Bajo la convención original, que puntúa también una categoría sin anotar, las cifras equivalentes son 62,67 % y 80,51 %.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acotado: sobre el corpus de quince artículos la ejecución local supera a la alojada (69,12 % frente a 66,99 % de F1), pero ese experimento es el de menor potencia estadística y el estudio principal lo contradice: sobre los ciento veinte artículos, y con la medición restringida a las categorías anotadas, la variante en la nube del mismo modelo obtiene 80,42 % frente al 76,55 % del mejor local. La conclusión sostenible no es la equivalencia sino que </w:t>
      </w:r>
      <w:r>
        <w:rPr>
          <w:b/>
        </w:rPr>
        <w:t>la soberanía cuesta unos cinco puntos de F1</w:t>
      </w:r>
      <w:r>
        <w:t>, un precio que en un entorno regulado puede resultar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dos de los trece modelos (</w:t>
      </w:r>
      <w:r>
        <w:t>nemotron-mini:4b</w:t>
      </w:r>
      <w:r>
        <w:t xml:space="preserve"> </w:t>
      </w:r>
      <w:r>
        <w:rPr>
          <w:b/>
        </w:rPr>
        <w:t>+14,52 pp</w:t>
      </w:r>
      <w:r>
        <w:t xml:space="preserve">, p&lt;0,001, y </w:t>
      </w:r>
      <w:r>
        <w:t>llama3.2:latest</w:t>
      </w:r>
      <w:r>
        <w:t xml:space="preserve"> </w:t>
      </w:r>
      <w:r>
        <w:rPr>
          <w:b/>
        </w:rPr>
        <w:t>+10,82 pp</w:t>
      </w:r>
      <w:r>
        <w:t xml:space="preserve">, p=0,007; conviene precisar que este último no es el segundo más débil del estudio sino el tercero por la cola, y que el segundo, </w:t>
      </w:r>
      <w:r>
        <w:t>deepseek-r1:1.5b</w:t>
      </w:r>
      <w:r>
        <w:t xml:space="preserve">, empeora 0,90 puntos con KB RAG), con ganancias positivas pero no concluyentes en la franja intermedia y efecto nulo en los modelos de 31B, versus el dict-RAG (v1.0), que en un sondeo exploratorio N=5 sobre el mismo modelo, no persistido en </w:t>
      </w:r>
      <w:r>
        <w:t>results/</w:t>
      </w:r>
      <w:r>
        <w:t xml:space="preserve">, degradó el F1 hasta 0.2367 (−57.8% respecto de su propio baseline), degradación confirmada después en la corrida reproducible N=120, donde ese mismo modelo cae de 0.3611 a 0.3113. Su efectividad parece modularse por la capacidad paramétrica, beneficiando sobre todo a los modelos de 3 a 14 mil millones de parámetros, donde actúa como memoria externa de conocimiento lingüístico sin coste adicional de hardware. La relación es una </w:t>
      </w:r>
      <w:r>
        <w:rPr>
          <w:b/>
        </w:rPr>
        <w:t>tendencia y no un resultado significativo</w:t>
      </w:r>
      <w:r>
        <w:t>: la correlación por rangos entre capacidad y beneficio da ρ = −0,52 con p = 0,071, que no alcanza el nivel de significación que este trabajo fija, con trece modelos como tamaño de muestra. Este hallazgo tiene implicaciones directas para el diseño de sistemas RAG en dominio abierto con LLMs soberanos.</w:t>
      </w:r>
    </w:p>
    <w:p>
      <w:pPr>
        <w:numPr>
          <w:ilvl w:val="0"/>
          <w:numId w:val="0"/>
        </w:numPr>
        <w:pStyle w:val="BodyText"/>
      </w:pPr>
      <w:r>
        <w:t xml:space="preserve">La codificación del corpus condiciona la medición, y no de forma neutra: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diecinueve de las veinticuatro configuraciones medidas puntúan </w:t>
      </w:r>
      <w:r>
        <w:rPr>
          <w:b/>
        </w:rPr>
        <w:t>mejor</w:t>
      </w:r>
      <w:r>
        <w:t xml:space="preserve"> en los artículos afectados, porque el cotejo premia transcribir los bytes literalmente y penaliza al modelo que escribe el nombre correctamente. Cuando está en el texto de entrada, diecinueve de veinticuatro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w:t>
      </w:r>
      <w:r>
        <w:rPr>
          <w:b/>
        </w:rPr>
        <w:t>de la entrada y de la referencia 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[19].</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t xml:space="preserve">Normalización de codificación del corpus y re-evaluación (Fase 6):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+0.025 de F1 según el modelo (§5.3.5). La línea de trabajo consiste en normalizar la codificación en ambos lados de la comparación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BodyText"/>
      </w:pPr>
      <w:r>
        <w:t>Anotación de localizaciones en el corpus de referencia (Prioridad Alta): los prompts del sistema solicitan</w:t>
      </w:r>
    </w:p>
    <w:p>
      <w:pPr>
        <w:numPr>
          <w:ilvl w:val="0"/>
          <w:numId w:val="0"/>
        </w:numPr>
        <w:pStyle w:val="Normal"/>
      </w:pPr>
      <w:r>
        <w:t xml:space="preserve">tres categorías de entidad, personas, organizaciones y localizaciones, pero ninguno de los tres corpus anota la tercera. Como se explica en §3.3, eso convierte toda localización correctamente identificada en un falso positivo, y de ahí procede el 66,0 % de los falsos positivos del estudio. La medición restringida a las dos categorías anotadas, que este informe publica en paralelo, corrige el efecto sin reejecutar inferencia, pero no sustituye a la solución de fondo: anotar las localizaciones y medir las tres categorías, que es la única vía para saber cuánto de la precisión aparente se debe a la habilidad del modelo y cuánto al vacío del gold.</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rPr>
          <w:i/>
        </w:rPr>
        <w:t>Formato IEEE</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OpenSanctions. (2024). </w:t>
      </w:r>
      <w:r>
        <w:rPr>
          <w:i/>
        </w:rPr>
        <w:t>OpenSanctions: Open Data on Sanctions Lists and Politically Exposed Persons</w:t>
      </w:r>
      <w:r>
        <w:t xml:space="preserve"> [Online]. Available: https://www.opensanctions.org (accedido: 8 sep. 2026).</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9. Estructura del repositorio de código.</w:t>
      </w:r>
    </w:p>
    <w:tbl>
      <w:tblPr>
        <w:tblStyle w:val="Table"/>
        <w:tblW w:type="pct" w:w="5000.0"/>
        <w:tblLook w:firstRow="1"/>
      </w:tblPr>
      <w:tblGrid>
        <w:gridCol w:w="5461"/>
        <w:gridCol w:w="3377"/>
      </w:tblGrid>
      <w:tr>
        <w:trPr>
          <w:cnfStyle w:firstRow="1"/>
        </w:trPr>
        <w:tc>
          <w:tcPr>
            <w:tcW w:type="dxa" w:w="5461"/>
            <w:tcBorders>
              <w:bottom w:val="single"/>
            </w:tcBorders>
            <w:vAlign w:val="bottom"/>
          </w:tcPr>
          <w:p>
            <w:pPr>
              <w:pStyle w:val="Compact"/>
              <w:jc w:val="left"/>
            </w:pPr>
            <w:r>
              <w:rPr>
                <w:b/>
              </w:rPr>
              <w:t>Ruta</w:t>
            </w:r>
          </w:p>
        </w:tc>
        <w:tc>
          <w:tcPr>
            <w:tcW w:type="dxa" w:w="3377"/>
            <w:tcBorders>
              <w:bottom w:val="single"/>
            </w:tcBorders>
            <w:vAlign w:val="bottom"/>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p>
        </w:tc>
      </w:tr>
      <w:tr>
        <w:tc>
          <w:tcPr>
            <w:tcW w:type="dxa" w:w="5461"/>
          </w:tcPr>
          <w:p>
            <w:pPr>
              <w:pStyle w:val="Compact"/>
              <w:jc w:val="left"/>
            </w:pPr>
            <w:r>
              <w:rPr>
                <w:b w:val="0"/>
              </w:rPr>
              <w:t>src/</w:t>
            </w:r>
          </w:p>
        </w:tc>
        <w:tc>
          <w:tcPr>
            <w:tcW w:type="dxa" w:w="3377"/>
          </w:tcPr>
          <w:p>
            <w:pPr>
              <w:pStyle w:val="Compact"/>
              <w:jc w:val="left"/>
            </w:pP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p>
        </w:tc>
      </w:tr>
      <w:tr>
        <w:tc>
          <w:tcPr>
            <w:tcW w:type="dxa" w:w="5461"/>
          </w:tcPr>
          <w:p>
            <w:pPr>
              <w:pStyle w:val="Compact"/>
              <w:jc w:val="left"/>
            </w:pPr>
            <w:r>
              <w:rPr>
                <w:b w:val="0"/>
              </w:rPr>
              <w:t xml:space="preserve">    statistical_report.md</w:t>
            </w:r>
          </w:p>
        </w:tc>
        <w:tc>
          <w:tcPr>
            <w:tcW w:type="dxa" w:w="3377"/>
          </w:tcPr>
          <w:p>
            <w:pPr>
              <w:pStyle w:val="Compact"/>
              <w:jc w:val="left"/>
            </w:pP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p>
        </w:tc>
      </w:tr>
      <w:tr>
        <w:tc>
          <w:tcPr>
            <w:tcW w:type="dxa" w:w="5461"/>
          </w:tcPr>
          <w:p>
            <w:pPr>
              <w:pStyle w:val="Compact"/>
              <w:jc w:val="left"/>
            </w:pPr>
            <w:r>
              <w:rPr>
                <w:b w:val="0"/>
              </w:rPr>
              <w:t xml:space="preserve">    rag/</w:t>
            </w:r>
          </w:p>
        </w:tc>
        <w:tc>
          <w:tcPr>
            <w:tcW w:type="dxa" w:w="3377"/>
          </w:tcPr>
          <w:p>
            <w:pPr>
              <w:pStyle w:val="Compact"/>
              <w:jc w:val="left"/>
            </w:pP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Normal"/>
      </w:pPr>
      <w:r>
        <w:rPr>
          <w:b/>
        </w:rPr>
        <w:t>Ejemplos few-shot de la configuración FS-ES</w:t>
      </w:r>
      <w:r>
        <w:t xml:space="preserve"> (§4.3):</w:t>
      </w:r>
    </w:p>
    <w:p>
      <w:pPr>
        <w:numPr>
          <w:ilvl w:val="0"/>
          <w:numId w:val="0"/>
        </w:numPr>
        <w:pStyle w:val="Normal"/>
      </w:pPr>
      <w:r>
        <w:rPr>
          <w:b/>
        </w:rPr>
        <w:t>Ejemplo few-shot 1 (caso persona sancionada):</w:t>
      </w:r>
    </w:p>
    <w:p>
      <w:pPr>
        <w:numPr>
          <w:ilvl w:val="0"/>
          <w:numId w:val="0"/>
        </w:numPr>
        <w:pStyle w:val="SourceCode"/>
      </w:pPr>
      <w:r>
        <w:t>Texto: "El empresario ruso Roman Abramovich fue incluido en las listas de sanciones de la Unión Europea por sus vínculos con el régimen del Kremlin a través de su empresa Evraz PLC."</w:t>
      </w:r>
      <w:r>
        <w:br/>
      </w:r>
      <w:r>
        <w:t>Respuesta: {"Persons": ["Roman Abramovich"], "Organizations": ["Evraz PLC"]}</w:t>
      </w:r>
    </w:p>
    <w:p>
      <w:pPr>
        <w:numPr>
          <w:ilvl w:val="0"/>
          <w:numId w:val="0"/>
        </w:numPr>
        <w:pStyle w:val="Normal"/>
      </w:pPr>
      <w:r>
        <w:rPr>
          <w:b/>
        </w:rPr>
        <w:t>Ejemplo few-shot 2 (caso organización sancionada):</w:t>
      </w:r>
    </w:p>
    <w:p>
      <w:pPr>
        <w:numPr>
          <w:ilvl w:val="0"/>
          <w:numId w:val="0"/>
        </w:numPr>
        <w:pStyle w:val="SourceCode"/>
      </w:pPr>
      <w:r>
        <w:t>Texto: "El Departamento del Tesoro de los Estados Unidos sancionó al banco Rossiya, señalándolo como banco personal de altos funcionarios del gobierno ruso."</w:t>
      </w:r>
      <w:r>
        <w:br/>
      </w:r>
      <w:r>
        <w:t>Respuesta: {"Persons": [], "Organizations": ["Banco Rossiya", "Departamento del Tesoro"]}</w:t>
      </w:r>
    </w:p>
    <w:p>
      <w:pPr>
        <w:numPr>
          <w:ilvl w:val="0"/>
          <w:numId w:val="0"/>
        </w:numPr>
        <w:pStyle w:val="Normal"/>
      </w:pPr>
      <w:r>
        <w:rPr>
          <w:b/>
        </w:rPr>
        <w:t>Ejemplo few-shot 3 (caso PEP complejo):</w:t>
      </w:r>
    </w:p>
    <w:p>
      <w:pPr>
        <w:numPr>
          <w:ilvl w:val="0"/>
          <w:numId w:val="0"/>
        </w:numPr>
        <w:pStyle w:val="SourceCode"/>
      </w:pPr>
      <w:r>
        <w:t>Texto: "Isabel dos Santos, hija del expresidente angoleño José Eduardo dos Santos, figura en investigaciones de la empresa estatal Sonangol por presunto desvío de fondos."</w:t>
      </w:r>
      <w:r>
        <w:br/>
      </w:r>
      <w:r>
        <w:t>Respuesta: {"Persons": ["Isabel dos Santos", "José Eduardo dos Santos"], "Organizations": ["Sonangol"]}</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10. Configuración del entorno de pruebas.</w:t>
      </w:r>
    </w:p>
    <w:tbl>
      <w:tblPr>
        <w:tblStyle w:val="Table"/>
        <w:tblW w:type="pct" w:w="5000.0"/>
        <w:tblLook w:firstRow="1"/>
      </w:tblPr>
      <w:tblGrid>
        <w:gridCol w:w="4419"/>
        <w:gridCol w:w="4419"/>
      </w:tblGrid>
      <w:tr>
        <w:trPr>
          <w:cnfStyle w:firstRow="1"/>
        </w:trPr>
        <w:tc>
          <w:tcPr>
            <w:tcW w:type="dxa" w:w="4419"/>
            <w:tcBorders>
              <w:bottom w:val="single"/>
            </w:tcBorders>
            <w:vAlign w:val="bottom"/>
          </w:tcPr>
          <w:p>
            <w:pPr>
              <w:pStyle w:val="Compact"/>
              <w:jc w:val="left"/>
            </w:pPr>
            <w:r>
              <w:rPr>
                <w:b/>
              </w:rPr>
              <w:t>Componente</w:t>
            </w:r>
          </w:p>
        </w:tc>
        <w:tc>
          <w:tcPr>
            <w:tcW w:type="dxa" w:w="4419"/>
            <w:tcBorders>
              <w:bottom w:val="single"/>
            </w:tcBorders>
            <w:vAlign w:val="bottom"/>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w:t>
      </w:r>
    </w:p>
    <w:p>
      <w:pPr>
        <w:numPr>
          <w:ilvl w:val="0"/>
          <w:numId w:val="0"/>
        </w:numPr>
        <w:pStyle w:val="TableCaption"/>
      </w:pPr>
      <w:r>
        <w:t>Tabla 11. Configuración CLI del Módulo KB RAG.</w:t>
      </w:r>
    </w:p>
    <w:tbl>
      <w:tblPr>
        <w:tblStyle w:val="Table"/>
        <w:tblW w:type="pct" w:w="5000.0"/>
        <w:tblLook w:firstRow="1"/>
      </w:tblPr>
      <w:tblGrid>
        <w:gridCol w:w="1148"/>
        <w:gridCol w:w="2121"/>
        <w:gridCol w:w="3004"/>
        <w:gridCol w:w="2565"/>
      </w:tblGrid>
      <w:tr>
        <w:trPr>
          <w:cnfStyle w:firstRow="1"/>
        </w:trPr>
        <w:tc>
          <w:tcPr>
            <w:tcW w:type="dxa" w:w="1148"/>
            <w:tcBorders>
              <w:bottom w:val="single"/>
            </w:tcBorders>
            <w:vAlign w:val="bottom"/>
          </w:tcPr>
          <w:p>
            <w:pPr>
              <w:pStyle w:val="Compact"/>
              <w:jc w:val="left"/>
            </w:pPr>
            <w:r>
              <w:rPr>
                <w:b/>
              </w:rPr>
              <w:t>Modo</w:t>
            </w:r>
          </w:p>
        </w:tc>
        <w:tc>
          <w:tcPr>
            <w:tcW w:type="dxa" w:w="2121"/>
            <w:tcBorders>
              <w:bottom w:val="single"/>
            </w:tcBorders>
            <w:vAlign w:val="bottom"/>
          </w:tcPr>
          <w:p>
            <w:pPr>
              <w:pStyle w:val="Compact"/>
              <w:jc w:val="left"/>
            </w:pPr>
            <w:r>
              <w:rPr>
                <w:b/>
              </w:rPr>
              <w:t>Flag CLI</w:t>
            </w:r>
          </w:p>
        </w:tc>
        <w:tc>
          <w:tcPr>
            <w:tcW w:type="dxa" w:w="3004"/>
            <w:tcBorders>
              <w:bottom w:val="single"/>
            </w:tcBorders>
            <w:vAlign w:val="bottom"/>
          </w:tcPr>
          <w:p>
            <w:pPr>
              <w:pStyle w:val="Compact"/>
              <w:jc w:val="left"/>
            </w:pPr>
            <w:r>
              <w:rPr>
                <w:b/>
              </w:rPr>
              <w:t>Descripción</w:t>
            </w:r>
          </w:p>
        </w:tc>
        <w:tc>
          <w:tcPr>
            <w:tcW w:type="dxa" w:w="2565"/>
            <w:tcBorders>
              <w:bottom w:val="single"/>
            </w:tcBorders>
            <w:vAlign w:val="bottom"/>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TableCaption"/>
      </w:pPr>
      <w:r>
        <w:t>Tabla 12. Guías Tipológicas de Dominio de la Base de Conocimientos.</w:t>
      </w:r>
    </w:p>
    <w:tbl>
      <w:tblPr>
        <w:tblStyle w:val="Table"/>
        <w:tblW w:type="pct" w:w="5000.0"/>
        <w:tblLook w:firstRow="1"/>
      </w:tblPr>
      <w:tblGrid>
        <w:gridCol w:w="2513"/>
        <w:gridCol w:w="2211"/>
        <w:gridCol w:w="900"/>
        <w:gridCol w:w="3214"/>
      </w:tblGrid>
      <w:tr>
        <w:trPr>
          <w:cnfStyle w:firstRow="1"/>
        </w:trPr>
        <w:tc>
          <w:tcPr>
            <w:tcW w:type="dxa" w:w="2513"/>
            <w:tcBorders>
              <w:bottom w:val="single"/>
            </w:tcBorders>
            <w:vAlign w:val="bottom"/>
          </w:tcPr>
          <w:p>
            <w:pPr>
              <w:pStyle w:val="Compact"/>
              <w:jc w:val="left"/>
            </w:pPr>
            <w:r>
              <w:rPr>
                <w:b/>
              </w:rPr>
              <w:t>Dominio</w:t>
            </w:r>
          </w:p>
        </w:tc>
        <w:tc>
          <w:tcPr>
            <w:tcW w:type="dxa" w:w="2211"/>
            <w:tcBorders>
              <w:bottom w:val="single"/>
            </w:tcBorders>
            <w:vAlign w:val="bottom"/>
          </w:tcPr>
          <w:p>
            <w:pPr>
              <w:pStyle w:val="Compact"/>
              <w:jc w:val="left"/>
            </w:pPr>
            <w:r>
              <w:rPr>
                <w:b/>
              </w:rPr>
              <w:t>ID</w:t>
            </w:r>
          </w:p>
        </w:tc>
        <w:tc>
          <w:tcPr>
            <w:tcW w:type="dxa" w:w="900"/>
            <w:tcBorders>
              <w:bottom w:val="single"/>
            </w:tcBorders>
            <w:vAlign w:val="bottom"/>
          </w:tcPr>
          <w:p>
            <w:pPr>
              <w:pStyle w:val="Compact"/>
              <w:jc w:val="left"/>
            </w:pPr>
            <w:r>
              <w:rPr>
                <w:b/>
              </w:rPr>
              <w:t>Idioma</w:t>
            </w:r>
          </w:p>
        </w:tc>
        <w:tc>
          <w:tcPr>
            <w:tcW w:type="dxa" w:w="3214"/>
            <w:tcBorders>
              <w:bottom w:val="single"/>
            </w:tcBorders>
            <w:vAlign w:val="bottom"/>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TableCaption"/>
      </w:pPr>
      <w:r>
        <w:t>Tabla 13. Ejemplares Few-Shot de la Base de Conocimientos.</w:t>
      </w:r>
    </w:p>
    <w:tbl>
      <w:tblPr>
        <w:tblStyle w:val="Table"/>
        <w:tblW w:type="pct" w:w="5000.0"/>
        <w:tblLook w:firstRow="1"/>
      </w:tblPr>
      <w:tblGrid>
        <w:gridCol w:w="4344"/>
        <w:gridCol w:w="2396"/>
        <w:gridCol w:w="2098"/>
      </w:tblGrid>
      <w:tr>
        <w:trPr>
          <w:cnfStyle w:firstRow="1"/>
        </w:trPr>
        <w:tc>
          <w:tcPr>
            <w:tcW w:type="dxa" w:w="4344"/>
            <w:tcBorders>
              <w:bottom w:val="single"/>
            </w:tcBorders>
            <w:vAlign w:val="bottom"/>
          </w:tcPr>
          <w:p>
            <w:pPr>
              <w:pStyle w:val="Compact"/>
              <w:jc w:val="left"/>
            </w:pPr>
            <w:r>
              <w:rPr>
                <w:b/>
              </w:rPr>
              <w:t>ID Ejemplar</w:t>
            </w:r>
          </w:p>
        </w:tc>
        <w:tc>
          <w:tcPr>
            <w:tcW w:type="dxa" w:w="2396"/>
            <w:tcBorders>
              <w:bottom w:val="single"/>
            </w:tcBorders>
            <w:vAlign w:val="bottom"/>
          </w:tcPr>
          <w:p>
            <w:pPr>
              <w:pStyle w:val="Compact"/>
              <w:jc w:val="left"/>
            </w:pPr>
            <w:r>
              <w:rPr>
                <w:b/>
              </w:rPr>
              <w:t>Dominio</w:t>
            </w:r>
          </w:p>
        </w:tc>
        <w:tc>
          <w:tcPr>
            <w:tcW w:type="dxa" w:w="2098"/>
            <w:tcBorders>
              <w:bottom w:val="single"/>
            </w:tcBorders>
            <w:vAlign w:val="bottom"/>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TableCaption"/>
      </w:pPr>
      <w:r>
        <w:t>Tabla 14. Reglas de la guía tipológica del dominio político-administrativo (politics_es), a modo de ejemplo.</w:t>
      </w:r>
    </w:p>
    <w:tbl>
      <w:tblPr>
        <w:tblStyle w:val="Table"/>
        <w:tblW w:type="pct" w:w="5000.0"/>
        <w:tblLook w:firstRow="1"/>
      </w:tblPr>
      <w:tblGrid>
        <w:gridCol w:w="3130"/>
        <w:gridCol w:w="5708"/>
      </w:tblGrid>
      <w:tr>
        <w:trPr>
          <w:cnfStyle w:firstRow="1"/>
        </w:trPr>
        <w:tc>
          <w:tcPr>
            <w:tcW w:type="dxa" w:w="3130"/>
            <w:tcBorders>
              <w:bottom w:val="single"/>
            </w:tcBorders>
            <w:vAlign w:val="bottom"/>
          </w:tcPr>
          <w:p>
            <w:pPr>
              <w:pStyle w:val="Compact"/>
              <w:jc w:val="left"/>
            </w:pPr>
            <w:r>
              <w:rPr>
                <w:b/>
              </w:rPr>
              <w:t>Regla</w:t>
            </w:r>
          </w:p>
        </w:tc>
        <w:tc>
          <w:tcPr>
            <w:tcW w:type="dxa" w:w="5708"/>
            <w:tcBorders>
              <w:bottom w:val="single"/>
            </w:tcBorders>
            <w:vAlign w:val="bottom"/>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TableCaption"/>
      </w:pPr>
      <w:r>
        <w:t>Tabla 15. Procedencia de cada fila del benchmark exploratorio: correspondencia con su corrida de origen.</w:t>
      </w:r>
    </w:p>
    <w:tbl>
      <w:tblPr>
        <w:tblStyle w:val="Table"/>
        <w:tblW w:type="pct" w:w="5000.0"/>
        <w:tblLook w:firstRow="1"/>
      </w:tblPr>
      <w:tblGrid>
        <w:gridCol w:w="4215"/>
        <w:gridCol w:w="4623"/>
      </w:tblGrid>
      <w:tr>
        <w:trPr>
          <w:cnfStyle w:firstRow="1"/>
        </w:trPr>
        <w:tc>
          <w:tcPr>
            <w:tcW w:type="dxa" w:w="4215"/>
            <w:tcBorders>
              <w:bottom w:val="single"/>
            </w:tcBorders>
            <w:vAlign w:val="bottom"/>
          </w:tcPr>
          <w:p>
            <w:pPr>
              <w:pStyle w:val="Compact"/>
              <w:jc w:val="left"/>
            </w:pPr>
            <w:r>
              <w:rPr>
                <w:b/>
              </w:rPr>
              <w:t>Filas de la Tabla 4</w:t>
            </w:r>
          </w:p>
        </w:tc>
        <w:tc>
          <w:tcPr>
            <w:tcW w:type="dxa" w:w="4623"/>
            <w:tcBorders>
              <w:bottom w:val="single"/>
            </w:tcBorders>
            <w:vAlign w:val="bottom"/>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16. Formas corruptas de los nombres almacenados y su representación real.</w:t>
      </w:r>
    </w:p>
    <w:tbl>
      <w:tblPr>
        <w:tblStyle w:val="Table"/>
        <w:tblW w:type="pct" w:w="5000.0"/>
        <w:tblLook w:firstRow="1"/>
      </w:tblPr>
      <w:tblGrid>
        <w:gridCol w:w="5077"/>
        <w:gridCol w:w="3761"/>
      </w:tblGrid>
      <w:tr>
        <w:trPr>
          <w:cnfStyle w:firstRow="1"/>
        </w:trPr>
        <w:tc>
          <w:tcPr>
            <w:tcW w:type="dxa" w:w="5077"/>
            <w:tcBorders>
              <w:bottom w:val="single"/>
            </w:tcBorders>
            <w:vAlign w:val="bottom"/>
          </w:tcPr>
          <w:p>
            <w:pPr>
              <w:pStyle w:val="Compact"/>
              <w:jc w:val="left"/>
            </w:pPr>
            <w:r>
              <w:rPr>
                <w:b/>
              </w:rPr>
              <w:t>Forma almacenada (corrupta)</w:t>
            </w:r>
          </w:p>
        </w:tc>
        <w:tc>
          <w:tcPr>
            <w:tcW w:type="dxa" w:w="3761"/>
            <w:tcBorders>
              <w:bottom w:val="single"/>
            </w:tcBorders>
            <w:vAlign w:val="bottom"/>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17. Alcance medido del defecto de codificación sobre el corpus N=120.</w:t>
      </w:r>
    </w:p>
    <w:tbl>
      <w:tblPr>
        <w:tblStyle w:val="Table"/>
        <w:tblW w:type="pct" w:w="5000.0"/>
        <w:tblLook w:firstRow="1"/>
      </w:tblPr>
      <w:tblGrid>
        <w:gridCol w:w="5564"/>
        <w:gridCol w:w="3274"/>
      </w:tblGrid>
      <w:tr>
        <w:trPr>
          <w:cnfStyle w:firstRow="1"/>
        </w:trPr>
        <w:tc>
          <w:tcPr>
            <w:tcW w:type="dxa" w:w="5564"/>
            <w:tcBorders>
              <w:bottom w:val="single"/>
            </w:tcBorders>
            <w:vAlign w:val="bottom"/>
          </w:tcPr>
          <w:p>
            <w:pPr>
              <w:pStyle w:val="Compact"/>
              <w:jc w:val="left"/>
            </w:pPr>
            <w:r>
              <w:rPr>
                <w:b/>
              </w:rPr>
              <w:t>Comprobación sobre data/benchmark_balanced_120.json</w:t>
            </w:r>
          </w:p>
        </w:tc>
        <w:tc>
          <w:tcPr>
            <w:tcW w:type="dxa" w:w="3274"/>
            <w:tcBorders>
              <w:bottom w:val="single"/>
            </w:tcBorders>
            <w:vAlign w:val="bottom"/>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BodyText"/>
      </w:pPr>
      <w:r>
        <w:t xml:space="preserve">El efecto se midió sobre las 24 configuraciones del corpus N=120 que aportan los ciento veinte registros completos, con el script </w:t>
      </w:r>
      <w:r>
        <w:t>tools/analisis_mojibake.py</w:t>
      </w:r>
      <w:r>
        <w:t xml:space="preserve">, que se publica para que la tabla sea reproducible. La medición obliga a declarar el criterio de «artículo afectado», porque </w:t>
      </w:r>
      <w:r>
        <w:rPr>
          <w:b/>
        </w:rPr>
        <w:t>el signo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pct" w:w="5000.0"/>
        <w:tblLook w:firstRow="1"/>
      </w:tblPr>
      <w:tblGrid>
        <w:gridCol w:w="2981"/>
        <w:gridCol w:w="3194"/>
        <w:gridCol w:w="2663"/>
      </w:tblGrid>
      <w:tr>
        <w:trPr>
          <w:cnfStyle w:firstRow="1"/>
        </w:trPr>
        <w:tc>
          <w:tcPr>
            <w:tcW w:type="dxa" w:w="2981"/>
            <w:tcBorders>
              <w:bottom w:val="single"/>
            </w:tcBorders>
            <w:vAlign w:val="bottom"/>
          </w:tcPr>
          <w:p>
            <w:pPr>
              <w:pStyle w:val="Compact"/>
              <w:jc w:val="left"/>
            </w:pPr>
            <w:r>
              <w:rPr>
                <w:b/>
              </w:rPr>
              <w:t>Configuración</w:t>
            </w:r>
          </w:p>
        </w:tc>
        <w:tc>
          <w:tcPr>
            <w:tcW w:type="dxa" w:w="3194"/>
            <w:tcBorders>
              <w:bottom w:val="single"/>
            </w:tcBorders>
            <w:vAlign w:val="bottom"/>
          </w:tcPr>
          <w:p>
            <w:pPr>
              <w:pStyle w:val="Compact"/>
              <w:jc w:val="left"/>
            </w:pPr>
            <w:r>
              <w:rPr>
                <w:b/>
              </w:rPr>
              <w:t>Δ F1 por entidad de referencia</w:t>
            </w:r>
          </w:p>
        </w:tc>
        <w:tc>
          <w:tcPr>
            <w:tcW w:type="dxa" w:w="2663"/>
            <w:tcBorders>
              <w:bottom w:val="single"/>
            </w:tcBorders>
            <w:vAlign w:val="bottom"/>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19 de las 24 configuraciones puntúan mejor</w:t>
      </w:r>
      <w:r>
        <w:t xml:space="preserve"> en los artículos cuya anotación de referencia está corrompida, y </w:t>
      </w:r>
      <w:r>
        <w:rPr>
          <w:b/>
        </w:rPr>
        <w:t>5 de las 24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 y ahí el efecto es de signo negativo.</w:t>
      </w:r>
    </w:p>
    <w:p>
      <w:pPr>
        <w:numPr>
          <w:ilvl w:val="0"/>
          <w:numId w:val="0"/>
        </w:numPr>
        <w:pStyle w:val="BodyText"/>
      </w:pPr>
      <w:r>
        <w:rPr>
          <w:b/>
        </w:rPr>
        <w:t>Cautela metodológica, y una advertencia sobre la versión anterior de esta tabla.</w:t>
      </w:r>
      <w:r>
        <w:t xml:space="preserve"> Los artículos afectados podrían ser además más largos o intrínsecamente más difíciles, lo que confundiría la magnitud absoluta de cada diferencia; el sentido del efecto, sin embargo, es consistente dentro de cada criterio. Una versión anterior de este anexo declaraba una partición de 88 artículos afectados y 31 no —cuya suma es 119 y no 120— y unas diferencias que no se reproducen con ninguno de los dos criterios: para </w:t>
      </w:r>
      <w:r>
        <w:t>gemma4:latest</w:t>
      </w:r>
      <w:r>
        <w:t xml:space="preserve"> reportaba −0,0695 donde la medición da +0,0620 por entidad y −0,0958 por texto. Se sustituye por la tabla presente, obtenida con el script publicado, y se conserva esta nota para que la corrección quede trazable.</w:t>
      </w:r>
    </w:p>
    <w:p>
      <w:pPr>
        <w:numPr>
          <w:ilvl w:val="0"/>
          <w:numId w:val="0"/>
        </w:numPr>
        <w:pStyle w:val="Heading3"/>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w:t>
      </w:r>
    </w:p>
    <w:p>
      <w:pPr>
        <w:numPr>
          <w:ilvl w:val="0"/>
          <w:numId w:val="0"/>
        </w:numPr>
        <w:pStyle w:val="TableCaption"/>
      </w:pPr>
      <w:r>
        <w:t xml:space="preserve">Tabla 19. Desempeño publicado y desempeño restringido a personas y organizaciones (N=120, 42 configuraciones).</w:t>
      </w:r>
    </w:p>
    <w:tbl>
      <w:tblPr>
        <w:tblStyle w:val="Table"/>
        <w:tblW w:type="pct" w:w="5000.0"/>
        <w:tblLook w:firstRow="1"/>
      </w:tblPr>
      <w:tblGrid>
        <w:gridCol w:w="944"/>
        <w:gridCol w:w="2494"/>
        <w:gridCol w:w="900"/>
        <w:gridCol w:w="900"/>
        <w:gridCol w:w="900"/>
        <w:gridCol w:w="900"/>
        <w:gridCol w:w="900"/>
        <w:gridCol w:w="900"/>
      </w:tblGrid>
      <w:tr>
        <w:trPr>
          <w:cnfStyle w:firstRow="1"/>
        </w:trPr>
        <w:tc>
          <w:tcPr>
            <w:tcW w:type="dxa" w:w="944"/>
            <w:tcBorders>
              <w:bottom w:val="single"/>
            </w:tcBorders>
            <w:vAlign w:val="bottom"/>
          </w:tcPr>
          <w:p>
            <w:pPr>
              <w:pStyle w:val="Compact"/>
              <w:jc w:val="left"/>
            </w:pPr>
            <w:r>
              <w:rPr>
                <w:b/>
              </w:rPr>
              <w:t>Configuración</w:t>
            </w:r>
          </w:p>
        </w:tc>
        <w:tc>
          <w:tcPr>
            <w:tcW w:type="dxa" w:w="2494"/>
            <w:tcBorders>
              <w:bottom w:val="single"/>
            </w:tcBorders>
            <w:vAlign w:val="bottom"/>
          </w:tcPr>
          <w:p>
            <w:pPr>
              <w:pStyle w:val="Compact"/>
              <w:jc w:val="left"/>
            </w:pPr>
            <w:r>
              <w:rPr>
                <w:b/>
              </w:rPr>
              <w:t>Corrida</w:t>
            </w:r>
          </w:p>
        </w:tc>
        <w:tc>
          <w:tcPr>
            <w:tcW w:type="dxa" w:w="900"/>
            <w:tcBorders>
              <w:bottom w:val="single"/>
            </w:tcBorders>
            <w:vAlign w:val="bottom"/>
          </w:tcPr>
          <w:p>
            <w:pPr>
              <w:pStyle w:val="Compact"/>
              <w:jc w:val="left"/>
            </w:pPr>
            <w:r>
              <w:rPr>
                <w:b/>
              </w:rPr>
              <w:t>P</w:t>
            </w:r>
          </w:p>
        </w:tc>
        <w:tc>
          <w:tcPr>
            <w:tcW w:type="dxa" w:w="900"/>
            <w:tcBorders>
              <w:bottom w:val="single"/>
            </w:tcBorders>
            <w:vAlign w:val="bottom"/>
          </w:tcPr>
          <w:p>
            <w:pPr>
              <w:pStyle w:val="Compact"/>
              <w:jc w:val="center"/>
            </w:pPr>
            <w:r>
              <w:rPr>
                <w:b/>
              </w:rPr>
              <w:t>R</w:t>
            </w:r>
          </w:p>
        </w:tc>
        <w:tc>
          <w:tcPr>
            <w:tcW w:type="dxa" w:w="900"/>
            <w:tcBorders>
              <w:bottom w:val="single"/>
            </w:tcBorders>
            <w:vAlign w:val="bottom"/>
          </w:tcPr>
          <w:p>
            <w:pPr>
              <w:pStyle w:val="Compact"/>
              <w:jc w:val="center"/>
            </w:pPr>
            <w:r>
              <w:rPr>
                <w:b/>
              </w:rPr>
              <w:t>F1</w:t>
            </w:r>
          </w:p>
        </w:tc>
        <w:tc>
          <w:tcPr>
            <w:tcW w:type="dxa" w:w="900"/>
            <w:tcBorders>
              <w:bottom w:val="single"/>
            </w:tcBorders>
            <w:vAlign w:val="bottom"/>
          </w:tcPr>
          <w:p>
            <w:pPr>
              <w:pStyle w:val="Compact"/>
              <w:jc w:val="left"/>
            </w:pPr>
            <w:r>
              <w:rPr>
                <w:b/>
              </w:rPr>
              <w:t>P restr.</w:t>
            </w:r>
          </w:p>
        </w:tc>
        <w:tc>
          <w:tcPr>
            <w:tcW w:type="dxa" w:w="900"/>
            <w:tcBorders>
              <w:bottom w:val="single"/>
            </w:tcBorders>
            <w:vAlign w:val="bottom"/>
          </w:tcPr>
          <w:p>
            <w:pPr>
              <w:pStyle w:val="Compact"/>
              <w:jc w:val="left"/>
            </w:pPr>
            <w:r>
              <w:rPr>
                <w:b/>
              </w:rPr>
              <w:t>F1 restr.</w:t>
            </w:r>
          </w:p>
        </w:tc>
        <w:tc>
          <w:tcPr>
            <w:tcW w:type="dxa" w:w="900"/>
            <w:tcBorders>
              <w:bottom w:val="single"/>
            </w:tcBorders>
            <w:vAlign w:val="bottom"/>
          </w:tcPr>
          <w:p>
            <w:pPr>
              <w:pStyle w:val="Compact"/>
              <w:jc w:val="left"/>
            </w:pPr>
            <w:r>
              <w:rPr>
                <w:b/>
              </w:rPr>
              <w:t>Δ F1</w:t>
            </w:r>
          </w:p>
        </w:tc>
      </w:tr>
      <w:tr>
        <w:tc>
          <w:tcPr>
            <w:tcW w:type="dxa" w:w="944"/>
          </w:tcPr>
          <w:p>
            <w:pPr>
              <w:pStyle w:val="Compact"/>
              <w:jc w:val="left"/>
            </w:pPr>
            <w:r>
              <w:rPr>
                <w:b w:val="0"/>
              </w:rPr>
              <w:t>gemma4:31b-cloud_baseline</w:t>
            </w:r>
          </w:p>
        </w:tc>
        <w:tc>
          <w:tcPr>
            <w:tcW w:type="dxa" w:w="2494"/>
          </w:tcPr>
          <w:p>
            <w:pPr>
              <w:pStyle w:val="Compact"/>
              <w:jc w:val="left"/>
            </w:pPr>
            <w:r>
              <w:rPr>
                <w:b w:val="0"/>
              </w:rPr>
              <w:t>gemma4_31b_cloud_n120_REMOTO</w:t>
            </w:r>
          </w:p>
        </w:tc>
        <w:tc>
          <w:tcPr>
            <w:tcW w:type="dxa" w:w="900"/>
          </w:tcPr>
          <w:p>
            <w:pPr>
              <w:pStyle w:val="Compact"/>
              <w:jc w:val="left"/>
            </w:pPr>
            <w:r>
              <w:rPr>
                <w:b w:val="0"/>
              </w:rPr>
              <w:t xml:space="preserve">55.80</w:t>
            </w:r>
          </w:p>
        </w:tc>
        <w:tc>
          <w:tcPr>
            <w:tcW w:type="dxa" w:w="900"/>
          </w:tcPr>
          <w:p>
            <w:pPr>
              <w:pStyle w:val="Compact"/>
              <w:jc w:val="center"/>
            </w:pPr>
            <w:r>
              <w:rPr>
                <w:b w:val="0"/>
              </w:rPr>
              <w:t xml:space="preserve">75.30</w:t>
            </w:r>
          </w:p>
        </w:tc>
        <w:tc>
          <w:tcPr>
            <w:tcW w:type="dxa" w:w="900"/>
          </w:tcPr>
          <w:p>
            <w:pPr>
              <w:pStyle w:val="Compact"/>
              <w:jc w:val="center"/>
            </w:pPr>
            <w:r>
              <w:rPr>
                <w:b w:val="0"/>
              </w:rPr>
              <w:t xml:space="preserve">62.38</w:t>
            </w:r>
          </w:p>
        </w:tc>
        <w:tc>
          <w:tcPr>
            <w:tcW w:type="dxa" w:w="900"/>
          </w:tcPr>
          <w:p>
            <w:pPr>
              <w:pStyle w:val="Compact"/>
              <w:jc w:val="left"/>
            </w:pPr>
            <w:r>
              <w:rPr>
                <w:b w:val="0"/>
              </w:rPr>
              <w:t xml:space="preserve">85.51</w:t>
            </w:r>
          </w:p>
        </w:tc>
        <w:tc>
          <w:tcPr>
            <w:tcW w:type="dxa" w:w="900"/>
          </w:tcPr>
          <w:p>
            <w:pPr>
              <w:pStyle w:val="Compact"/>
              <w:jc w:val="left"/>
            </w:pPr>
            <w:r>
              <w:rPr>
                <w:b w:val="0"/>
              </w:rPr>
              <w:t xml:space="preserve">80.42</w:t>
            </w:r>
          </w:p>
        </w:tc>
        <w:tc>
          <w:tcPr>
            <w:tcW w:type="dxa" w:w="900"/>
          </w:tcPr>
          <w:p>
            <w:pPr>
              <w:pStyle w:val="Compact"/>
              <w:jc w:val="left"/>
            </w:pPr>
            <w:r>
              <w:rPr>
                <w:b w:val="0"/>
              </w:rPr>
              <w:t xml:space="preserve">+18.03</w:t>
            </w:r>
          </w:p>
        </w:tc>
      </w:tr>
      <w:tr>
        <w:tc>
          <w:tcPr>
            <w:tcW w:type="dxa" w:w="944"/>
          </w:tcPr>
          <w:p>
            <w:pPr>
              <w:pStyle w:val="Compact"/>
              <w:jc w:val="left"/>
            </w:pPr>
            <w:r>
              <w:rPr>
                <w:b w:val="0"/>
              </w:rPr>
              <w:t>gemma4:31b-cloud_kb_rag</w:t>
            </w:r>
          </w:p>
        </w:tc>
        <w:tc>
          <w:tcPr>
            <w:tcW w:type="dxa" w:w="2494"/>
          </w:tcPr>
          <w:p>
            <w:pPr>
              <w:pStyle w:val="Compact"/>
              <w:jc w:val="left"/>
            </w:pPr>
            <w:r>
              <w:rPr>
                <w:b w:val="0"/>
              </w:rPr>
              <w:t>gemma4_31b_cloud_n120_REMOTO</w:t>
            </w:r>
          </w:p>
        </w:tc>
        <w:tc>
          <w:tcPr>
            <w:tcW w:type="dxa" w:w="900"/>
          </w:tcPr>
          <w:p>
            <w:pPr>
              <w:pStyle w:val="Compact"/>
              <w:jc w:val="left"/>
            </w:pPr>
            <w:r>
              <w:rPr>
                <w:b w:val="0"/>
              </w:rPr>
              <w:t xml:space="preserve">54.92</w:t>
            </w:r>
          </w:p>
        </w:tc>
        <w:tc>
          <w:tcPr>
            <w:tcW w:type="dxa" w:w="900"/>
          </w:tcPr>
          <w:p>
            <w:pPr>
              <w:pStyle w:val="Compact"/>
              <w:jc w:val="center"/>
            </w:pPr>
            <w:r>
              <w:rPr>
                <w:b w:val="0"/>
              </w:rPr>
              <w:t xml:space="preserve">75.11</w:t>
            </w:r>
          </w:p>
        </w:tc>
        <w:tc>
          <w:tcPr>
            <w:tcW w:type="dxa" w:w="900"/>
          </w:tcPr>
          <w:p>
            <w:pPr>
              <w:pStyle w:val="Compact"/>
              <w:jc w:val="center"/>
            </w:pPr>
            <w:r>
              <w:rPr>
                <w:b w:val="0"/>
              </w:rPr>
              <w:t xml:space="preserve">61.85</w:t>
            </w:r>
          </w:p>
        </w:tc>
        <w:tc>
          <w:tcPr>
            <w:tcW w:type="dxa" w:w="900"/>
          </w:tcPr>
          <w:p>
            <w:pPr>
              <w:pStyle w:val="Compact"/>
              <w:jc w:val="left"/>
            </w:pPr>
            <w:r>
              <w:rPr>
                <w:b w:val="0"/>
              </w:rPr>
              <w:t xml:space="preserve">82.40</w:t>
            </w:r>
          </w:p>
        </w:tc>
        <w:tc>
          <w:tcPr>
            <w:tcW w:type="dxa" w:w="900"/>
          </w:tcPr>
          <w:p>
            <w:pPr>
              <w:pStyle w:val="Compact"/>
              <w:jc w:val="left"/>
            </w:pPr>
            <w:r>
              <w:rPr>
                <w:b w:val="0"/>
              </w:rPr>
              <w:t xml:space="preserve">78.89</w:t>
            </w:r>
          </w:p>
        </w:tc>
        <w:tc>
          <w:tcPr>
            <w:tcW w:type="dxa" w:w="900"/>
          </w:tcPr>
          <w:p>
            <w:pPr>
              <w:pStyle w:val="Compact"/>
              <w:jc w:val="left"/>
            </w:pPr>
            <w:r>
              <w:rPr>
                <w:b w:val="0"/>
              </w:rPr>
              <w:t xml:space="preserve">+17.05</w:t>
            </w:r>
          </w:p>
        </w:tc>
      </w:tr>
      <w:tr>
        <w:tc>
          <w:tcPr>
            <w:tcW w:type="dxa" w:w="944"/>
          </w:tcPr>
          <w:p>
            <w:pPr>
              <w:pStyle w:val="Compact"/>
              <w:jc w:val="left"/>
            </w:pPr>
            <w:r>
              <w:rPr>
                <w:b w:val="0"/>
              </w:rPr>
              <w:t>gemma4:31b-mlx_baseline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52.89</w:t>
            </w:r>
          </w:p>
        </w:tc>
        <w:tc>
          <w:tcPr>
            <w:tcW w:type="dxa" w:w="900"/>
          </w:tcPr>
          <w:p>
            <w:pPr>
              <w:pStyle w:val="Compact"/>
              <w:jc w:val="center"/>
            </w:pPr>
            <w:r>
              <w:rPr>
                <w:b w:val="0"/>
              </w:rPr>
              <w:t xml:space="preserve">72.35</w:t>
            </w:r>
          </w:p>
        </w:tc>
        <w:tc>
          <w:tcPr>
            <w:tcW w:type="dxa" w:w="900"/>
          </w:tcPr>
          <w:p>
            <w:pPr>
              <w:pStyle w:val="Compact"/>
              <w:jc w:val="center"/>
            </w:pPr>
            <w:r>
              <w:rPr>
                <w:b w:val="0"/>
              </w:rPr>
              <w:t xml:space="preserve">59.25</w:t>
            </w:r>
          </w:p>
        </w:tc>
        <w:tc>
          <w:tcPr>
            <w:tcW w:type="dxa" w:w="900"/>
          </w:tcPr>
          <w:p>
            <w:pPr>
              <w:pStyle w:val="Compact"/>
              <w:jc w:val="left"/>
            </w:pPr>
            <w:r>
              <w:rPr>
                <w:b w:val="0"/>
              </w:rPr>
              <w:t xml:space="preserve">80.85</w:t>
            </w:r>
          </w:p>
        </w:tc>
        <w:tc>
          <w:tcPr>
            <w:tcW w:type="dxa" w:w="900"/>
          </w:tcPr>
          <w:p>
            <w:pPr>
              <w:pStyle w:val="Compact"/>
              <w:jc w:val="left"/>
            </w:pPr>
            <w:r>
              <w:rPr>
                <w:b w:val="0"/>
              </w:rPr>
              <w:t xml:space="preserve">76.55</w:t>
            </w:r>
          </w:p>
        </w:tc>
        <w:tc>
          <w:tcPr>
            <w:tcW w:type="dxa" w:w="900"/>
          </w:tcPr>
          <w:p>
            <w:pPr>
              <w:pStyle w:val="Compact"/>
              <w:jc w:val="left"/>
            </w:pPr>
            <w:r>
              <w:rPr>
                <w:b w:val="0"/>
              </w:rPr>
              <w:t xml:space="preserve">+17.30</w:t>
            </w:r>
          </w:p>
        </w:tc>
      </w:tr>
      <w:tr>
        <w:tc>
          <w:tcPr>
            <w:tcW w:type="dxa" w:w="944"/>
          </w:tcPr>
          <w:p>
            <w:pPr>
              <w:pStyle w:val="Compact"/>
              <w:jc w:val="left"/>
            </w:pPr>
            <w:r>
              <w:rPr>
                <w:b w:val="0"/>
              </w:rPr>
              <w:t>gemma4:31b-mlx_kb_rag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51.67</w:t>
            </w:r>
          </w:p>
        </w:tc>
        <w:tc>
          <w:tcPr>
            <w:tcW w:type="dxa" w:w="900"/>
          </w:tcPr>
          <w:p>
            <w:pPr>
              <w:pStyle w:val="Compact"/>
              <w:jc w:val="center"/>
            </w:pPr>
            <w:r>
              <w:rPr>
                <w:b w:val="0"/>
              </w:rPr>
              <w:t xml:space="preserve">73.59</w:t>
            </w:r>
          </w:p>
        </w:tc>
        <w:tc>
          <w:tcPr>
            <w:tcW w:type="dxa" w:w="900"/>
          </w:tcPr>
          <w:p>
            <w:pPr>
              <w:pStyle w:val="Compact"/>
              <w:jc w:val="center"/>
            </w:pPr>
            <w:r>
              <w:rPr>
                <w:b w:val="0"/>
              </w:rPr>
              <w:t xml:space="preserve">59.07</w:t>
            </w:r>
          </w:p>
        </w:tc>
        <w:tc>
          <w:tcPr>
            <w:tcW w:type="dxa" w:w="900"/>
          </w:tcPr>
          <w:p>
            <w:pPr>
              <w:pStyle w:val="Compact"/>
              <w:jc w:val="left"/>
            </w:pPr>
            <w:r>
              <w:rPr>
                <w:b w:val="0"/>
              </w:rPr>
              <w:t xml:space="preserve">77.11</w:t>
            </w:r>
          </w:p>
        </w:tc>
        <w:tc>
          <w:tcPr>
            <w:tcW w:type="dxa" w:w="900"/>
          </w:tcPr>
          <w:p>
            <w:pPr>
              <w:pStyle w:val="Compact"/>
              <w:jc w:val="left"/>
            </w:pPr>
            <w:r>
              <w:rPr>
                <w:b w:val="0"/>
              </w:rPr>
              <w:t xml:space="preserve">75.63</w:t>
            </w:r>
          </w:p>
        </w:tc>
        <w:tc>
          <w:tcPr>
            <w:tcW w:type="dxa" w:w="900"/>
          </w:tcPr>
          <w:p>
            <w:pPr>
              <w:pStyle w:val="Compact"/>
              <w:jc w:val="left"/>
            </w:pPr>
            <w:r>
              <w:rPr>
                <w:b w:val="0"/>
              </w:rPr>
              <w:t xml:space="preserve">+16.55</w:t>
            </w:r>
          </w:p>
        </w:tc>
      </w:tr>
      <w:tr>
        <w:tc>
          <w:tcPr>
            <w:tcW w:type="dxa" w:w="944"/>
          </w:tcPr>
          <w:p>
            <w:pPr>
              <w:pStyle w:val="Compact"/>
              <w:jc w:val="left"/>
            </w:pPr>
            <w:r>
              <w:rPr>
                <w:b w:val="0"/>
              </w:rPr>
              <w:t>gemma4:31b-mlx_rag_enhanced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52.09</w:t>
            </w:r>
          </w:p>
        </w:tc>
        <w:tc>
          <w:tcPr>
            <w:tcW w:type="dxa" w:w="900"/>
          </w:tcPr>
          <w:p>
            <w:pPr>
              <w:pStyle w:val="Compact"/>
              <w:jc w:val="center"/>
            </w:pPr>
            <w:r>
              <w:rPr>
                <w:b w:val="0"/>
              </w:rPr>
              <w:t xml:space="preserve">69.18</w:t>
            </w:r>
          </w:p>
        </w:tc>
        <w:tc>
          <w:tcPr>
            <w:tcW w:type="dxa" w:w="900"/>
          </w:tcPr>
          <w:p>
            <w:pPr>
              <w:pStyle w:val="Compact"/>
              <w:jc w:val="center"/>
            </w:pPr>
            <w:r>
              <w:rPr>
                <w:b w:val="0"/>
              </w:rPr>
              <w:t xml:space="preserve">57.85</w:t>
            </w:r>
          </w:p>
        </w:tc>
        <w:tc>
          <w:tcPr>
            <w:tcW w:type="dxa" w:w="900"/>
          </w:tcPr>
          <w:p>
            <w:pPr>
              <w:pStyle w:val="Compact"/>
              <w:jc w:val="left"/>
            </w:pPr>
            <w:r>
              <w:rPr>
                <w:b w:val="0"/>
              </w:rPr>
              <w:t xml:space="preserve">80.34</w:t>
            </w:r>
          </w:p>
        </w:tc>
        <w:tc>
          <w:tcPr>
            <w:tcW w:type="dxa" w:w="900"/>
          </w:tcPr>
          <w:p>
            <w:pPr>
              <w:pStyle w:val="Compact"/>
              <w:jc w:val="left"/>
            </w:pPr>
            <w:r>
              <w:rPr>
                <w:b w:val="0"/>
              </w:rPr>
              <w:t xml:space="preserve">74.66</w:t>
            </w:r>
          </w:p>
        </w:tc>
        <w:tc>
          <w:tcPr>
            <w:tcW w:type="dxa" w:w="900"/>
          </w:tcPr>
          <w:p>
            <w:pPr>
              <w:pStyle w:val="Compact"/>
              <w:jc w:val="left"/>
            </w:pPr>
            <w:r>
              <w:rPr>
                <w:b w:val="0"/>
              </w:rPr>
              <w:t xml:space="preserve">+16.81</w:t>
            </w:r>
          </w:p>
        </w:tc>
      </w:tr>
      <w:tr>
        <w:tc>
          <w:tcPr>
            <w:tcW w:type="dxa" w:w="944"/>
          </w:tcPr>
          <w:p>
            <w:pPr>
              <w:pStyle w:val="Compact"/>
              <w:jc w:val="left"/>
            </w:pPr>
            <w:r>
              <w:rPr>
                <w:b w:val="0"/>
              </w:rPr>
              <w:t>zs-es</w:t>
            </w:r>
          </w:p>
        </w:tc>
        <w:tc>
          <w:tcPr>
            <w:tcW w:type="dxa" w:w="2494"/>
          </w:tcPr>
          <w:p>
            <w:pPr>
              <w:pStyle w:val="Compact"/>
              <w:jc w:val="left"/>
            </w:pPr>
            <w:r>
              <w:rPr>
                <w:b w:val="0"/>
              </w:rPr>
              <w:t>benchmark_balanced_120_20260825_071207</w:t>
            </w:r>
          </w:p>
        </w:tc>
        <w:tc>
          <w:tcPr>
            <w:tcW w:type="dxa" w:w="900"/>
          </w:tcPr>
          <w:p>
            <w:pPr>
              <w:pStyle w:val="Compact"/>
              <w:jc w:val="left"/>
            </w:pPr>
            <w:r>
              <w:rPr>
                <w:b w:val="0"/>
              </w:rPr>
              <w:t xml:space="preserve">51.90</w:t>
            </w:r>
          </w:p>
        </w:tc>
        <w:tc>
          <w:tcPr>
            <w:tcW w:type="dxa" w:w="900"/>
          </w:tcPr>
          <w:p>
            <w:pPr>
              <w:pStyle w:val="Compact"/>
              <w:jc w:val="center"/>
            </w:pPr>
            <w:r>
              <w:rPr>
                <w:b w:val="0"/>
              </w:rPr>
              <w:t xml:space="preserve">67.86</w:t>
            </w:r>
          </w:p>
        </w:tc>
        <w:tc>
          <w:tcPr>
            <w:tcW w:type="dxa" w:w="900"/>
          </w:tcPr>
          <w:p>
            <w:pPr>
              <w:pStyle w:val="Compact"/>
              <w:jc w:val="center"/>
            </w:pPr>
            <w:r>
              <w:rPr>
                <w:b w:val="0"/>
              </w:rPr>
              <w:t xml:space="preserve">55.62</w:t>
            </w:r>
          </w:p>
        </w:tc>
        <w:tc>
          <w:tcPr>
            <w:tcW w:type="dxa" w:w="900"/>
          </w:tcPr>
          <w:p>
            <w:pPr>
              <w:pStyle w:val="Compact"/>
              <w:jc w:val="left"/>
            </w:pPr>
            <w:r>
              <w:rPr>
                <w:b w:val="0"/>
              </w:rPr>
              <w:t xml:space="preserve">79.49</w:t>
            </w:r>
          </w:p>
        </w:tc>
        <w:tc>
          <w:tcPr>
            <w:tcW w:type="dxa" w:w="900"/>
          </w:tcPr>
          <w:p>
            <w:pPr>
              <w:pStyle w:val="Compact"/>
              <w:jc w:val="left"/>
            </w:pPr>
            <w:r>
              <w:rPr>
                <w:b w:val="0"/>
              </w:rPr>
              <w:t xml:space="preserve">71.07</w:t>
            </w:r>
          </w:p>
        </w:tc>
        <w:tc>
          <w:tcPr>
            <w:tcW w:type="dxa" w:w="900"/>
          </w:tcPr>
          <w:p>
            <w:pPr>
              <w:pStyle w:val="Compact"/>
              <w:jc w:val="left"/>
            </w:pPr>
            <w:r>
              <w:rPr>
                <w:b w:val="0"/>
              </w:rPr>
              <w:t xml:space="preserve">+15.45</w:t>
            </w:r>
          </w:p>
        </w:tc>
      </w:tr>
      <w:tr>
        <w:tc>
          <w:tcPr>
            <w:tcW w:type="dxa" w:w="944"/>
          </w:tcPr>
          <w:p>
            <w:pPr>
              <w:pStyle w:val="Compact"/>
              <w:jc w:val="left"/>
            </w:pPr>
            <w:r>
              <w:rPr>
                <w:b w:val="0"/>
              </w:rPr>
              <w:t>gpt-oss:20b_kb_rag</w:t>
            </w:r>
          </w:p>
        </w:tc>
        <w:tc>
          <w:tcPr>
            <w:tcW w:type="dxa" w:w="2494"/>
          </w:tcPr>
          <w:p>
            <w:pPr>
              <w:pStyle w:val="Compact"/>
              <w:jc w:val="left"/>
            </w:pPr>
            <w:r>
              <w:rPr>
                <w:b w:val="0"/>
              </w:rPr>
              <w:t>gptoss_rerun_REMOTO</w:t>
            </w:r>
          </w:p>
        </w:tc>
        <w:tc>
          <w:tcPr>
            <w:tcW w:type="dxa" w:w="900"/>
          </w:tcPr>
          <w:p>
            <w:pPr>
              <w:pStyle w:val="Compact"/>
              <w:jc w:val="left"/>
            </w:pPr>
            <w:r>
              <w:rPr>
                <w:b w:val="0"/>
              </w:rPr>
              <w:t xml:space="preserve">49.18</w:t>
            </w:r>
          </w:p>
        </w:tc>
        <w:tc>
          <w:tcPr>
            <w:tcW w:type="dxa" w:w="900"/>
          </w:tcPr>
          <w:p>
            <w:pPr>
              <w:pStyle w:val="Compact"/>
              <w:jc w:val="center"/>
            </w:pPr>
            <w:r>
              <w:rPr>
                <w:b w:val="0"/>
              </w:rPr>
              <w:t xml:space="preserve">69.09</w:t>
            </w:r>
          </w:p>
        </w:tc>
        <w:tc>
          <w:tcPr>
            <w:tcW w:type="dxa" w:w="900"/>
          </w:tcPr>
          <w:p>
            <w:pPr>
              <w:pStyle w:val="Compact"/>
              <w:jc w:val="center"/>
            </w:pPr>
            <w:r>
              <w:rPr>
                <w:b w:val="0"/>
              </w:rPr>
              <w:t xml:space="preserve">55.67</w:t>
            </w:r>
          </w:p>
        </w:tc>
        <w:tc>
          <w:tcPr>
            <w:tcW w:type="dxa" w:w="900"/>
          </w:tcPr>
          <w:p>
            <w:pPr>
              <w:pStyle w:val="Compact"/>
              <w:jc w:val="left"/>
            </w:pPr>
            <w:r>
              <w:rPr>
                <w:b w:val="0"/>
              </w:rPr>
              <w:t xml:space="preserve">75.40</w:t>
            </w:r>
          </w:p>
        </w:tc>
        <w:tc>
          <w:tcPr>
            <w:tcW w:type="dxa" w:w="900"/>
          </w:tcPr>
          <w:p>
            <w:pPr>
              <w:pStyle w:val="Compact"/>
              <w:jc w:val="left"/>
            </w:pPr>
            <w:r>
              <w:rPr>
                <w:b w:val="0"/>
              </w:rPr>
              <w:t xml:space="preserve">71.99</w:t>
            </w:r>
          </w:p>
        </w:tc>
        <w:tc>
          <w:tcPr>
            <w:tcW w:type="dxa" w:w="900"/>
          </w:tcPr>
          <w:p>
            <w:pPr>
              <w:pStyle w:val="Compact"/>
              <w:jc w:val="left"/>
            </w:pPr>
            <w:r>
              <w:rPr>
                <w:b w:val="0"/>
              </w:rPr>
              <w:t xml:space="preserve">+16.32</w:t>
            </w:r>
          </w:p>
        </w:tc>
      </w:tr>
      <w:tr>
        <w:tc>
          <w:tcPr>
            <w:tcW w:type="dxa" w:w="944"/>
          </w:tcPr>
          <w:p>
            <w:pPr>
              <w:pStyle w:val="Compact"/>
              <w:jc w:val="left"/>
            </w:pPr>
            <w:r>
              <w:rPr>
                <w:b w:val="0"/>
              </w:rPr>
              <w:t>gemma4:latest_baseline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52.91</w:t>
            </w:r>
          </w:p>
        </w:tc>
        <w:tc>
          <w:tcPr>
            <w:tcW w:type="dxa" w:w="900"/>
          </w:tcPr>
          <w:p>
            <w:pPr>
              <w:pStyle w:val="Compact"/>
              <w:jc w:val="center"/>
            </w:pPr>
            <w:r>
              <w:rPr>
                <w:b w:val="0"/>
              </w:rPr>
              <w:t xml:space="preserve">63.87</w:t>
            </w:r>
          </w:p>
        </w:tc>
        <w:tc>
          <w:tcPr>
            <w:tcW w:type="dxa" w:w="900"/>
          </w:tcPr>
          <w:p>
            <w:pPr>
              <w:pStyle w:val="Compact"/>
              <w:jc w:val="center"/>
            </w:pPr>
            <w:r>
              <w:rPr>
                <w:b w:val="0"/>
              </w:rPr>
              <w:t xml:space="preserve">55.91</w:t>
            </w:r>
          </w:p>
        </w:tc>
        <w:tc>
          <w:tcPr>
            <w:tcW w:type="dxa" w:w="900"/>
          </w:tcPr>
          <w:p>
            <w:pPr>
              <w:pStyle w:val="Compact"/>
              <w:jc w:val="left"/>
            </w:pPr>
            <w:r>
              <w:rPr>
                <w:b w:val="0"/>
              </w:rPr>
              <w:t xml:space="preserve">78.81</w:t>
            </w:r>
          </w:p>
        </w:tc>
        <w:tc>
          <w:tcPr>
            <w:tcW w:type="dxa" w:w="900"/>
          </w:tcPr>
          <w:p>
            <w:pPr>
              <w:pStyle w:val="Compact"/>
              <w:jc w:val="left"/>
            </w:pPr>
            <w:r>
              <w:rPr>
                <w:b w:val="0"/>
              </w:rPr>
              <w:t xml:space="preserve">70.52</w:t>
            </w:r>
          </w:p>
        </w:tc>
        <w:tc>
          <w:tcPr>
            <w:tcW w:type="dxa" w:w="900"/>
          </w:tcPr>
          <w:p>
            <w:pPr>
              <w:pStyle w:val="Compact"/>
              <w:jc w:val="left"/>
            </w:pPr>
            <w:r>
              <w:rPr>
                <w:b w:val="0"/>
              </w:rPr>
              <w:t xml:space="preserve">+14.61</w:t>
            </w:r>
          </w:p>
        </w:tc>
      </w:tr>
      <w:tr>
        <w:tc>
          <w:tcPr>
            <w:tcW w:type="dxa" w:w="944"/>
          </w:tcPr>
          <w:p>
            <w:pPr>
              <w:pStyle w:val="Compact"/>
              <w:jc w:val="left"/>
            </w:pPr>
            <w:r>
              <w:rPr>
                <w:b w:val="0"/>
              </w:rPr>
              <w:t>gemma4:latest_kb_rag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51.29</w:t>
            </w:r>
          </w:p>
        </w:tc>
        <w:tc>
          <w:tcPr>
            <w:tcW w:type="dxa" w:w="900"/>
          </w:tcPr>
          <w:p>
            <w:pPr>
              <w:pStyle w:val="Compact"/>
              <w:jc w:val="center"/>
            </w:pPr>
            <w:r>
              <w:rPr>
                <w:b w:val="0"/>
              </w:rPr>
              <w:t xml:space="preserve">62.76</w:t>
            </w:r>
          </w:p>
        </w:tc>
        <w:tc>
          <w:tcPr>
            <w:tcW w:type="dxa" w:w="900"/>
          </w:tcPr>
          <w:p>
            <w:pPr>
              <w:pStyle w:val="Compact"/>
              <w:jc w:val="center"/>
            </w:pPr>
            <w:r>
              <w:rPr>
                <w:b w:val="0"/>
              </w:rPr>
              <w:t xml:space="preserve">54.74</w:t>
            </w:r>
          </w:p>
        </w:tc>
        <w:tc>
          <w:tcPr>
            <w:tcW w:type="dxa" w:w="900"/>
          </w:tcPr>
          <w:p>
            <w:pPr>
              <w:pStyle w:val="Compact"/>
              <w:jc w:val="left"/>
            </w:pPr>
            <w:r>
              <w:rPr>
                <w:b w:val="0"/>
              </w:rPr>
              <w:t xml:space="preserve">79.72</w:t>
            </w:r>
          </w:p>
        </w:tc>
        <w:tc>
          <w:tcPr>
            <w:tcW w:type="dxa" w:w="900"/>
          </w:tcPr>
          <w:p>
            <w:pPr>
              <w:pStyle w:val="Compact"/>
              <w:jc w:val="left"/>
            </w:pPr>
            <w:r>
              <w:rPr>
                <w:b w:val="0"/>
              </w:rPr>
              <w:t xml:space="preserve">70.34</w:t>
            </w:r>
          </w:p>
        </w:tc>
        <w:tc>
          <w:tcPr>
            <w:tcW w:type="dxa" w:w="900"/>
          </w:tcPr>
          <w:p>
            <w:pPr>
              <w:pStyle w:val="Compact"/>
              <w:jc w:val="left"/>
            </w:pPr>
            <w:r>
              <w:rPr>
                <w:b w:val="0"/>
              </w:rPr>
              <w:t xml:space="preserve">+15.59</w:t>
            </w:r>
          </w:p>
        </w:tc>
      </w:tr>
      <w:tr>
        <w:tc>
          <w:tcPr>
            <w:tcW w:type="dxa" w:w="944"/>
          </w:tcPr>
          <w:p>
            <w:pPr>
              <w:pStyle w:val="Compact"/>
              <w:jc w:val="left"/>
            </w:pPr>
            <w:r>
              <w:rPr>
                <w:b w:val="0"/>
              </w:rPr>
              <w:t>zs-en</w:t>
            </w:r>
          </w:p>
        </w:tc>
        <w:tc>
          <w:tcPr>
            <w:tcW w:type="dxa" w:w="2494"/>
          </w:tcPr>
          <w:p>
            <w:pPr>
              <w:pStyle w:val="Compact"/>
              <w:jc w:val="left"/>
            </w:pPr>
            <w:r>
              <w:rPr>
                <w:b w:val="0"/>
              </w:rPr>
              <w:t>benchmark_balanced_120_20260825_071207</w:t>
            </w:r>
          </w:p>
        </w:tc>
        <w:tc>
          <w:tcPr>
            <w:tcW w:type="dxa" w:w="900"/>
          </w:tcPr>
          <w:p>
            <w:pPr>
              <w:pStyle w:val="Compact"/>
              <w:jc w:val="left"/>
            </w:pPr>
            <w:r>
              <w:rPr>
                <w:b w:val="0"/>
              </w:rPr>
              <w:t xml:space="preserve">52.47</w:t>
            </w:r>
          </w:p>
        </w:tc>
        <w:tc>
          <w:tcPr>
            <w:tcW w:type="dxa" w:w="900"/>
          </w:tcPr>
          <w:p>
            <w:pPr>
              <w:pStyle w:val="Compact"/>
              <w:jc w:val="center"/>
            </w:pPr>
            <w:r>
              <w:rPr>
                <w:b w:val="0"/>
              </w:rPr>
              <w:t xml:space="preserve">65.39</w:t>
            </w:r>
          </w:p>
        </w:tc>
        <w:tc>
          <w:tcPr>
            <w:tcW w:type="dxa" w:w="900"/>
          </w:tcPr>
          <w:p>
            <w:pPr>
              <w:pStyle w:val="Compact"/>
              <w:jc w:val="center"/>
            </w:pPr>
            <w:r>
              <w:rPr>
                <w:b w:val="0"/>
              </w:rPr>
              <w:t xml:space="preserve">54.46</w:t>
            </w:r>
          </w:p>
        </w:tc>
        <w:tc>
          <w:tcPr>
            <w:tcW w:type="dxa" w:w="900"/>
          </w:tcPr>
          <w:p>
            <w:pPr>
              <w:pStyle w:val="Compact"/>
              <w:jc w:val="left"/>
            </w:pPr>
            <w:r>
              <w:rPr>
                <w:b w:val="0"/>
              </w:rPr>
              <w:t xml:space="preserve">77.93</w:t>
            </w:r>
          </w:p>
        </w:tc>
        <w:tc>
          <w:tcPr>
            <w:tcW w:type="dxa" w:w="900"/>
          </w:tcPr>
          <w:p>
            <w:pPr>
              <w:pStyle w:val="Compact"/>
              <w:jc w:val="left"/>
            </w:pPr>
            <w:r>
              <w:rPr>
                <w:b w:val="0"/>
              </w:rPr>
              <w:t xml:space="preserve">69.06</w:t>
            </w:r>
          </w:p>
        </w:tc>
        <w:tc>
          <w:tcPr>
            <w:tcW w:type="dxa" w:w="900"/>
          </w:tcPr>
          <w:p>
            <w:pPr>
              <w:pStyle w:val="Compact"/>
              <w:jc w:val="left"/>
            </w:pPr>
            <w:r>
              <w:rPr>
                <w:b w:val="0"/>
              </w:rPr>
              <w:t xml:space="preserve">+14.60</w:t>
            </w:r>
          </w:p>
        </w:tc>
      </w:tr>
      <w:tr>
        <w:tc>
          <w:tcPr>
            <w:tcW w:type="dxa" w:w="944"/>
          </w:tcPr>
          <w:p>
            <w:pPr>
              <w:pStyle w:val="Compact"/>
              <w:jc w:val="left"/>
            </w:pPr>
            <w:r>
              <w:rPr>
                <w:b w:val="0"/>
              </w:rPr>
              <w:t>fs-es</w:t>
            </w:r>
          </w:p>
        </w:tc>
        <w:tc>
          <w:tcPr>
            <w:tcW w:type="dxa" w:w="2494"/>
          </w:tcPr>
          <w:p>
            <w:pPr>
              <w:pStyle w:val="Compact"/>
              <w:jc w:val="left"/>
            </w:pPr>
            <w:r>
              <w:rPr>
                <w:b w:val="0"/>
              </w:rPr>
              <w:t>benchmark_balanced_120_20260825_071207</w:t>
            </w:r>
          </w:p>
        </w:tc>
        <w:tc>
          <w:tcPr>
            <w:tcW w:type="dxa" w:w="900"/>
          </w:tcPr>
          <w:p>
            <w:pPr>
              <w:pStyle w:val="Compact"/>
              <w:jc w:val="left"/>
            </w:pPr>
            <w:r>
              <w:rPr>
                <w:b w:val="0"/>
              </w:rPr>
              <w:t xml:space="preserve">51.35</w:t>
            </w:r>
          </w:p>
        </w:tc>
        <w:tc>
          <w:tcPr>
            <w:tcW w:type="dxa" w:w="900"/>
          </w:tcPr>
          <w:p>
            <w:pPr>
              <w:pStyle w:val="Compact"/>
              <w:jc w:val="center"/>
            </w:pPr>
            <w:r>
              <w:rPr>
                <w:b w:val="0"/>
              </w:rPr>
              <w:t xml:space="preserve">64.59</w:t>
            </w:r>
          </w:p>
        </w:tc>
        <w:tc>
          <w:tcPr>
            <w:tcW w:type="dxa" w:w="900"/>
          </w:tcPr>
          <w:p>
            <w:pPr>
              <w:pStyle w:val="Compact"/>
              <w:jc w:val="center"/>
            </w:pPr>
            <w:r>
              <w:rPr>
                <w:b w:val="0"/>
              </w:rPr>
              <w:t xml:space="preserve">54.02</w:t>
            </w:r>
          </w:p>
        </w:tc>
        <w:tc>
          <w:tcPr>
            <w:tcW w:type="dxa" w:w="900"/>
          </w:tcPr>
          <w:p>
            <w:pPr>
              <w:pStyle w:val="Compact"/>
              <w:jc w:val="left"/>
            </w:pPr>
            <w:r>
              <w:rPr>
                <w:b w:val="0"/>
              </w:rPr>
              <w:t xml:space="preserve">80.76</w:t>
            </w:r>
          </w:p>
        </w:tc>
        <w:tc>
          <w:tcPr>
            <w:tcW w:type="dxa" w:w="900"/>
          </w:tcPr>
          <w:p>
            <w:pPr>
              <w:pStyle w:val="Compact"/>
              <w:jc w:val="left"/>
            </w:pPr>
            <w:r>
              <w:rPr>
                <w:b w:val="0"/>
              </w:rPr>
              <w:t xml:space="preserve">69.89</w:t>
            </w:r>
          </w:p>
        </w:tc>
        <w:tc>
          <w:tcPr>
            <w:tcW w:type="dxa" w:w="900"/>
          </w:tcPr>
          <w:p>
            <w:pPr>
              <w:pStyle w:val="Compact"/>
              <w:jc w:val="left"/>
            </w:pPr>
            <w:r>
              <w:rPr>
                <w:b w:val="0"/>
              </w:rPr>
              <w:t xml:space="preserve">+15.86</w:t>
            </w:r>
          </w:p>
        </w:tc>
      </w:tr>
      <w:tr>
        <w:tc>
          <w:tcPr>
            <w:tcW w:type="dxa" w:w="944"/>
          </w:tcPr>
          <w:p>
            <w:pPr>
              <w:pStyle w:val="Compact"/>
              <w:jc w:val="left"/>
            </w:pPr>
            <w:r>
              <w:rPr>
                <w:b w:val="0"/>
              </w:rPr>
              <w:t>fs-en</w:t>
            </w:r>
          </w:p>
        </w:tc>
        <w:tc>
          <w:tcPr>
            <w:tcW w:type="dxa" w:w="2494"/>
          </w:tcPr>
          <w:p>
            <w:pPr>
              <w:pStyle w:val="Compact"/>
              <w:jc w:val="left"/>
            </w:pPr>
            <w:r>
              <w:rPr>
                <w:b w:val="0"/>
              </w:rPr>
              <w:t>benchmark_balanced_120_20260825_071207</w:t>
            </w:r>
          </w:p>
        </w:tc>
        <w:tc>
          <w:tcPr>
            <w:tcW w:type="dxa" w:w="900"/>
          </w:tcPr>
          <w:p>
            <w:pPr>
              <w:pStyle w:val="Compact"/>
              <w:jc w:val="left"/>
            </w:pPr>
            <w:r>
              <w:rPr>
                <w:b w:val="0"/>
              </w:rPr>
              <w:t xml:space="preserve">51.61</w:t>
            </w:r>
          </w:p>
        </w:tc>
        <w:tc>
          <w:tcPr>
            <w:tcW w:type="dxa" w:w="900"/>
          </w:tcPr>
          <w:p>
            <w:pPr>
              <w:pStyle w:val="Compact"/>
              <w:jc w:val="center"/>
            </w:pPr>
            <w:r>
              <w:rPr>
                <w:b w:val="0"/>
              </w:rPr>
              <w:t xml:space="preserve">65.28</w:t>
            </w:r>
          </w:p>
        </w:tc>
        <w:tc>
          <w:tcPr>
            <w:tcW w:type="dxa" w:w="900"/>
          </w:tcPr>
          <w:p>
            <w:pPr>
              <w:pStyle w:val="Compact"/>
              <w:jc w:val="center"/>
            </w:pPr>
            <w:r>
              <w:rPr>
                <w:b w:val="0"/>
              </w:rPr>
              <w:t xml:space="preserve">54.50</w:t>
            </w:r>
          </w:p>
        </w:tc>
        <w:tc>
          <w:tcPr>
            <w:tcW w:type="dxa" w:w="900"/>
          </w:tcPr>
          <w:p>
            <w:pPr>
              <w:pStyle w:val="Compact"/>
              <w:jc w:val="left"/>
            </w:pPr>
            <w:r>
              <w:rPr>
                <w:b w:val="0"/>
              </w:rPr>
              <w:t xml:space="preserve">80.26</w:t>
            </w:r>
          </w:p>
        </w:tc>
        <w:tc>
          <w:tcPr>
            <w:tcW w:type="dxa" w:w="900"/>
          </w:tcPr>
          <w:p>
            <w:pPr>
              <w:pStyle w:val="Compact"/>
              <w:jc w:val="left"/>
            </w:pPr>
            <w:r>
              <w:rPr>
                <w:b w:val="0"/>
              </w:rPr>
              <w:t xml:space="preserve">70.23</w:t>
            </w:r>
          </w:p>
        </w:tc>
        <w:tc>
          <w:tcPr>
            <w:tcW w:type="dxa" w:w="900"/>
          </w:tcPr>
          <w:p>
            <w:pPr>
              <w:pStyle w:val="Compact"/>
              <w:jc w:val="left"/>
            </w:pPr>
            <w:r>
              <w:rPr>
                <w:b w:val="0"/>
              </w:rPr>
              <w:t xml:space="preserve">+15.72</w:t>
            </w:r>
          </w:p>
        </w:tc>
      </w:tr>
      <w:tr>
        <w:tc>
          <w:tcPr>
            <w:tcW w:type="dxa" w:w="944"/>
          </w:tcPr>
          <w:p>
            <w:pPr>
              <w:pStyle w:val="Compact"/>
              <w:jc w:val="left"/>
            </w:pPr>
            <w:r>
              <w:rPr>
                <w:b w:val="0"/>
              </w:rPr>
              <w:t>gemma4:latest_rag_enhanced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50.61</w:t>
            </w:r>
          </w:p>
        </w:tc>
        <w:tc>
          <w:tcPr>
            <w:tcW w:type="dxa" w:w="900"/>
          </w:tcPr>
          <w:p>
            <w:pPr>
              <w:pStyle w:val="Compact"/>
              <w:jc w:val="center"/>
            </w:pPr>
            <w:r>
              <w:rPr>
                <w:b w:val="0"/>
              </w:rPr>
              <w:t xml:space="preserve">58.82</w:t>
            </w:r>
          </w:p>
        </w:tc>
        <w:tc>
          <w:tcPr>
            <w:tcW w:type="dxa" w:w="900"/>
          </w:tcPr>
          <w:p>
            <w:pPr>
              <w:pStyle w:val="Compact"/>
              <w:jc w:val="center"/>
            </w:pPr>
            <w:r>
              <w:rPr>
                <w:b w:val="0"/>
              </w:rPr>
              <w:t xml:space="preserve">52.57</w:t>
            </w:r>
          </w:p>
        </w:tc>
        <w:tc>
          <w:tcPr>
            <w:tcW w:type="dxa" w:w="900"/>
          </w:tcPr>
          <w:p>
            <w:pPr>
              <w:pStyle w:val="Compact"/>
              <w:jc w:val="left"/>
            </w:pPr>
            <w:r>
              <w:rPr>
                <w:b w:val="0"/>
              </w:rPr>
              <w:t xml:space="preserve">78.80</w:t>
            </w:r>
          </w:p>
        </w:tc>
        <w:tc>
          <w:tcPr>
            <w:tcW w:type="dxa" w:w="900"/>
          </w:tcPr>
          <w:p>
            <w:pPr>
              <w:pStyle w:val="Compact"/>
              <w:jc w:val="left"/>
            </w:pPr>
            <w:r>
              <w:rPr>
                <w:b w:val="0"/>
              </w:rPr>
              <w:t xml:space="preserve">67.22</w:t>
            </w:r>
          </w:p>
        </w:tc>
        <w:tc>
          <w:tcPr>
            <w:tcW w:type="dxa" w:w="900"/>
          </w:tcPr>
          <w:p>
            <w:pPr>
              <w:pStyle w:val="Compact"/>
              <w:jc w:val="left"/>
            </w:pPr>
            <w:r>
              <w:rPr>
                <w:b w:val="0"/>
              </w:rPr>
              <w:t xml:space="preserve">+14.65</w:t>
            </w:r>
          </w:p>
        </w:tc>
      </w:tr>
      <w:tr>
        <w:tc>
          <w:tcPr>
            <w:tcW w:type="dxa" w:w="944"/>
          </w:tcPr>
          <w:p>
            <w:pPr>
              <w:pStyle w:val="Compact"/>
              <w:jc w:val="left"/>
            </w:pPr>
            <w:r>
              <w:rPr>
                <w:b w:val="0"/>
              </w:rPr>
              <w:t>gpt-oss:20b_baseline</w:t>
            </w:r>
          </w:p>
        </w:tc>
        <w:tc>
          <w:tcPr>
            <w:tcW w:type="dxa" w:w="2494"/>
          </w:tcPr>
          <w:p>
            <w:pPr>
              <w:pStyle w:val="Compact"/>
              <w:jc w:val="left"/>
            </w:pPr>
            <w:r>
              <w:rPr>
                <w:b w:val="0"/>
              </w:rPr>
              <w:t>gptoss_rerun_REMOTO</w:t>
            </w:r>
          </w:p>
        </w:tc>
        <w:tc>
          <w:tcPr>
            <w:tcW w:type="dxa" w:w="900"/>
          </w:tcPr>
          <w:p>
            <w:pPr>
              <w:pStyle w:val="Compact"/>
              <w:jc w:val="left"/>
            </w:pPr>
            <w:r>
              <w:rPr>
                <w:b w:val="0"/>
              </w:rPr>
              <w:t xml:space="preserve">46.49</w:t>
            </w:r>
          </w:p>
        </w:tc>
        <w:tc>
          <w:tcPr>
            <w:tcW w:type="dxa" w:w="900"/>
          </w:tcPr>
          <w:p>
            <w:pPr>
              <w:pStyle w:val="Compact"/>
              <w:jc w:val="center"/>
            </w:pPr>
            <w:r>
              <w:rPr>
                <w:b w:val="0"/>
              </w:rPr>
              <w:t xml:space="preserve">64.40</w:t>
            </w:r>
          </w:p>
        </w:tc>
        <w:tc>
          <w:tcPr>
            <w:tcW w:type="dxa" w:w="900"/>
          </w:tcPr>
          <w:p>
            <w:pPr>
              <w:pStyle w:val="Compact"/>
              <w:jc w:val="center"/>
            </w:pPr>
            <w:r>
              <w:rPr>
                <w:b w:val="0"/>
              </w:rPr>
              <w:t xml:space="preserve">52.39</w:t>
            </w:r>
          </w:p>
        </w:tc>
        <w:tc>
          <w:tcPr>
            <w:tcW w:type="dxa" w:w="900"/>
          </w:tcPr>
          <w:p>
            <w:pPr>
              <w:pStyle w:val="Compact"/>
              <w:jc w:val="left"/>
            </w:pPr>
            <w:r>
              <w:rPr>
                <w:b w:val="0"/>
              </w:rPr>
              <w:t xml:space="preserve">73.69</w:t>
            </w:r>
          </w:p>
        </w:tc>
        <w:tc>
          <w:tcPr>
            <w:tcW w:type="dxa" w:w="900"/>
          </w:tcPr>
          <w:p>
            <w:pPr>
              <w:pStyle w:val="Compact"/>
              <w:jc w:val="left"/>
            </w:pPr>
            <w:r>
              <w:rPr>
                <w:b w:val="0"/>
              </w:rPr>
              <w:t xml:space="preserve">68.89</w:t>
            </w:r>
          </w:p>
        </w:tc>
        <w:tc>
          <w:tcPr>
            <w:tcW w:type="dxa" w:w="900"/>
          </w:tcPr>
          <w:p>
            <w:pPr>
              <w:pStyle w:val="Compact"/>
              <w:jc w:val="left"/>
            </w:pPr>
            <w:r>
              <w:rPr>
                <w:b w:val="0"/>
              </w:rPr>
              <w:t xml:space="preserve">+16.50</w:t>
            </w:r>
          </w:p>
        </w:tc>
      </w:tr>
      <w:tr>
        <w:tc>
          <w:tcPr>
            <w:tcW w:type="dxa" w:w="944"/>
          </w:tcPr>
          <w:p>
            <w:pPr>
              <w:pStyle w:val="Compact"/>
              <w:jc w:val="left"/>
            </w:pPr>
            <w:r>
              <w:rPr>
                <w:b w:val="0"/>
              </w:rPr>
              <w:t>qwen2.5:14b_kb_rag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55.48</w:t>
            </w:r>
          </w:p>
        </w:tc>
        <w:tc>
          <w:tcPr>
            <w:tcW w:type="dxa" w:w="900"/>
          </w:tcPr>
          <w:p>
            <w:pPr>
              <w:pStyle w:val="Compact"/>
              <w:jc w:val="center"/>
            </w:pPr>
            <w:r>
              <w:rPr>
                <w:b w:val="0"/>
              </w:rPr>
              <w:t xml:space="preserve">58.74</w:t>
            </w:r>
          </w:p>
        </w:tc>
        <w:tc>
          <w:tcPr>
            <w:tcW w:type="dxa" w:w="900"/>
          </w:tcPr>
          <w:p>
            <w:pPr>
              <w:pStyle w:val="Compact"/>
              <w:jc w:val="center"/>
            </w:pPr>
            <w:r>
              <w:rPr>
                <w:b w:val="0"/>
              </w:rPr>
              <w:t xml:space="preserve">54.84</w:t>
            </w:r>
          </w:p>
        </w:tc>
        <w:tc>
          <w:tcPr>
            <w:tcW w:type="dxa" w:w="900"/>
          </w:tcPr>
          <w:p>
            <w:pPr>
              <w:pStyle w:val="Compact"/>
              <w:jc w:val="left"/>
            </w:pPr>
            <w:r>
              <w:rPr>
                <w:b w:val="0"/>
              </w:rPr>
              <w:t xml:space="preserve">82.69</w:t>
            </w:r>
          </w:p>
        </w:tc>
        <w:tc>
          <w:tcPr>
            <w:tcW w:type="dxa" w:w="900"/>
          </w:tcPr>
          <w:p>
            <w:pPr>
              <w:pStyle w:val="Compact"/>
              <w:jc w:val="left"/>
            </w:pPr>
            <w:r>
              <w:rPr>
                <w:b w:val="0"/>
              </w:rPr>
              <w:t xml:space="preserve">68.11</w:t>
            </w:r>
          </w:p>
        </w:tc>
        <w:tc>
          <w:tcPr>
            <w:tcW w:type="dxa" w:w="900"/>
          </w:tcPr>
          <w:p>
            <w:pPr>
              <w:pStyle w:val="Compact"/>
              <w:jc w:val="left"/>
            </w:pPr>
            <w:r>
              <w:rPr>
                <w:b w:val="0"/>
              </w:rPr>
              <w:t xml:space="preserve">+13.27</w:t>
            </w:r>
          </w:p>
        </w:tc>
      </w:tr>
      <w:tr>
        <w:tc>
          <w:tcPr>
            <w:tcW w:type="dxa" w:w="944"/>
          </w:tcPr>
          <w:p>
            <w:pPr>
              <w:pStyle w:val="Compact"/>
              <w:jc w:val="left"/>
            </w:pPr>
            <w:r>
              <w:rPr>
                <w:b w:val="0"/>
              </w:rPr>
              <w:t>qwen2.5:14b_baseline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50.29</w:t>
            </w:r>
          </w:p>
        </w:tc>
        <w:tc>
          <w:tcPr>
            <w:tcW w:type="dxa" w:w="900"/>
          </w:tcPr>
          <w:p>
            <w:pPr>
              <w:pStyle w:val="Compact"/>
              <w:jc w:val="center"/>
            </w:pPr>
            <w:r>
              <w:rPr>
                <w:b w:val="0"/>
              </w:rPr>
              <w:t xml:space="preserve">54.02</w:t>
            </w:r>
          </w:p>
        </w:tc>
        <w:tc>
          <w:tcPr>
            <w:tcW w:type="dxa" w:w="900"/>
          </w:tcPr>
          <w:p>
            <w:pPr>
              <w:pStyle w:val="Compact"/>
              <w:jc w:val="center"/>
            </w:pPr>
            <w:r>
              <w:rPr>
                <w:b w:val="0"/>
              </w:rPr>
              <w:t xml:space="preserve">50.22</w:t>
            </w:r>
          </w:p>
        </w:tc>
        <w:tc>
          <w:tcPr>
            <w:tcW w:type="dxa" w:w="900"/>
          </w:tcPr>
          <w:p>
            <w:pPr>
              <w:pStyle w:val="Compact"/>
              <w:jc w:val="left"/>
            </w:pPr>
            <w:r>
              <w:rPr>
                <w:b w:val="0"/>
              </w:rPr>
              <w:t xml:space="preserve">83.40</w:t>
            </w:r>
          </w:p>
        </w:tc>
        <w:tc>
          <w:tcPr>
            <w:tcW w:type="dxa" w:w="900"/>
          </w:tcPr>
          <w:p>
            <w:pPr>
              <w:pStyle w:val="Compact"/>
              <w:jc w:val="left"/>
            </w:pPr>
            <w:r>
              <w:rPr>
                <w:b w:val="0"/>
              </w:rPr>
              <w:t xml:space="preserve">66.11</w:t>
            </w:r>
          </w:p>
        </w:tc>
        <w:tc>
          <w:tcPr>
            <w:tcW w:type="dxa" w:w="900"/>
          </w:tcPr>
          <w:p>
            <w:pPr>
              <w:pStyle w:val="Compact"/>
              <w:jc w:val="left"/>
            </w:pPr>
            <w:r>
              <w:rPr>
                <w:b w:val="0"/>
              </w:rPr>
              <w:t xml:space="preserve">+15.89</w:t>
            </w:r>
          </w:p>
        </w:tc>
      </w:tr>
      <w:tr>
        <w:tc>
          <w:tcPr>
            <w:tcW w:type="dxa" w:w="944"/>
          </w:tcPr>
          <w:p>
            <w:pPr>
              <w:pStyle w:val="Compact"/>
              <w:jc w:val="left"/>
            </w:pPr>
            <w:r>
              <w:rPr>
                <w:b w:val="0"/>
              </w:rPr>
              <w:t>llama3.1:8b_baseline</w:t>
            </w:r>
          </w:p>
        </w:tc>
        <w:tc>
          <w:tcPr>
            <w:tcW w:type="dxa" w:w="2494"/>
          </w:tcPr>
          <w:p>
            <w:pPr>
              <w:pStyle w:val="Compact"/>
              <w:jc w:val="left"/>
            </w:pPr>
            <w:r>
              <w:rPr>
                <w:b w:val="0"/>
              </w:rPr>
              <w:t>benchmark_n120_REMOTO</w:t>
            </w:r>
          </w:p>
        </w:tc>
        <w:tc>
          <w:tcPr>
            <w:tcW w:type="dxa" w:w="900"/>
          </w:tcPr>
          <w:p>
            <w:pPr>
              <w:pStyle w:val="Compact"/>
              <w:jc w:val="left"/>
            </w:pPr>
            <w:r>
              <w:rPr>
                <w:b w:val="0"/>
              </w:rPr>
              <w:t xml:space="preserve">47.37</w:t>
            </w:r>
          </w:p>
        </w:tc>
        <w:tc>
          <w:tcPr>
            <w:tcW w:type="dxa" w:w="900"/>
          </w:tcPr>
          <w:p>
            <w:pPr>
              <w:pStyle w:val="Compact"/>
              <w:jc w:val="center"/>
            </w:pPr>
            <w:r>
              <w:rPr>
                <w:b w:val="0"/>
              </w:rPr>
              <w:t xml:space="preserve">54.91</w:t>
            </w:r>
          </w:p>
        </w:tc>
        <w:tc>
          <w:tcPr>
            <w:tcW w:type="dxa" w:w="900"/>
          </w:tcPr>
          <w:p>
            <w:pPr>
              <w:pStyle w:val="Compact"/>
              <w:jc w:val="center"/>
            </w:pPr>
            <w:r>
              <w:rPr>
                <w:b w:val="0"/>
              </w:rPr>
              <w:t xml:space="preserve">48.76</w:t>
            </w:r>
          </w:p>
        </w:tc>
        <w:tc>
          <w:tcPr>
            <w:tcW w:type="dxa" w:w="900"/>
          </w:tcPr>
          <w:p>
            <w:pPr>
              <w:pStyle w:val="Compact"/>
              <w:jc w:val="left"/>
            </w:pPr>
            <w:r>
              <w:rPr>
                <w:b w:val="0"/>
              </w:rPr>
              <w:t xml:space="preserve">80.52</w:t>
            </w:r>
          </w:p>
        </w:tc>
        <w:tc>
          <w:tcPr>
            <w:tcW w:type="dxa" w:w="900"/>
          </w:tcPr>
          <w:p>
            <w:pPr>
              <w:pStyle w:val="Compact"/>
              <w:jc w:val="left"/>
            </w:pPr>
            <w:r>
              <w:rPr>
                <w:b w:val="0"/>
              </w:rPr>
              <w:t xml:space="preserve">64.53</w:t>
            </w:r>
          </w:p>
        </w:tc>
        <w:tc>
          <w:tcPr>
            <w:tcW w:type="dxa" w:w="900"/>
          </w:tcPr>
          <w:p>
            <w:pPr>
              <w:pStyle w:val="Compact"/>
              <w:jc w:val="left"/>
            </w:pPr>
            <w:r>
              <w:rPr>
                <w:b w:val="0"/>
              </w:rPr>
              <w:t xml:space="preserve">+15.77</w:t>
            </w:r>
          </w:p>
        </w:tc>
      </w:tr>
      <w:tr>
        <w:tc>
          <w:tcPr>
            <w:tcW w:type="dxa" w:w="944"/>
          </w:tcPr>
          <w:p>
            <w:pPr>
              <w:pStyle w:val="Compact"/>
              <w:jc w:val="left"/>
            </w:pPr>
            <w:r>
              <w:rPr>
                <w:b w:val="0"/>
              </w:rPr>
              <w:t>llama3.1:8b_kb_rag</w:t>
            </w:r>
          </w:p>
        </w:tc>
        <w:tc>
          <w:tcPr>
            <w:tcW w:type="dxa" w:w="2494"/>
          </w:tcPr>
          <w:p>
            <w:pPr>
              <w:pStyle w:val="Compact"/>
              <w:jc w:val="left"/>
            </w:pPr>
            <w:r>
              <w:rPr>
                <w:b w:val="0"/>
              </w:rPr>
              <w:t>benchmark_n120_REMOTO</w:t>
            </w:r>
          </w:p>
        </w:tc>
        <w:tc>
          <w:tcPr>
            <w:tcW w:type="dxa" w:w="900"/>
          </w:tcPr>
          <w:p>
            <w:pPr>
              <w:pStyle w:val="Compact"/>
              <w:jc w:val="left"/>
            </w:pPr>
            <w:r>
              <w:rPr>
                <w:b w:val="0"/>
              </w:rPr>
              <w:t xml:space="preserve">50.85</w:t>
            </w:r>
          </w:p>
        </w:tc>
        <w:tc>
          <w:tcPr>
            <w:tcW w:type="dxa" w:w="900"/>
          </w:tcPr>
          <w:p>
            <w:pPr>
              <w:pStyle w:val="Compact"/>
              <w:jc w:val="center"/>
            </w:pPr>
            <w:r>
              <w:rPr>
                <w:b w:val="0"/>
              </w:rPr>
              <w:t xml:space="preserve">55.23</w:t>
            </w:r>
          </w:p>
        </w:tc>
        <w:tc>
          <w:tcPr>
            <w:tcW w:type="dxa" w:w="900"/>
          </w:tcPr>
          <w:p>
            <w:pPr>
              <w:pStyle w:val="Compact"/>
              <w:jc w:val="center"/>
            </w:pPr>
            <w:r>
              <w:rPr>
                <w:b w:val="0"/>
              </w:rPr>
              <w:t xml:space="preserve">50.75</w:t>
            </w:r>
          </w:p>
        </w:tc>
        <w:tc>
          <w:tcPr>
            <w:tcW w:type="dxa" w:w="900"/>
          </w:tcPr>
          <w:p>
            <w:pPr>
              <w:pStyle w:val="Compact"/>
              <w:jc w:val="left"/>
            </w:pPr>
            <w:r>
              <w:rPr>
                <w:b w:val="0"/>
              </w:rPr>
              <w:t xml:space="preserve">76.28</w:t>
            </w:r>
          </w:p>
        </w:tc>
        <w:tc>
          <w:tcPr>
            <w:tcW w:type="dxa" w:w="900"/>
          </w:tcPr>
          <w:p>
            <w:pPr>
              <w:pStyle w:val="Compact"/>
              <w:jc w:val="left"/>
            </w:pPr>
            <w:r>
              <w:rPr>
                <w:b w:val="0"/>
              </w:rPr>
              <w:t xml:space="preserve">63.62</w:t>
            </w:r>
          </w:p>
        </w:tc>
        <w:tc>
          <w:tcPr>
            <w:tcW w:type="dxa" w:w="900"/>
          </w:tcPr>
          <w:p>
            <w:pPr>
              <w:pStyle w:val="Compact"/>
              <w:jc w:val="left"/>
            </w:pPr>
            <w:r>
              <w:rPr>
                <w:b w:val="0"/>
              </w:rPr>
              <w:t xml:space="preserve">+12.87</w:t>
            </w:r>
          </w:p>
        </w:tc>
      </w:tr>
      <w:tr>
        <w:tc>
          <w:tcPr>
            <w:tcW w:type="dxa" w:w="944"/>
          </w:tcPr>
          <w:p>
            <w:pPr>
              <w:pStyle w:val="Compact"/>
              <w:jc w:val="left"/>
            </w:pPr>
            <w:r>
              <w:rPr>
                <w:b w:val="0"/>
              </w:rPr>
              <w:t>qwen3:8b_kb_rag</w:t>
            </w:r>
          </w:p>
        </w:tc>
        <w:tc>
          <w:tcPr>
            <w:tcW w:type="dxa" w:w="2494"/>
          </w:tcPr>
          <w:p>
            <w:pPr>
              <w:pStyle w:val="Compact"/>
              <w:jc w:val="left"/>
            </w:pPr>
            <w:r>
              <w:rPr>
                <w:b w:val="0"/>
              </w:rPr>
              <w:t>qwen3_nothink_n120_REMOTO</w:t>
            </w:r>
          </w:p>
        </w:tc>
        <w:tc>
          <w:tcPr>
            <w:tcW w:type="dxa" w:w="900"/>
          </w:tcPr>
          <w:p>
            <w:pPr>
              <w:pStyle w:val="Compact"/>
              <w:jc w:val="left"/>
            </w:pPr>
            <w:r>
              <w:rPr>
                <w:b w:val="0"/>
              </w:rPr>
              <w:t xml:space="preserve">48.51</w:t>
            </w:r>
          </w:p>
        </w:tc>
        <w:tc>
          <w:tcPr>
            <w:tcW w:type="dxa" w:w="900"/>
          </w:tcPr>
          <w:p>
            <w:pPr>
              <w:pStyle w:val="Compact"/>
              <w:jc w:val="center"/>
            </w:pPr>
            <w:r>
              <w:rPr>
                <w:b w:val="0"/>
              </w:rPr>
              <w:t xml:space="preserve">59.68</w:t>
            </w:r>
          </w:p>
        </w:tc>
        <w:tc>
          <w:tcPr>
            <w:tcW w:type="dxa" w:w="900"/>
          </w:tcPr>
          <w:p>
            <w:pPr>
              <w:pStyle w:val="Compact"/>
              <w:jc w:val="center"/>
            </w:pPr>
            <w:r>
              <w:rPr>
                <w:b w:val="0"/>
              </w:rPr>
              <w:t xml:space="preserve">51.46</w:t>
            </w:r>
          </w:p>
        </w:tc>
        <w:tc>
          <w:tcPr>
            <w:tcW w:type="dxa" w:w="900"/>
          </w:tcPr>
          <w:p>
            <w:pPr>
              <w:pStyle w:val="Compact"/>
              <w:jc w:val="left"/>
            </w:pPr>
            <w:r>
              <w:rPr>
                <w:b w:val="0"/>
              </w:rPr>
              <w:t xml:space="preserve">72.59</w:t>
            </w:r>
          </w:p>
        </w:tc>
        <w:tc>
          <w:tcPr>
            <w:tcW w:type="dxa" w:w="900"/>
          </w:tcPr>
          <w:p>
            <w:pPr>
              <w:pStyle w:val="Compact"/>
              <w:jc w:val="left"/>
            </w:pPr>
            <w:r>
              <w:rPr>
                <w:b w:val="0"/>
              </w:rPr>
              <w:t xml:space="preserve">64.87</w:t>
            </w:r>
          </w:p>
        </w:tc>
        <w:tc>
          <w:tcPr>
            <w:tcW w:type="dxa" w:w="900"/>
          </w:tcPr>
          <w:p>
            <w:pPr>
              <w:pStyle w:val="Compact"/>
              <w:jc w:val="left"/>
            </w:pPr>
            <w:r>
              <w:rPr>
                <w:b w:val="0"/>
              </w:rPr>
              <w:t xml:space="preserve">+13.41</w:t>
            </w:r>
          </w:p>
        </w:tc>
      </w:tr>
      <w:tr>
        <w:tc>
          <w:tcPr>
            <w:tcW w:type="dxa" w:w="944"/>
          </w:tcPr>
          <w:p>
            <w:pPr>
              <w:pStyle w:val="Compact"/>
              <w:jc w:val="left"/>
            </w:pPr>
            <w:r>
              <w:rPr>
                <w:b w:val="0"/>
              </w:rPr>
              <w:t>qwen3:8b_baseline</w:t>
            </w:r>
          </w:p>
        </w:tc>
        <w:tc>
          <w:tcPr>
            <w:tcW w:type="dxa" w:w="2494"/>
          </w:tcPr>
          <w:p>
            <w:pPr>
              <w:pStyle w:val="Compact"/>
              <w:jc w:val="left"/>
            </w:pPr>
            <w:r>
              <w:rPr>
                <w:b w:val="0"/>
              </w:rPr>
              <w:t>qwen3_nothink_n120_REMOTO</w:t>
            </w:r>
          </w:p>
        </w:tc>
        <w:tc>
          <w:tcPr>
            <w:tcW w:type="dxa" w:w="900"/>
          </w:tcPr>
          <w:p>
            <w:pPr>
              <w:pStyle w:val="Compact"/>
              <w:jc w:val="left"/>
            </w:pPr>
            <w:r>
              <w:rPr>
                <w:b w:val="0"/>
              </w:rPr>
              <w:t xml:space="preserve">46.25</w:t>
            </w:r>
          </w:p>
        </w:tc>
        <w:tc>
          <w:tcPr>
            <w:tcW w:type="dxa" w:w="900"/>
          </w:tcPr>
          <w:p>
            <w:pPr>
              <w:pStyle w:val="Compact"/>
              <w:jc w:val="center"/>
            </w:pPr>
            <w:r>
              <w:rPr>
                <w:b w:val="0"/>
              </w:rPr>
              <w:t xml:space="preserve">55.02</w:t>
            </w:r>
          </w:p>
        </w:tc>
        <w:tc>
          <w:tcPr>
            <w:tcW w:type="dxa" w:w="900"/>
          </w:tcPr>
          <w:p>
            <w:pPr>
              <w:pStyle w:val="Compact"/>
              <w:jc w:val="center"/>
            </w:pPr>
            <w:r>
              <w:rPr>
                <w:b w:val="0"/>
              </w:rPr>
              <w:t xml:space="preserve">48.21</w:t>
            </w:r>
          </w:p>
        </w:tc>
        <w:tc>
          <w:tcPr>
            <w:tcW w:type="dxa" w:w="900"/>
          </w:tcPr>
          <w:p>
            <w:pPr>
              <w:pStyle w:val="Compact"/>
              <w:jc w:val="left"/>
            </w:pPr>
            <w:r>
              <w:rPr>
                <w:b w:val="0"/>
              </w:rPr>
              <w:t xml:space="preserve">75.27</w:t>
            </w:r>
          </w:p>
        </w:tc>
        <w:tc>
          <w:tcPr>
            <w:tcW w:type="dxa" w:w="900"/>
          </w:tcPr>
          <w:p>
            <w:pPr>
              <w:pStyle w:val="Compact"/>
              <w:jc w:val="left"/>
            </w:pPr>
            <w:r>
              <w:rPr>
                <w:b w:val="0"/>
              </w:rPr>
              <w:t xml:space="preserve">63.05</w:t>
            </w:r>
          </w:p>
        </w:tc>
        <w:tc>
          <w:tcPr>
            <w:tcW w:type="dxa" w:w="900"/>
          </w:tcPr>
          <w:p>
            <w:pPr>
              <w:pStyle w:val="Compact"/>
              <w:jc w:val="left"/>
            </w:pPr>
            <w:r>
              <w:rPr>
                <w:b w:val="0"/>
              </w:rPr>
              <w:t xml:space="preserve">+14.84</w:t>
            </w:r>
          </w:p>
        </w:tc>
      </w:tr>
      <w:tr>
        <w:tc>
          <w:tcPr>
            <w:tcW w:type="dxa" w:w="944"/>
          </w:tcPr>
          <w:p>
            <w:pPr>
              <w:pStyle w:val="Compact"/>
              <w:jc w:val="left"/>
            </w:pPr>
            <w:r>
              <w:rPr>
                <w:b w:val="0"/>
              </w:rPr>
              <w:t>qwen2.5:14b_rag_enhanced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50.99</w:t>
            </w:r>
          </w:p>
        </w:tc>
        <w:tc>
          <w:tcPr>
            <w:tcW w:type="dxa" w:w="900"/>
          </w:tcPr>
          <w:p>
            <w:pPr>
              <w:pStyle w:val="Compact"/>
              <w:jc w:val="center"/>
            </w:pPr>
            <w:r>
              <w:rPr>
                <w:b w:val="0"/>
              </w:rPr>
              <w:t xml:space="preserve">51.31</w:t>
            </w:r>
          </w:p>
        </w:tc>
        <w:tc>
          <w:tcPr>
            <w:tcW w:type="dxa" w:w="900"/>
          </w:tcPr>
          <w:p>
            <w:pPr>
              <w:pStyle w:val="Compact"/>
              <w:jc w:val="center"/>
            </w:pPr>
            <w:r>
              <w:rPr>
                <w:b w:val="0"/>
              </w:rPr>
              <w:t xml:space="preserve">49.05</w:t>
            </w:r>
          </w:p>
        </w:tc>
        <w:tc>
          <w:tcPr>
            <w:tcW w:type="dxa" w:w="900"/>
          </w:tcPr>
          <w:p>
            <w:pPr>
              <w:pStyle w:val="Compact"/>
              <w:jc w:val="left"/>
            </w:pPr>
            <w:r>
              <w:rPr>
                <w:b w:val="0"/>
              </w:rPr>
              <w:t xml:space="preserve">85.30</w:t>
            </w:r>
          </w:p>
        </w:tc>
        <w:tc>
          <w:tcPr>
            <w:tcW w:type="dxa" w:w="900"/>
          </w:tcPr>
          <w:p>
            <w:pPr>
              <w:pStyle w:val="Compact"/>
              <w:jc w:val="left"/>
            </w:pPr>
            <w:r>
              <w:rPr>
                <w:b w:val="0"/>
              </w:rPr>
              <w:t xml:space="preserve">63.64</w:t>
            </w:r>
          </w:p>
        </w:tc>
        <w:tc>
          <w:tcPr>
            <w:tcW w:type="dxa" w:w="900"/>
          </w:tcPr>
          <w:p>
            <w:pPr>
              <w:pStyle w:val="Compact"/>
              <w:jc w:val="left"/>
            </w:pPr>
            <w:r>
              <w:rPr>
                <w:b w:val="0"/>
              </w:rPr>
              <w:t xml:space="preserve">+14.59</w:t>
            </w:r>
          </w:p>
        </w:tc>
      </w:tr>
      <w:tr>
        <w:tc>
          <w:tcPr>
            <w:tcW w:type="dxa" w:w="944"/>
          </w:tcPr>
          <w:p>
            <w:pPr>
              <w:pStyle w:val="Compact"/>
              <w:jc w:val="left"/>
            </w:pPr>
            <w:r>
              <w:rPr>
                <w:b w:val="0"/>
              </w:rPr>
              <w:t>llama3.2:latest_kb_rag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48.92</w:t>
            </w:r>
          </w:p>
        </w:tc>
        <w:tc>
          <w:tcPr>
            <w:tcW w:type="dxa" w:w="900"/>
          </w:tcPr>
          <w:p>
            <w:pPr>
              <w:pStyle w:val="Compact"/>
              <w:jc w:val="center"/>
            </w:pPr>
            <w:r>
              <w:rPr>
                <w:b w:val="0"/>
              </w:rPr>
              <w:t xml:space="preserve">51.81</w:t>
            </w:r>
          </w:p>
        </w:tc>
        <w:tc>
          <w:tcPr>
            <w:tcW w:type="dxa" w:w="900"/>
          </w:tcPr>
          <w:p>
            <w:pPr>
              <w:pStyle w:val="Compact"/>
              <w:jc w:val="center"/>
            </w:pPr>
            <w:r>
              <w:rPr>
                <w:b w:val="0"/>
              </w:rPr>
              <w:t xml:space="preserve">46.93</w:t>
            </w:r>
          </w:p>
        </w:tc>
        <w:tc>
          <w:tcPr>
            <w:tcW w:type="dxa" w:w="900"/>
          </w:tcPr>
          <w:p>
            <w:pPr>
              <w:pStyle w:val="Compact"/>
              <w:jc w:val="left"/>
            </w:pPr>
            <w:r>
              <w:rPr>
                <w:b w:val="0"/>
              </w:rPr>
              <w:t xml:space="preserve">75.45</w:t>
            </w:r>
          </w:p>
        </w:tc>
        <w:tc>
          <w:tcPr>
            <w:tcW w:type="dxa" w:w="900"/>
          </w:tcPr>
          <w:p>
            <w:pPr>
              <w:pStyle w:val="Compact"/>
              <w:jc w:val="left"/>
            </w:pPr>
            <w:r>
              <w:rPr>
                <w:b w:val="0"/>
              </w:rPr>
              <w:t xml:space="preserve">59.86</w:t>
            </w:r>
          </w:p>
        </w:tc>
        <w:tc>
          <w:tcPr>
            <w:tcW w:type="dxa" w:w="900"/>
          </w:tcPr>
          <w:p>
            <w:pPr>
              <w:pStyle w:val="Compact"/>
              <w:jc w:val="left"/>
            </w:pPr>
            <w:r>
              <w:rPr>
                <w:b w:val="0"/>
              </w:rPr>
              <w:t xml:space="preserve">+12.92</w:t>
            </w:r>
          </w:p>
        </w:tc>
      </w:tr>
      <w:tr>
        <w:tc>
          <w:tcPr>
            <w:tcW w:type="dxa" w:w="944"/>
          </w:tcPr>
          <w:p>
            <w:pPr>
              <w:pStyle w:val="Compact"/>
              <w:jc w:val="left"/>
            </w:pPr>
            <w:r>
              <w:rPr>
                <w:b w:val="0"/>
              </w:rPr>
              <w:t>llama3.1:8b_rag_enhanced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47.02</w:t>
            </w:r>
          </w:p>
        </w:tc>
        <w:tc>
          <w:tcPr>
            <w:tcW w:type="dxa" w:w="900"/>
          </w:tcPr>
          <w:p>
            <w:pPr>
              <w:pStyle w:val="Compact"/>
              <w:jc w:val="center"/>
            </w:pPr>
            <w:r>
              <w:rPr>
                <w:b w:val="0"/>
              </w:rPr>
              <w:t xml:space="preserve">46.98</w:t>
            </w:r>
          </w:p>
        </w:tc>
        <w:tc>
          <w:tcPr>
            <w:tcW w:type="dxa" w:w="900"/>
          </w:tcPr>
          <w:p>
            <w:pPr>
              <w:pStyle w:val="Compact"/>
              <w:jc w:val="center"/>
            </w:pPr>
            <w:r>
              <w:rPr>
                <w:b w:val="0"/>
              </w:rPr>
              <w:t xml:space="preserve">44.56</w:t>
            </w:r>
          </w:p>
        </w:tc>
        <w:tc>
          <w:tcPr>
            <w:tcW w:type="dxa" w:w="900"/>
          </w:tcPr>
          <w:p>
            <w:pPr>
              <w:pStyle w:val="Compact"/>
              <w:jc w:val="left"/>
            </w:pPr>
            <w:r>
              <w:rPr>
                <w:b w:val="0"/>
              </w:rPr>
              <w:t xml:space="preserve">87.02</w:t>
            </w:r>
          </w:p>
        </w:tc>
        <w:tc>
          <w:tcPr>
            <w:tcW w:type="dxa" w:w="900"/>
          </w:tcPr>
          <w:p>
            <w:pPr>
              <w:pStyle w:val="Compact"/>
              <w:jc w:val="left"/>
            </w:pPr>
            <w:r>
              <w:rPr>
                <w:b w:val="0"/>
              </w:rPr>
              <w:t xml:space="preserve">59.25</w:t>
            </w:r>
          </w:p>
        </w:tc>
        <w:tc>
          <w:tcPr>
            <w:tcW w:type="dxa" w:w="900"/>
          </w:tcPr>
          <w:p>
            <w:pPr>
              <w:pStyle w:val="Compact"/>
              <w:jc w:val="left"/>
            </w:pPr>
            <w:r>
              <w:rPr>
                <w:b w:val="0"/>
              </w:rPr>
              <w:t xml:space="preserve">+14.69</w:t>
            </w:r>
          </w:p>
        </w:tc>
      </w:tr>
      <w:tr>
        <w:tc>
          <w:tcPr>
            <w:tcW w:type="dxa" w:w="944"/>
          </w:tcPr>
          <w:p>
            <w:pPr>
              <w:pStyle w:val="Compact"/>
              <w:jc w:val="left"/>
            </w:pPr>
            <w:r>
              <w:rPr>
                <w:b w:val="0"/>
              </w:rPr>
              <w:t>gemma:latest_kb_rag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52.31</w:t>
            </w:r>
          </w:p>
        </w:tc>
        <w:tc>
          <w:tcPr>
            <w:tcW w:type="dxa" w:w="900"/>
          </w:tcPr>
          <w:p>
            <w:pPr>
              <w:pStyle w:val="Compact"/>
              <w:jc w:val="center"/>
            </w:pPr>
            <w:r>
              <w:rPr>
                <w:b w:val="0"/>
              </w:rPr>
              <w:t xml:space="preserve">56.62</w:t>
            </w:r>
          </w:p>
        </w:tc>
        <w:tc>
          <w:tcPr>
            <w:tcW w:type="dxa" w:w="900"/>
          </w:tcPr>
          <w:p>
            <w:pPr>
              <w:pStyle w:val="Compact"/>
              <w:jc w:val="center"/>
            </w:pPr>
            <w:r>
              <w:rPr>
                <w:b w:val="0"/>
              </w:rPr>
              <w:t xml:space="preserve">51.36</w:t>
            </w:r>
          </w:p>
        </w:tc>
        <w:tc>
          <w:tcPr>
            <w:tcW w:type="dxa" w:w="900"/>
          </w:tcPr>
          <w:p>
            <w:pPr>
              <w:pStyle w:val="Compact"/>
              <w:jc w:val="left"/>
            </w:pPr>
            <w:r>
              <w:rPr>
                <w:b w:val="0"/>
              </w:rPr>
              <w:t xml:space="preserve">61.48</w:t>
            </w:r>
          </w:p>
        </w:tc>
        <w:tc>
          <w:tcPr>
            <w:tcW w:type="dxa" w:w="900"/>
          </w:tcPr>
          <w:p>
            <w:pPr>
              <w:pStyle w:val="Compact"/>
              <w:jc w:val="left"/>
            </w:pPr>
            <w:r>
              <w:rPr>
                <w:b w:val="0"/>
              </w:rPr>
              <w:t xml:space="preserve">56.37</w:t>
            </w:r>
          </w:p>
        </w:tc>
        <w:tc>
          <w:tcPr>
            <w:tcW w:type="dxa" w:w="900"/>
          </w:tcPr>
          <w:p>
            <w:pPr>
              <w:pStyle w:val="Compact"/>
              <w:jc w:val="left"/>
            </w:pPr>
            <w:r>
              <w:rPr>
                <w:b w:val="0"/>
              </w:rPr>
              <w:t xml:space="preserve">+5.01</w:t>
            </w:r>
          </w:p>
        </w:tc>
      </w:tr>
      <w:tr>
        <w:tc>
          <w:tcPr>
            <w:tcW w:type="dxa" w:w="944"/>
          </w:tcPr>
          <w:p>
            <w:pPr>
              <w:pStyle w:val="Compact"/>
              <w:jc w:val="left"/>
            </w:pPr>
            <w:r>
              <w:rPr>
                <w:b w:val="0"/>
              </w:rPr>
              <w:t>mistral-nemo:latest_baseline</w:t>
            </w:r>
          </w:p>
        </w:tc>
        <w:tc>
          <w:tcPr>
            <w:tcW w:type="dxa" w:w="2494"/>
          </w:tcPr>
          <w:p>
            <w:pPr>
              <w:pStyle w:val="Compact"/>
              <w:jc w:val="left"/>
            </w:pPr>
            <w:r>
              <w:rPr>
                <w:b w:val="0"/>
              </w:rPr>
              <w:t>benchmark_n120_REMOTO</w:t>
            </w:r>
          </w:p>
        </w:tc>
        <w:tc>
          <w:tcPr>
            <w:tcW w:type="dxa" w:w="900"/>
          </w:tcPr>
          <w:p>
            <w:pPr>
              <w:pStyle w:val="Compact"/>
              <w:jc w:val="left"/>
            </w:pPr>
            <w:r>
              <w:rPr>
                <w:b w:val="0"/>
              </w:rPr>
              <w:t xml:space="preserve">52.39</w:t>
            </w:r>
          </w:p>
        </w:tc>
        <w:tc>
          <w:tcPr>
            <w:tcW w:type="dxa" w:w="900"/>
          </w:tcPr>
          <w:p>
            <w:pPr>
              <w:pStyle w:val="Compact"/>
              <w:jc w:val="center"/>
            </w:pPr>
            <w:r>
              <w:rPr>
                <w:b w:val="0"/>
              </w:rPr>
              <w:t xml:space="preserve">41.09</w:t>
            </w:r>
          </w:p>
        </w:tc>
        <w:tc>
          <w:tcPr>
            <w:tcW w:type="dxa" w:w="900"/>
          </w:tcPr>
          <w:p>
            <w:pPr>
              <w:pStyle w:val="Compact"/>
              <w:jc w:val="center"/>
            </w:pPr>
            <w:r>
              <w:rPr>
                <w:b w:val="0"/>
              </w:rPr>
              <w:t xml:space="preserve">43.38</w:t>
            </w:r>
          </w:p>
        </w:tc>
        <w:tc>
          <w:tcPr>
            <w:tcW w:type="dxa" w:w="900"/>
          </w:tcPr>
          <w:p>
            <w:pPr>
              <w:pStyle w:val="Compact"/>
              <w:jc w:val="left"/>
            </w:pPr>
            <w:r>
              <w:rPr>
                <w:b w:val="0"/>
              </w:rPr>
              <w:t xml:space="preserve">82.24</w:t>
            </w:r>
          </w:p>
        </w:tc>
        <w:tc>
          <w:tcPr>
            <w:tcW w:type="dxa" w:w="900"/>
          </w:tcPr>
          <w:p>
            <w:pPr>
              <w:pStyle w:val="Compact"/>
              <w:jc w:val="left"/>
            </w:pPr>
            <w:r>
              <w:rPr>
                <w:b w:val="0"/>
              </w:rPr>
              <w:t xml:space="preserve">54.09</w:t>
            </w:r>
          </w:p>
        </w:tc>
        <w:tc>
          <w:tcPr>
            <w:tcW w:type="dxa" w:w="900"/>
          </w:tcPr>
          <w:p>
            <w:pPr>
              <w:pStyle w:val="Compact"/>
              <w:jc w:val="left"/>
            </w:pPr>
            <w:r>
              <w:rPr>
                <w:b w:val="0"/>
              </w:rPr>
              <w:t xml:space="preserve">+10.70</w:t>
            </w:r>
          </w:p>
        </w:tc>
      </w:tr>
      <w:tr>
        <w:tc>
          <w:tcPr>
            <w:tcW w:type="dxa" w:w="944"/>
          </w:tcPr>
          <w:p>
            <w:pPr>
              <w:pStyle w:val="Compact"/>
              <w:jc w:val="left"/>
            </w:pPr>
            <w:r>
              <w:rPr>
                <w:b w:val="0"/>
              </w:rPr>
              <w:t>qwen3:8b_rag_enhanced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43.47</w:t>
            </w:r>
          </w:p>
        </w:tc>
        <w:tc>
          <w:tcPr>
            <w:tcW w:type="dxa" w:w="900"/>
          </w:tcPr>
          <w:p>
            <w:pPr>
              <w:pStyle w:val="Compact"/>
              <w:jc w:val="center"/>
            </w:pPr>
            <w:r>
              <w:rPr>
                <w:b w:val="0"/>
              </w:rPr>
              <w:t xml:space="preserve">45.28</w:t>
            </w:r>
          </w:p>
        </w:tc>
        <w:tc>
          <w:tcPr>
            <w:tcW w:type="dxa" w:w="900"/>
          </w:tcPr>
          <w:p>
            <w:pPr>
              <w:pStyle w:val="Compact"/>
              <w:jc w:val="center"/>
            </w:pPr>
            <w:r>
              <w:rPr>
                <w:b w:val="0"/>
              </w:rPr>
              <w:t xml:space="preserve">43.17</w:t>
            </w:r>
          </w:p>
        </w:tc>
        <w:tc>
          <w:tcPr>
            <w:tcW w:type="dxa" w:w="900"/>
          </w:tcPr>
          <w:p>
            <w:pPr>
              <w:pStyle w:val="Compact"/>
              <w:jc w:val="left"/>
            </w:pPr>
            <w:r>
              <w:rPr>
                <w:b w:val="0"/>
              </w:rPr>
              <w:t xml:space="preserve">71.66</w:t>
            </w:r>
          </w:p>
        </w:tc>
        <w:tc>
          <w:tcPr>
            <w:tcW w:type="dxa" w:w="900"/>
          </w:tcPr>
          <w:p>
            <w:pPr>
              <w:pStyle w:val="Compact"/>
              <w:jc w:val="left"/>
            </w:pPr>
            <w:r>
              <w:rPr>
                <w:b w:val="0"/>
              </w:rPr>
              <w:t xml:space="preserve">56.00</w:t>
            </w:r>
          </w:p>
        </w:tc>
        <w:tc>
          <w:tcPr>
            <w:tcW w:type="dxa" w:w="900"/>
          </w:tcPr>
          <w:p>
            <w:pPr>
              <w:pStyle w:val="Compact"/>
              <w:jc w:val="left"/>
            </w:pPr>
            <w:r>
              <w:rPr>
                <w:b w:val="0"/>
              </w:rPr>
              <w:t xml:space="preserve">+12.83</w:t>
            </w:r>
          </w:p>
        </w:tc>
      </w:tr>
      <w:tr>
        <w:tc>
          <w:tcPr>
            <w:tcW w:type="dxa" w:w="944"/>
          </w:tcPr>
          <w:p>
            <w:pPr>
              <w:pStyle w:val="Compact"/>
              <w:jc w:val="left"/>
            </w:pPr>
            <w:r>
              <w:rPr>
                <w:b w:val="0"/>
              </w:rPr>
              <w:t>mistral-nemo:latest_kb_rag</w:t>
            </w:r>
          </w:p>
        </w:tc>
        <w:tc>
          <w:tcPr>
            <w:tcW w:type="dxa" w:w="2494"/>
          </w:tcPr>
          <w:p>
            <w:pPr>
              <w:pStyle w:val="Compact"/>
              <w:jc w:val="left"/>
            </w:pPr>
            <w:r>
              <w:rPr>
                <w:b w:val="0"/>
              </w:rPr>
              <w:t>benchmark_n120_REMOTO</w:t>
            </w:r>
          </w:p>
        </w:tc>
        <w:tc>
          <w:tcPr>
            <w:tcW w:type="dxa" w:w="900"/>
          </w:tcPr>
          <w:p>
            <w:pPr>
              <w:pStyle w:val="Compact"/>
              <w:jc w:val="left"/>
            </w:pPr>
            <w:r>
              <w:rPr>
                <w:b w:val="0"/>
              </w:rPr>
              <w:t xml:space="preserve">57.59</w:t>
            </w:r>
          </w:p>
        </w:tc>
        <w:tc>
          <w:tcPr>
            <w:tcW w:type="dxa" w:w="900"/>
          </w:tcPr>
          <w:p>
            <w:pPr>
              <w:pStyle w:val="Compact"/>
              <w:jc w:val="center"/>
            </w:pPr>
            <w:r>
              <w:rPr>
                <w:b w:val="0"/>
              </w:rPr>
              <w:t xml:space="preserve">41.91</w:t>
            </w:r>
          </w:p>
        </w:tc>
        <w:tc>
          <w:tcPr>
            <w:tcW w:type="dxa" w:w="900"/>
          </w:tcPr>
          <w:p>
            <w:pPr>
              <w:pStyle w:val="Compact"/>
              <w:jc w:val="center"/>
            </w:pPr>
            <w:r>
              <w:rPr>
                <w:b w:val="0"/>
              </w:rPr>
              <w:t xml:space="preserve">45.76</w:t>
            </w:r>
          </w:p>
        </w:tc>
        <w:tc>
          <w:tcPr>
            <w:tcW w:type="dxa" w:w="900"/>
          </w:tcPr>
          <w:p>
            <w:pPr>
              <w:pStyle w:val="Compact"/>
              <w:jc w:val="left"/>
            </w:pPr>
            <w:r>
              <w:rPr>
                <w:b w:val="0"/>
              </w:rPr>
              <w:t xml:space="preserve">80.15</w:t>
            </w:r>
          </w:p>
        </w:tc>
        <w:tc>
          <w:tcPr>
            <w:tcW w:type="dxa" w:w="900"/>
          </w:tcPr>
          <w:p>
            <w:pPr>
              <w:pStyle w:val="Compact"/>
              <w:jc w:val="left"/>
            </w:pPr>
            <w:r>
              <w:rPr>
                <w:b w:val="0"/>
              </w:rPr>
              <w:t xml:space="preserve">53.07</w:t>
            </w:r>
          </w:p>
        </w:tc>
        <w:tc>
          <w:tcPr>
            <w:tcW w:type="dxa" w:w="900"/>
          </w:tcPr>
          <w:p>
            <w:pPr>
              <w:pStyle w:val="Compact"/>
              <w:jc w:val="left"/>
            </w:pPr>
            <w:r>
              <w:rPr>
                <w:b w:val="0"/>
              </w:rPr>
              <w:t xml:space="preserve">+7.31</w:t>
            </w:r>
          </w:p>
        </w:tc>
      </w:tr>
      <w:tr>
        <w:tc>
          <w:tcPr>
            <w:tcW w:type="dxa" w:w="944"/>
          </w:tcPr>
          <w:p>
            <w:pPr>
              <w:pStyle w:val="Compact"/>
              <w:jc w:val="left"/>
            </w:pPr>
            <w:r>
              <w:rPr>
                <w:b w:val="0"/>
              </w:rPr>
              <w:t>gemma:latest_baseline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49.00</w:t>
            </w:r>
          </w:p>
        </w:tc>
        <w:tc>
          <w:tcPr>
            <w:tcW w:type="dxa" w:w="900"/>
          </w:tcPr>
          <w:p>
            <w:pPr>
              <w:pStyle w:val="Compact"/>
              <w:jc w:val="center"/>
            </w:pPr>
            <w:r>
              <w:rPr>
                <w:b w:val="0"/>
              </w:rPr>
              <w:t xml:space="preserve">44.97</w:t>
            </w:r>
          </w:p>
        </w:tc>
        <w:tc>
          <w:tcPr>
            <w:tcW w:type="dxa" w:w="900"/>
          </w:tcPr>
          <w:p>
            <w:pPr>
              <w:pStyle w:val="Compact"/>
              <w:jc w:val="center"/>
            </w:pPr>
            <w:r>
              <w:rPr>
                <w:b w:val="0"/>
              </w:rPr>
              <w:t xml:space="preserve">44.00</w:t>
            </w:r>
          </w:p>
        </w:tc>
        <w:tc>
          <w:tcPr>
            <w:tcW w:type="dxa" w:w="900"/>
          </w:tcPr>
          <w:p>
            <w:pPr>
              <w:pStyle w:val="Compact"/>
              <w:jc w:val="left"/>
            </w:pPr>
            <w:r>
              <w:rPr>
                <w:b w:val="0"/>
              </w:rPr>
              <w:t xml:space="preserve">65.23</w:t>
            </w:r>
          </w:p>
        </w:tc>
        <w:tc>
          <w:tcPr>
            <w:tcW w:type="dxa" w:w="900"/>
          </w:tcPr>
          <w:p>
            <w:pPr>
              <w:pStyle w:val="Compact"/>
              <w:jc w:val="left"/>
            </w:pPr>
            <w:r>
              <w:rPr>
                <w:b w:val="0"/>
              </w:rPr>
              <w:t xml:space="preserve">51.85</w:t>
            </w:r>
          </w:p>
        </w:tc>
        <w:tc>
          <w:tcPr>
            <w:tcW w:type="dxa" w:w="900"/>
          </w:tcPr>
          <w:p>
            <w:pPr>
              <w:pStyle w:val="Compact"/>
              <w:jc w:val="left"/>
            </w:pPr>
            <w:r>
              <w:rPr>
                <w:b w:val="0"/>
              </w:rPr>
              <w:t xml:space="preserve">+7.85</w:t>
            </w:r>
          </w:p>
        </w:tc>
      </w:tr>
      <w:tr>
        <w:tc>
          <w:tcPr>
            <w:tcW w:type="dxa" w:w="944"/>
          </w:tcPr>
          <w:p>
            <w:pPr>
              <w:pStyle w:val="Compact"/>
              <w:jc w:val="left"/>
            </w:pPr>
            <w:r>
              <w:rPr>
                <w:b w:val="0"/>
              </w:rPr>
              <w:t>llama3.2:latest_baseline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40.18</w:t>
            </w:r>
          </w:p>
        </w:tc>
        <w:tc>
          <w:tcPr>
            <w:tcW w:type="dxa" w:w="900"/>
          </w:tcPr>
          <w:p>
            <w:pPr>
              <w:pStyle w:val="Compact"/>
              <w:jc w:val="center"/>
            </w:pPr>
            <w:r>
              <w:rPr>
                <w:b w:val="0"/>
              </w:rPr>
              <w:t xml:space="preserve">37.48</w:t>
            </w:r>
          </w:p>
        </w:tc>
        <w:tc>
          <w:tcPr>
            <w:tcW w:type="dxa" w:w="900"/>
          </w:tcPr>
          <w:p>
            <w:pPr>
              <w:pStyle w:val="Compact"/>
              <w:jc w:val="center"/>
            </w:pPr>
            <w:r>
              <w:rPr>
                <w:b w:val="0"/>
              </w:rPr>
              <w:t xml:space="preserve">36.11</w:t>
            </w:r>
          </w:p>
        </w:tc>
        <w:tc>
          <w:tcPr>
            <w:tcW w:type="dxa" w:w="900"/>
          </w:tcPr>
          <w:p>
            <w:pPr>
              <w:pStyle w:val="Compact"/>
              <w:jc w:val="left"/>
            </w:pPr>
            <w:r>
              <w:rPr>
                <w:b w:val="0"/>
              </w:rPr>
              <w:t xml:space="preserve">79.63</w:t>
            </w:r>
          </w:p>
        </w:tc>
        <w:tc>
          <w:tcPr>
            <w:tcW w:type="dxa" w:w="900"/>
          </w:tcPr>
          <w:p>
            <w:pPr>
              <w:pStyle w:val="Compact"/>
              <w:jc w:val="left"/>
            </w:pPr>
            <w:r>
              <w:rPr>
                <w:b w:val="0"/>
              </w:rPr>
              <w:t xml:space="preserve">49.65</w:t>
            </w:r>
          </w:p>
        </w:tc>
        <w:tc>
          <w:tcPr>
            <w:tcW w:type="dxa" w:w="900"/>
          </w:tcPr>
          <w:p>
            <w:pPr>
              <w:pStyle w:val="Compact"/>
              <w:jc w:val="left"/>
            </w:pPr>
            <w:r>
              <w:rPr>
                <w:b w:val="0"/>
              </w:rPr>
              <w:t xml:space="preserve">+13.54</w:t>
            </w:r>
          </w:p>
        </w:tc>
      </w:tr>
      <w:tr>
        <w:tc>
          <w:tcPr>
            <w:tcW w:type="dxa" w:w="944"/>
          </w:tcPr>
          <w:p>
            <w:pPr>
              <w:pStyle w:val="Compact"/>
              <w:jc w:val="left"/>
            </w:pPr>
            <w:r>
              <w:rPr>
                <w:b w:val="0"/>
              </w:rPr>
              <w:t>llama3.2:latest</w:t>
            </w:r>
          </w:p>
        </w:tc>
        <w:tc>
          <w:tcPr>
            <w:tcW w:type="dxa" w:w="2494"/>
          </w:tcPr>
          <w:p>
            <w:pPr>
              <w:pStyle w:val="Compact"/>
              <w:jc w:val="left"/>
            </w:pPr>
            <w:r>
              <w:rPr>
                <w:b w:val="0"/>
              </w:rPr>
              <w:t>benchmark_balanced_120_20260824_173017</w:t>
            </w:r>
          </w:p>
        </w:tc>
        <w:tc>
          <w:tcPr>
            <w:tcW w:type="dxa" w:w="900"/>
          </w:tcPr>
          <w:p>
            <w:pPr>
              <w:pStyle w:val="Compact"/>
              <w:jc w:val="left"/>
            </w:pPr>
            <w:r>
              <w:rPr>
                <w:b w:val="0"/>
              </w:rPr>
              <w:t xml:space="preserve">40.18</w:t>
            </w:r>
          </w:p>
        </w:tc>
        <w:tc>
          <w:tcPr>
            <w:tcW w:type="dxa" w:w="900"/>
          </w:tcPr>
          <w:p>
            <w:pPr>
              <w:pStyle w:val="Compact"/>
              <w:jc w:val="center"/>
            </w:pPr>
            <w:r>
              <w:rPr>
                <w:b w:val="0"/>
              </w:rPr>
              <w:t xml:space="preserve">37.48</w:t>
            </w:r>
          </w:p>
        </w:tc>
        <w:tc>
          <w:tcPr>
            <w:tcW w:type="dxa" w:w="900"/>
          </w:tcPr>
          <w:p>
            <w:pPr>
              <w:pStyle w:val="Compact"/>
              <w:jc w:val="center"/>
            </w:pPr>
            <w:r>
              <w:rPr>
                <w:b w:val="0"/>
              </w:rPr>
              <w:t xml:space="preserve">36.11</w:t>
            </w:r>
          </w:p>
        </w:tc>
        <w:tc>
          <w:tcPr>
            <w:tcW w:type="dxa" w:w="900"/>
          </w:tcPr>
          <w:p>
            <w:pPr>
              <w:pStyle w:val="Compact"/>
              <w:jc w:val="left"/>
            </w:pPr>
            <w:r>
              <w:rPr>
                <w:b w:val="0"/>
              </w:rPr>
              <w:t xml:space="preserve">79.63</w:t>
            </w:r>
          </w:p>
        </w:tc>
        <w:tc>
          <w:tcPr>
            <w:tcW w:type="dxa" w:w="900"/>
          </w:tcPr>
          <w:p>
            <w:pPr>
              <w:pStyle w:val="Compact"/>
              <w:jc w:val="left"/>
            </w:pPr>
            <w:r>
              <w:rPr>
                <w:b w:val="0"/>
              </w:rPr>
              <w:t xml:space="preserve">49.65</w:t>
            </w:r>
          </w:p>
        </w:tc>
        <w:tc>
          <w:tcPr>
            <w:tcW w:type="dxa" w:w="900"/>
          </w:tcPr>
          <w:p>
            <w:pPr>
              <w:pStyle w:val="Compact"/>
              <w:jc w:val="left"/>
            </w:pPr>
            <w:r>
              <w:rPr>
                <w:b w:val="0"/>
              </w:rPr>
              <w:t xml:space="preserve">+13.54</w:t>
            </w:r>
          </w:p>
        </w:tc>
      </w:tr>
      <w:tr>
        <w:tc>
          <w:tcPr>
            <w:tcW w:type="dxa" w:w="944"/>
          </w:tcPr>
          <w:p>
            <w:pPr>
              <w:pStyle w:val="Compact"/>
              <w:jc w:val="left"/>
            </w:pPr>
            <w:r>
              <w:rPr>
                <w:b w:val="0"/>
              </w:rPr>
              <w:t>gemma:latest_rag_enhanced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46.09</w:t>
            </w:r>
          </w:p>
        </w:tc>
        <w:tc>
          <w:tcPr>
            <w:tcW w:type="dxa" w:w="900"/>
          </w:tcPr>
          <w:p>
            <w:pPr>
              <w:pStyle w:val="Compact"/>
              <w:jc w:val="center"/>
            </w:pPr>
            <w:r>
              <w:rPr>
                <w:b w:val="0"/>
              </w:rPr>
              <w:t xml:space="preserve">39.74</w:t>
            </w:r>
          </w:p>
        </w:tc>
        <w:tc>
          <w:tcPr>
            <w:tcW w:type="dxa" w:w="900"/>
          </w:tcPr>
          <w:p>
            <w:pPr>
              <w:pStyle w:val="Compact"/>
              <w:jc w:val="center"/>
            </w:pPr>
            <w:r>
              <w:rPr>
                <w:b w:val="0"/>
              </w:rPr>
              <w:t xml:space="preserve">40.09</w:t>
            </w:r>
          </w:p>
        </w:tc>
        <w:tc>
          <w:tcPr>
            <w:tcW w:type="dxa" w:w="900"/>
          </w:tcPr>
          <w:p>
            <w:pPr>
              <w:pStyle w:val="Compact"/>
              <w:jc w:val="left"/>
            </w:pPr>
            <w:r>
              <w:rPr>
                <w:b w:val="0"/>
              </w:rPr>
              <w:t xml:space="preserve">63.27</w:t>
            </w:r>
          </w:p>
        </w:tc>
        <w:tc>
          <w:tcPr>
            <w:tcW w:type="dxa" w:w="900"/>
          </w:tcPr>
          <w:p>
            <w:pPr>
              <w:pStyle w:val="Compact"/>
              <w:jc w:val="left"/>
            </w:pPr>
            <w:r>
              <w:rPr>
                <w:b w:val="0"/>
              </w:rPr>
              <w:t xml:space="preserve">47.57</w:t>
            </w:r>
          </w:p>
        </w:tc>
        <w:tc>
          <w:tcPr>
            <w:tcW w:type="dxa" w:w="900"/>
          </w:tcPr>
          <w:p>
            <w:pPr>
              <w:pStyle w:val="Compact"/>
              <w:jc w:val="left"/>
            </w:pPr>
            <w:r>
              <w:rPr>
                <w:b w:val="0"/>
              </w:rPr>
              <w:t xml:space="preserve">+7.48</w:t>
            </w:r>
          </w:p>
        </w:tc>
      </w:tr>
      <w:tr>
        <w:tc>
          <w:tcPr>
            <w:tcW w:type="dxa" w:w="944"/>
          </w:tcPr>
          <w:p>
            <w:pPr>
              <w:pStyle w:val="Compact"/>
              <w:jc w:val="left"/>
            </w:pPr>
            <w:r>
              <w:rPr>
                <w:b w:val="0"/>
              </w:rPr>
              <w:t>nemotron-mini:4b_kb_rag</w:t>
            </w:r>
          </w:p>
        </w:tc>
        <w:tc>
          <w:tcPr>
            <w:tcW w:type="dxa" w:w="2494"/>
          </w:tcPr>
          <w:p>
            <w:pPr>
              <w:pStyle w:val="Compact"/>
              <w:jc w:val="left"/>
            </w:pPr>
            <w:r>
              <w:rPr>
                <w:b w:val="0"/>
              </w:rPr>
              <w:t>nemotron_rerun_n120_REMOTO</w:t>
            </w:r>
          </w:p>
        </w:tc>
        <w:tc>
          <w:tcPr>
            <w:tcW w:type="dxa" w:w="900"/>
          </w:tcPr>
          <w:p>
            <w:pPr>
              <w:pStyle w:val="Compact"/>
              <w:jc w:val="left"/>
            </w:pPr>
            <w:r>
              <w:rPr>
                <w:b w:val="0"/>
              </w:rPr>
              <w:t xml:space="preserve">44.80</w:t>
            </w:r>
          </w:p>
        </w:tc>
        <w:tc>
          <w:tcPr>
            <w:tcW w:type="dxa" w:w="900"/>
          </w:tcPr>
          <w:p>
            <w:pPr>
              <w:pStyle w:val="Compact"/>
              <w:jc w:val="center"/>
            </w:pPr>
            <w:r>
              <w:rPr>
                <w:b w:val="0"/>
              </w:rPr>
              <w:t xml:space="preserve">36.62</w:t>
            </w:r>
          </w:p>
        </w:tc>
        <w:tc>
          <w:tcPr>
            <w:tcW w:type="dxa" w:w="900"/>
          </w:tcPr>
          <w:p>
            <w:pPr>
              <w:pStyle w:val="Compact"/>
              <w:jc w:val="center"/>
            </w:pPr>
            <w:r>
              <w:rPr>
                <w:b w:val="0"/>
              </w:rPr>
              <w:t xml:space="preserve">37.12</w:t>
            </w:r>
          </w:p>
        </w:tc>
        <w:tc>
          <w:tcPr>
            <w:tcW w:type="dxa" w:w="900"/>
          </w:tcPr>
          <w:p>
            <w:pPr>
              <w:pStyle w:val="Compact"/>
              <w:jc w:val="left"/>
            </w:pPr>
            <w:r>
              <w:rPr>
                <w:b w:val="0"/>
              </w:rPr>
              <w:t xml:space="preserve">55.19</w:t>
            </w:r>
          </w:p>
        </w:tc>
        <w:tc>
          <w:tcPr>
            <w:tcW w:type="dxa" w:w="900"/>
          </w:tcPr>
          <w:p>
            <w:pPr>
              <w:pStyle w:val="Compact"/>
              <w:jc w:val="left"/>
            </w:pPr>
            <w:r>
              <w:rPr>
                <w:b w:val="0"/>
              </w:rPr>
              <w:t xml:space="preserve">40.77</w:t>
            </w:r>
          </w:p>
        </w:tc>
        <w:tc>
          <w:tcPr>
            <w:tcW w:type="dxa" w:w="900"/>
          </w:tcPr>
          <w:p>
            <w:pPr>
              <w:pStyle w:val="Compact"/>
              <w:jc w:val="left"/>
            </w:pPr>
            <w:r>
              <w:rPr>
                <w:b w:val="0"/>
              </w:rPr>
              <w:t xml:space="preserve">+3.65</w:t>
            </w:r>
          </w:p>
        </w:tc>
      </w:tr>
      <w:tr>
        <w:tc>
          <w:tcPr>
            <w:tcW w:type="dxa" w:w="944"/>
          </w:tcPr>
          <w:p>
            <w:pPr>
              <w:pStyle w:val="Compact"/>
              <w:jc w:val="left"/>
            </w:pPr>
            <w:r>
              <w:rPr>
                <w:b w:val="0"/>
              </w:rPr>
              <w:t>llama3.2:latest_rag_enhanced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38.78</w:t>
            </w:r>
          </w:p>
        </w:tc>
        <w:tc>
          <w:tcPr>
            <w:tcW w:type="dxa" w:w="900"/>
          </w:tcPr>
          <w:p>
            <w:pPr>
              <w:pStyle w:val="Compact"/>
              <w:jc w:val="center"/>
            </w:pPr>
            <w:r>
              <w:rPr>
                <w:b w:val="0"/>
              </w:rPr>
              <w:t xml:space="preserve">30.41</w:t>
            </w:r>
          </w:p>
        </w:tc>
        <w:tc>
          <w:tcPr>
            <w:tcW w:type="dxa" w:w="900"/>
          </w:tcPr>
          <w:p>
            <w:pPr>
              <w:pStyle w:val="Compact"/>
              <w:jc w:val="center"/>
            </w:pPr>
            <w:r>
              <w:rPr>
                <w:b w:val="0"/>
              </w:rPr>
              <w:t xml:space="preserve">31.13</w:t>
            </w:r>
          </w:p>
        </w:tc>
        <w:tc>
          <w:tcPr>
            <w:tcW w:type="dxa" w:w="900"/>
          </w:tcPr>
          <w:p>
            <w:pPr>
              <w:pStyle w:val="Compact"/>
              <w:jc w:val="left"/>
            </w:pPr>
            <w:r>
              <w:rPr>
                <w:b w:val="0"/>
              </w:rPr>
              <w:t xml:space="preserve">70.58</w:t>
            </w:r>
          </w:p>
        </w:tc>
        <w:tc>
          <w:tcPr>
            <w:tcW w:type="dxa" w:w="900"/>
          </w:tcPr>
          <w:p>
            <w:pPr>
              <w:pStyle w:val="Compact"/>
              <w:jc w:val="left"/>
            </w:pPr>
            <w:r>
              <w:rPr>
                <w:b w:val="0"/>
              </w:rPr>
              <w:t xml:space="preserve">38.90</w:t>
            </w:r>
          </w:p>
        </w:tc>
        <w:tc>
          <w:tcPr>
            <w:tcW w:type="dxa" w:w="900"/>
          </w:tcPr>
          <w:p>
            <w:pPr>
              <w:pStyle w:val="Compact"/>
              <w:jc w:val="left"/>
            </w:pPr>
            <w:r>
              <w:rPr>
                <w:b w:val="0"/>
              </w:rPr>
              <w:t xml:space="preserve">+7.77</w:t>
            </w:r>
          </w:p>
        </w:tc>
      </w:tr>
      <w:tr>
        <w:tc>
          <w:tcPr>
            <w:tcW w:type="dxa" w:w="944"/>
          </w:tcPr>
          <w:p>
            <w:pPr>
              <w:pStyle w:val="Compact"/>
              <w:jc w:val="left"/>
            </w:pPr>
            <w:r>
              <w:rPr>
                <w:b w:val="0"/>
              </w:rPr>
              <w:t>gemma4:12b-mlx_baseline</w:t>
            </w:r>
          </w:p>
        </w:tc>
        <w:tc>
          <w:tcPr>
            <w:tcW w:type="dxa" w:w="2494"/>
          </w:tcPr>
          <w:p>
            <w:pPr>
              <w:pStyle w:val="Compact"/>
              <w:jc w:val="left"/>
            </w:pPr>
            <w:r>
              <w:rPr>
                <w:b w:val="0"/>
              </w:rPr>
              <w:t xml:space="preserve">afectados_thinking_n120_REMOTO</w:t>
            </w:r>
          </w:p>
        </w:tc>
        <w:tc>
          <w:tcPr>
            <w:tcW w:type="dxa" w:w="900"/>
          </w:tcPr>
          <w:p>
            <w:pPr>
              <w:pStyle w:val="Compact"/>
              <w:jc w:val="left"/>
            </w:pPr>
            <w:r>
              <w:rPr>
                <w:b w:val="0"/>
              </w:rPr>
              <w:t xml:space="preserve">51.91</w:t>
            </w:r>
          </w:p>
        </w:tc>
        <w:tc>
          <w:tcPr>
            <w:tcW w:type="dxa" w:w="900"/>
          </w:tcPr>
          <w:p>
            <w:pPr>
              <w:pStyle w:val="Compact"/>
              <w:jc w:val="center"/>
            </w:pPr>
            <w:r>
              <w:rPr>
                <w:b w:val="0"/>
              </w:rPr>
              <w:t xml:space="preserve">66.05</w:t>
            </w:r>
          </w:p>
        </w:tc>
        <w:tc>
          <w:tcPr>
            <w:tcW w:type="dxa" w:w="900"/>
          </w:tcPr>
          <w:p>
            <w:pPr>
              <w:pStyle w:val="Compact"/>
              <w:jc w:val="center"/>
            </w:pPr>
            <w:r>
              <w:rPr>
                <w:b w:val="0"/>
              </w:rPr>
              <w:t xml:space="preserve">56.18</w:t>
            </w:r>
          </w:p>
        </w:tc>
        <w:tc>
          <w:tcPr>
            <w:tcW w:type="dxa" w:w="900"/>
          </w:tcPr>
          <w:p>
            <w:pPr>
              <w:pStyle w:val="Compact"/>
              <w:jc w:val="left"/>
            </w:pPr>
            <w:r>
              <w:rPr>
                <w:b w:val="0"/>
              </w:rPr>
              <w:t xml:space="preserve">83.26</w:t>
            </w:r>
          </w:p>
        </w:tc>
        <w:tc>
          <w:tcPr>
            <w:tcW w:type="dxa" w:w="900"/>
          </w:tcPr>
          <w:p>
            <w:pPr>
              <w:pStyle w:val="Compact"/>
              <w:jc w:val="left"/>
            </w:pPr>
            <w:r>
              <w:rPr>
                <w:b w:val="0"/>
              </w:rPr>
              <w:t xml:space="preserve">73.81</w:t>
            </w:r>
          </w:p>
        </w:tc>
        <w:tc>
          <w:tcPr>
            <w:tcW w:type="dxa" w:w="900"/>
          </w:tcPr>
          <w:p>
            <w:pPr>
              <w:pStyle w:val="Compact"/>
              <w:jc w:val="left"/>
            </w:pPr>
            <w:r>
              <w:rPr>
                <w:b w:val="0"/>
              </w:rPr>
              <w:t xml:space="preserve">+17.63</w:t>
            </w:r>
          </w:p>
        </w:tc>
      </w:tr>
      <w:tr>
        <w:tc>
          <w:tcPr>
            <w:tcW w:type="dxa" w:w="944"/>
          </w:tcPr>
          <w:p>
            <w:pPr>
              <w:pStyle w:val="Compact"/>
              <w:jc w:val="left"/>
            </w:pPr>
            <w:r>
              <w:rPr>
                <w:b w:val="0"/>
              </w:rPr>
              <w:t>mistral-nemo:latest_rag_enhanced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42.99</w:t>
            </w:r>
          </w:p>
        </w:tc>
        <w:tc>
          <w:tcPr>
            <w:tcW w:type="dxa" w:w="900"/>
          </w:tcPr>
          <w:p>
            <w:pPr>
              <w:pStyle w:val="Compact"/>
              <w:jc w:val="center"/>
            </w:pPr>
            <w:r>
              <w:rPr>
                <w:b w:val="0"/>
              </w:rPr>
              <w:t xml:space="preserve">24.38</w:t>
            </w:r>
          </w:p>
        </w:tc>
        <w:tc>
          <w:tcPr>
            <w:tcW w:type="dxa" w:w="900"/>
          </w:tcPr>
          <w:p>
            <w:pPr>
              <w:pStyle w:val="Compact"/>
              <w:jc w:val="center"/>
            </w:pPr>
            <w:r>
              <w:rPr>
                <w:b w:val="0"/>
              </w:rPr>
              <w:t xml:space="preserve">28.52</w:t>
            </w:r>
          </w:p>
        </w:tc>
        <w:tc>
          <w:tcPr>
            <w:tcW w:type="dxa" w:w="900"/>
          </w:tcPr>
          <w:p>
            <w:pPr>
              <w:pStyle w:val="Compact"/>
              <w:jc w:val="left"/>
            </w:pPr>
            <w:r>
              <w:rPr>
                <w:b w:val="0"/>
              </w:rPr>
              <w:t xml:space="preserve">79.85</w:t>
            </w:r>
          </w:p>
        </w:tc>
        <w:tc>
          <w:tcPr>
            <w:tcW w:type="dxa" w:w="900"/>
          </w:tcPr>
          <w:p>
            <w:pPr>
              <w:pStyle w:val="Compact"/>
              <w:jc w:val="left"/>
            </w:pPr>
            <w:r>
              <w:rPr>
                <w:b w:val="0"/>
              </w:rPr>
              <w:t xml:space="preserve">36.18</w:t>
            </w:r>
          </w:p>
        </w:tc>
        <w:tc>
          <w:tcPr>
            <w:tcW w:type="dxa" w:w="900"/>
          </w:tcPr>
          <w:p>
            <w:pPr>
              <w:pStyle w:val="Compact"/>
              <w:jc w:val="left"/>
            </w:pPr>
            <w:r>
              <w:rPr>
                <w:b w:val="0"/>
              </w:rPr>
              <w:t xml:space="preserve">+7.66</w:t>
            </w:r>
          </w:p>
        </w:tc>
      </w:tr>
      <w:tr>
        <w:tc>
          <w:tcPr>
            <w:tcW w:type="dxa" w:w="944"/>
          </w:tcPr>
          <w:p>
            <w:pPr>
              <w:pStyle w:val="Compact"/>
              <w:jc w:val="left"/>
            </w:pPr>
            <w:r>
              <w:rPr>
                <w:b w:val="0"/>
              </w:rPr>
              <w:t>gemma4:31b-cloud_rag_enhanced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16.96</w:t>
            </w:r>
          </w:p>
        </w:tc>
        <w:tc>
          <w:tcPr>
            <w:tcW w:type="dxa" w:w="900"/>
          </w:tcPr>
          <w:p>
            <w:pPr>
              <w:pStyle w:val="Compact"/>
              <w:jc w:val="center"/>
            </w:pPr>
            <w:r>
              <w:rPr>
                <w:b w:val="0"/>
              </w:rPr>
              <w:t xml:space="preserve">21.11</w:t>
            </w:r>
          </w:p>
        </w:tc>
        <w:tc>
          <w:tcPr>
            <w:tcW w:type="dxa" w:w="900"/>
          </w:tcPr>
          <w:p>
            <w:pPr>
              <w:pStyle w:val="Compact"/>
              <w:jc w:val="center"/>
            </w:pPr>
            <w:r>
              <w:rPr>
                <w:b w:val="0"/>
              </w:rPr>
              <w:t xml:space="preserve">18.52</w:t>
            </w:r>
          </w:p>
        </w:tc>
        <w:tc>
          <w:tcPr>
            <w:tcW w:type="dxa" w:w="900"/>
          </w:tcPr>
          <w:p>
            <w:pPr>
              <w:pStyle w:val="Compact"/>
              <w:jc w:val="left"/>
            </w:pPr>
            <w:r>
              <w:rPr>
                <w:b w:val="0"/>
              </w:rPr>
              <w:t xml:space="preserve">24.56</w:t>
            </w:r>
          </w:p>
        </w:tc>
        <w:tc>
          <w:tcPr>
            <w:tcW w:type="dxa" w:w="900"/>
          </w:tcPr>
          <w:p>
            <w:pPr>
              <w:pStyle w:val="Compact"/>
              <w:jc w:val="left"/>
            </w:pPr>
            <w:r>
              <w:rPr>
                <w:b w:val="0"/>
              </w:rPr>
              <w:t xml:space="preserve">23.04</w:t>
            </w:r>
          </w:p>
        </w:tc>
        <w:tc>
          <w:tcPr>
            <w:tcW w:type="dxa" w:w="900"/>
          </w:tcPr>
          <w:p>
            <w:pPr>
              <w:pStyle w:val="Compact"/>
              <w:jc w:val="left"/>
            </w:pPr>
            <w:r>
              <w:rPr>
                <w:b w:val="0"/>
              </w:rPr>
              <w:t xml:space="preserve">+4.51</w:t>
            </w:r>
          </w:p>
        </w:tc>
      </w:tr>
      <w:tr>
        <w:tc>
          <w:tcPr>
            <w:tcW w:type="dxa" w:w="944"/>
          </w:tcPr>
          <w:p>
            <w:pPr>
              <w:pStyle w:val="Compact"/>
              <w:jc w:val="left"/>
            </w:pPr>
            <w:r>
              <w:rPr>
                <w:b w:val="0"/>
              </w:rPr>
              <w:t>deepseek-r1:1.5b_baseline</w:t>
            </w:r>
          </w:p>
        </w:tc>
        <w:tc>
          <w:tcPr>
            <w:tcW w:type="dxa" w:w="2494"/>
          </w:tcPr>
          <w:p>
            <w:pPr>
              <w:pStyle w:val="Compact"/>
              <w:jc w:val="left"/>
            </w:pPr>
            <w:r>
              <w:rPr>
                <w:b w:val="0"/>
              </w:rPr>
              <w:t>benchmark_n120_REMOTO</w:t>
            </w:r>
          </w:p>
        </w:tc>
        <w:tc>
          <w:tcPr>
            <w:tcW w:type="dxa" w:w="900"/>
          </w:tcPr>
          <w:p>
            <w:pPr>
              <w:pStyle w:val="Compact"/>
              <w:jc w:val="left"/>
            </w:pPr>
            <w:r>
              <w:rPr>
                <w:b w:val="0"/>
              </w:rPr>
              <w:t xml:space="preserve">29.96</w:t>
            </w:r>
          </w:p>
        </w:tc>
        <w:tc>
          <w:tcPr>
            <w:tcW w:type="dxa" w:w="900"/>
          </w:tcPr>
          <w:p>
            <w:pPr>
              <w:pStyle w:val="Compact"/>
              <w:jc w:val="center"/>
            </w:pPr>
            <w:r>
              <w:rPr>
                <w:b w:val="0"/>
              </w:rPr>
              <w:t xml:space="preserve">24.72</w:t>
            </w:r>
          </w:p>
        </w:tc>
        <w:tc>
          <w:tcPr>
            <w:tcW w:type="dxa" w:w="900"/>
          </w:tcPr>
          <w:p>
            <w:pPr>
              <w:pStyle w:val="Compact"/>
              <w:jc w:val="center"/>
            </w:pPr>
            <w:r>
              <w:rPr>
                <w:b w:val="0"/>
              </w:rPr>
              <w:t xml:space="preserve">24.83</w:t>
            </w:r>
          </w:p>
        </w:tc>
        <w:tc>
          <w:tcPr>
            <w:tcW w:type="dxa" w:w="900"/>
          </w:tcPr>
          <w:p>
            <w:pPr>
              <w:pStyle w:val="Compact"/>
              <w:jc w:val="left"/>
            </w:pPr>
            <w:r>
              <w:rPr>
                <w:b w:val="0"/>
              </w:rPr>
              <w:t xml:space="preserve">43.27</w:t>
            </w:r>
          </w:p>
        </w:tc>
        <w:tc>
          <w:tcPr>
            <w:tcW w:type="dxa" w:w="900"/>
          </w:tcPr>
          <w:p>
            <w:pPr>
              <w:pStyle w:val="Compact"/>
              <w:jc w:val="left"/>
            </w:pPr>
            <w:r>
              <w:rPr>
                <w:b w:val="0"/>
              </w:rPr>
              <w:t xml:space="preserve">29.34</w:t>
            </w:r>
          </w:p>
        </w:tc>
        <w:tc>
          <w:tcPr>
            <w:tcW w:type="dxa" w:w="900"/>
          </w:tcPr>
          <w:p>
            <w:pPr>
              <w:pStyle w:val="Compact"/>
              <w:jc w:val="left"/>
            </w:pPr>
            <w:r>
              <w:rPr>
                <w:b w:val="0"/>
              </w:rPr>
              <w:t xml:space="preserve">+4.50</w:t>
            </w:r>
          </w:p>
        </w:tc>
      </w:tr>
      <w:tr>
        <w:tc>
          <w:tcPr>
            <w:tcW w:type="dxa" w:w="944"/>
          </w:tcPr>
          <w:p>
            <w:pPr>
              <w:pStyle w:val="Compact"/>
              <w:jc w:val="left"/>
            </w:pPr>
            <w:r>
              <w:rPr>
                <w:b w:val="0"/>
              </w:rPr>
              <w:t>deepseek-r1:1.5b_kb_rag</w:t>
            </w:r>
          </w:p>
        </w:tc>
        <w:tc>
          <w:tcPr>
            <w:tcW w:type="dxa" w:w="2494"/>
          </w:tcPr>
          <w:p>
            <w:pPr>
              <w:pStyle w:val="Compact"/>
              <w:jc w:val="left"/>
            </w:pPr>
            <w:r>
              <w:rPr>
                <w:b w:val="0"/>
              </w:rPr>
              <w:t>benchmark_n120_REMOTO</w:t>
            </w:r>
          </w:p>
        </w:tc>
        <w:tc>
          <w:tcPr>
            <w:tcW w:type="dxa" w:w="900"/>
          </w:tcPr>
          <w:p>
            <w:pPr>
              <w:pStyle w:val="Compact"/>
              <w:jc w:val="left"/>
            </w:pPr>
            <w:r>
              <w:rPr>
                <w:b w:val="0"/>
              </w:rPr>
              <w:t xml:space="preserve">28.35</w:t>
            </w:r>
          </w:p>
        </w:tc>
        <w:tc>
          <w:tcPr>
            <w:tcW w:type="dxa" w:w="900"/>
          </w:tcPr>
          <w:p>
            <w:pPr>
              <w:pStyle w:val="Compact"/>
              <w:jc w:val="center"/>
            </w:pPr>
            <w:r>
              <w:rPr>
                <w:b w:val="0"/>
              </w:rPr>
              <w:t xml:space="preserve">24.71</w:t>
            </w:r>
          </w:p>
        </w:tc>
        <w:tc>
          <w:tcPr>
            <w:tcW w:type="dxa" w:w="900"/>
          </w:tcPr>
          <w:p>
            <w:pPr>
              <w:pStyle w:val="Compact"/>
              <w:jc w:val="center"/>
            </w:pPr>
            <w:r>
              <w:rPr>
                <w:b w:val="0"/>
              </w:rPr>
              <w:t xml:space="preserve">23.94</w:t>
            </w:r>
          </w:p>
        </w:tc>
        <w:tc>
          <w:tcPr>
            <w:tcW w:type="dxa" w:w="900"/>
          </w:tcPr>
          <w:p>
            <w:pPr>
              <w:pStyle w:val="Compact"/>
              <w:jc w:val="left"/>
            </w:pPr>
            <w:r>
              <w:rPr>
                <w:b w:val="0"/>
              </w:rPr>
              <w:t xml:space="preserve">36.13</w:t>
            </w:r>
          </w:p>
        </w:tc>
        <w:tc>
          <w:tcPr>
            <w:tcW w:type="dxa" w:w="900"/>
          </w:tcPr>
          <w:p>
            <w:pPr>
              <w:pStyle w:val="Compact"/>
              <w:jc w:val="left"/>
            </w:pPr>
            <w:r>
              <w:rPr>
                <w:b w:val="0"/>
              </w:rPr>
              <w:t xml:space="preserve">26.91</w:t>
            </w:r>
          </w:p>
        </w:tc>
        <w:tc>
          <w:tcPr>
            <w:tcW w:type="dxa" w:w="900"/>
          </w:tcPr>
          <w:p>
            <w:pPr>
              <w:pStyle w:val="Compact"/>
              <w:jc w:val="left"/>
            </w:pPr>
            <w:r>
              <w:rPr>
                <w:b w:val="0"/>
              </w:rPr>
              <w:t xml:space="preserve">+2.97</w:t>
            </w:r>
          </w:p>
        </w:tc>
      </w:tr>
      <w:tr>
        <w:tc>
          <w:tcPr>
            <w:tcW w:type="dxa" w:w="944"/>
          </w:tcPr>
          <w:p>
            <w:pPr>
              <w:pStyle w:val="Compact"/>
              <w:jc w:val="left"/>
            </w:pPr>
            <w:r>
              <w:rPr>
                <w:b w:val="0"/>
              </w:rPr>
              <w:t>nemotron-mini:4b_baseline</w:t>
            </w:r>
          </w:p>
        </w:tc>
        <w:tc>
          <w:tcPr>
            <w:tcW w:type="dxa" w:w="2494"/>
          </w:tcPr>
          <w:p>
            <w:pPr>
              <w:pStyle w:val="Compact"/>
              <w:jc w:val="left"/>
            </w:pPr>
            <w:r>
              <w:rPr>
                <w:b w:val="0"/>
              </w:rPr>
              <w:t>nemotron_rerun_n120_REMOTO</w:t>
            </w:r>
          </w:p>
        </w:tc>
        <w:tc>
          <w:tcPr>
            <w:tcW w:type="dxa" w:w="900"/>
          </w:tcPr>
          <w:p>
            <w:pPr>
              <w:pStyle w:val="Compact"/>
              <w:jc w:val="left"/>
            </w:pPr>
            <w:r>
              <w:rPr>
                <w:b w:val="0"/>
              </w:rPr>
              <w:t xml:space="preserve">34.50</w:t>
            </w:r>
          </w:p>
        </w:tc>
        <w:tc>
          <w:tcPr>
            <w:tcW w:type="dxa" w:w="900"/>
          </w:tcPr>
          <w:p>
            <w:pPr>
              <w:pStyle w:val="Compact"/>
              <w:jc w:val="center"/>
            </w:pPr>
            <w:r>
              <w:rPr>
                <w:b w:val="0"/>
              </w:rPr>
              <w:t xml:space="preserve">21.20</w:t>
            </w:r>
          </w:p>
        </w:tc>
        <w:tc>
          <w:tcPr>
            <w:tcW w:type="dxa" w:w="900"/>
          </w:tcPr>
          <w:p>
            <w:pPr>
              <w:pStyle w:val="Compact"/>
              <w:jc w:val="center"/>
            </w:pPr>
            <w:r>
              <w:rPr>
                <w:b w:val="0"/>
              </w:rPr>
              <w:t xml:space="preserve">22.59</w:t>
            </w:r>
          </w:p>
        </w:tc>
        <w:tc>
          <w:tcPr>
            <w:tcW w:type="dxa" w:w="900"/>
          </w:tcPr>
          <w:p>
            <w:pPr>
              <w:pStyle w:val="Compact"/>
              <w:jc w:val="left"/>
            </w:pPr>
            <w:r>
              <w:rPr>
                <w:b w:val="0"/>
              </w:rPr>
              <w:t xml:space="preserve">46.59</w:t>
            </w:r>
          </w:p>
        </w:tc>
        <w:tc>
          <w:tcPr>
            <w:tcW w:type="dxa" w:w="900"/>
          </w:tcPr>
          <w:p>
            <w:pPr>
              <w:pStyle w:val="Compact"/>
              <w:jc w:val="left"/>
            </w:pPr>
            <w:r>
              <w:rPr>
                <w:b w:val="0"/>
              </w:rPr>
              <w:t xml:space="preserve">25.28</w:t>
            </w:r>
          </w:p>
        </w:tc>
        <w:tc>
          <w:tcPr>
            <w:tcW w:type="dxa" w:w="900"/>
          </w:tcPr>
          <w:p>
            <w:pPr>
              <w:pStyle w:val="Compact"/>
              <w:jc w:val="left"/>
            </w:pPr>
            <w:r>
              <w:rPr>
                <w:b w:val="0"/>
              </w:rPr>
              <w:t xml:space="preserve">+2.68</w:t>
            </w:r>
          </w:p>
        </w:tc>
      </w:tr>
      <w:tr>
        <w:tc>
          <w:tcPr>
            <w:tcW w:type="dxa" w:w="944"/>
          </w:tcPr>
          <w:p>
            <w:pPr>
              <w:pStyle w:val="Compact"/>
              <w:jc w:val="left"/>
            </w:pPr>
            <w:r>
              <w:rPr>
                <w:b w:val="0"/>
              </w:rPr>
              <w:t>nemotron-mini:4b_rag_enhanced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35.16</w:t>
            </w:r>
          </w:p>
        </w:tc>
        <w:tc>
          <w:tcPr>
            <w:tcW w:type="dxa" w:w="900"/>
          </w:tcPr>
          <w:p>
            <w:pPr>
              <w:pStyle w:val="Compact"/>
              <w:jc w:val="center"/>
            </w:pPr>
            <w:r>
              <w:rPr>
                <w:b w:val="0"/>
              </w:rPr>
              <w:t xml:space="preserve">16.39</w:t>
            </w:r>
          </w:p>
        </w:tc>
        <w:tc>
          <w:tcPr>
            <w:tcW w:type="dxa" w:w="900"/>
          </w:tcPr>
          <w:p>
            <w:pPr>
              <w:pStyle w:val="Compact"/>
              <w:jc w:val="center"/>
            </w:pPr>
            <w:r>
              <w:rPr>
                <w:b w:val="0"/>
              </w:rPr>
              <w:t xml:space="preserve">19.54</w:t>
            </w:r>
          </w:p>
        </w:tc>
        <w:tc>
          <w:tcPr>
            <w:tcW w:type="dxa" w:w="900"/>
          </w:tcPr>
          <w:p>
            <w:pPr>
              <w:pStyle w:val="Compact"/>
              <w:jc w:val="left"/>
            </w:pPr>
            <w:r>
              <w:rPr>
                <w:b w:val="0"/>
              </w:rPr>
              <w:t xml:space="preserve">40.45</w:t>
            </w:r>
          </w:p>
        </w:tc>
        <w:tc>
          <w:tcPr>
            <w:tcW w:type="dxa" w:w="900"/>
          </w:tcPr>
          <w:p>
            <w:pPr>
              <w:pStyle w:val="Compact"/>
              <w:jc w:val="left"/>
            </w:pPr>
            <w:r>
              <w:rPr>
                <w:b w:val="0"/>
              </w:rPr>
              <w:t xml:space="preserve">21.26</w:t>
            </w:r>
          </w:p>
        </w:tc>
        <w:tc>
          <w:tcPr>
            <w:tcW w:type="dxa" w:w="900"/>
          </w:tcPr>
          <w:p>
            <w:pPr>
              <w:pStyle w:val="Compact"/>
              <w:jc w:val="left"/>
            </w:pPr>
            <w:r>
              <w:rPr>
                <w:b w:val="0"/>
              </w:rPr>
              <w:t xml:space="preserve">+1.72</w:t>
            </w:r>
          </w:p>
        </w:tc>
      </w:tr>
      <w:tr>
        <w:tc>
          <w:tcPr>
            <w:tcW w:type="dxa" w:w="944"/>
          </w:tcPr>
          <w:p>
            <w:pPr>
              <w:pStyle w:val="Compact"/>
              <w:jc w:val="left"/>
            </w:pPr>
            <w:r>
              <w:rPr>
                <w:b w:val="0"/>
              </w:rPr>
              <w:t>deepseek-r1:1.5b_rag_enhanced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22.28</w:t>
            </w:r>
          </w:p>
        </w:tc>
        <w:tc>
          <w:tcPr>
            <w:tcW w:type="dxa" w:w="900"/>
          </w:tcPr>
          <w:p>
            <w:pPr>
              <w:pStyle w:val="Compact"/>
              <w:jc w:val="center"/>
            </w:pPr>
            <w:r>
              <w:rPr>
                <w:b w:val="0"/>
              </w:rPr>
              <w:t xml:space="preserve">17.41</w:t>
            </w:r>
          </w:p>
        </w:tc>
        <w:tc>
          <w:tcPr>
            <w:tcW w:type="dxa" w:w="900"/>
          </w:tcPr>
          <w:p>
            <w:pPr>
              <w:pStyle w:val="Compact"/>
              <w:jc w:val="center"/>
            </w:pPr>
            <w:r>
              <w:rPr>
                <w:b w:val="0"/>
              </w:rPr>
              <w:t xml:space="preserve">16.82</w:t>
            </w:r>
          </w:p>
        </w:tc>
        <w:tc>
          <w:tcPr>
            <w:tcW w:type="dxa" w:w="900"/>
          </w:tcPr>
          <w:p>
            <w:pPr>
              <w:pStyle w:val="Compact"/>
              <w:jc w:val="left"/>
            </w:pPr>
            <w:r>
              <w:rPr>
                <w:b w:val="0"/>
              </w:rPr>
              <w:t xml:space="preserve">30.80</w:t>
            </w:r>
          </w:p>
        </w:tc>
        <w:tc>
          <w:tcPr>
            <w:tcW w:type="dxa" w:w="900"/>
          </w:tcPr>
          <w:p>
            <w:pPr>
              <w:pStyle w:val="Compact"/>
              <w:jc w:val="left"/>
            </w:pPr>
            <w:r>
              <w:rPr>
                <w:b w:val="0"/>
              </w:rPr>
              <w:t xml:space="preserve">20.11</w:t>
            </w:r>
          </w:p>
        </w:tc>
        <w:tc>
          <w:tcPr>
            <w:tcW w:type="dxa" w:w="900"/>
          </w:tcPr>
          <w:p>
            <w:pPr>
              <w:pStyle w:val="Compact"/>
              <w:jc w:val="left"/>
            </w:pPr>
            <w:r>
              <w:rPr>
                <w:b w:val="0"/>
              </w:rPr>
              <w:t xml:space="preserve">+3.29</w:t>
            </w:r>
          </w:p>
        </w:tc>
      </w:tr>
      <w:tr>
        <w:tc>
          <w:tcPr>
            <w:tcW w:type="dxa" w:w="944"/>
          </w:tcPr>
          <w:p>
            <w:pPr>
              <w:pStyle w:val="Compact"/>
              <w:jc w:val="left"/>
            </w:pPr>
            <w:r>
              <w:rPr>
                <w:b w:val="0"/>
              </w:rPr>
              <w:t>gemma4:12b-mlx_kb_rag</w:t>
            </w:r>
          </w:p>
        </w:tc>
        <w:tc>
          <w:tcPr>
            <w:tcW w:type="dxa" w:w="2494"/>
          </w:tcPr>
          <w:p>
            <w:pPr>
              <w:pStyle w:val="Compact"/>
              <w:jc w:val="left"/>
            </w:pPr>
            <w:r>
              <w:rPr>
                <w:b w:val="0"/>
              </w:rPr>
              <w:t xml:space="preserve">afectados_thinking_n120_REMOTO</w:t>
            </w:r>
          </w:p>
        </w:tc>
        <w:tc>
          <w:tcPr>
            <w:tcW w:type="dxa" w:w="900"/>
          </w:tcPr>
          <w:p>
            <w:pPr>
              <w:pStyle w:val="Compact"/>
              <w:jc w:val="left"/>
            </w:pPr>
            <w:r>
              <w:rPr>
                <w:b w:val="0"/>
              </w:rPr>
              <w:t xml:space="preserve">53.29</w:t>
            </w:r>
          </w:p>
        </w:tc>
        <w:tc>
          <w:tcPr>
            <w:tcW w:type="dxa" w:w="900"/>
          </w:tcPr>
          <w:p>
            <w:pPr>
              <w:pStyle w:val="Compact"/>
              <w:jc w:val="center"/>
            </w:pPr>
            <w:r>
              <w:rPr>
                <w:b w:val="0"/>
              </w:rPr>
              <w:t xml:space="preserve">68.33</w:t>
            </w:r>
          </w:p>
        </w:tc>
        <w:tc>
          <w:tcPr>
            <w:tcW w:type="dxa" w:w="900"/>
          </w:tcPr>
          <w:p>
            <w:pPr>
              <w:pStyle w:val="Compact"/>
              <w:jc w:val="center"/>
            </w:pPr>
            <w:r>
              <w:rPr>
                <w:b w:val="0"/>
              </w:rPr>
              <w:t xml:space="preserve">58.46</w:t>
            </w:r>
          </w:p>
        </w:tc>
        <w:tc>
          <w:tcPr>
            <w:tcW w:type="dxa" w:w="900"/>
          </w:tcPr>
          <w:p>
            <w:pPr>
              <w:pStyle w:val="Compact"/>
              <w:jc w:val="left"/>
            </w:pPr>
            <w:r>
              <w:rPr>
                <w:b w:val="0"/>
              </w:rPr>
              <w:t xml:space="preserve">80.50</w:t>
            </w:r>
          </w:p>
        </w:tc>
        <w:tc>
          <w:tcPr>
            <w:tcW w:type="dxa" w:w="900"/>
          </w:tcPr>
          <w:p>
            <w:pPr>
              <w:pStyle w:val="Compact"/>
              <w:jc w:val="left"/>
            </w:pPr>
            <w:r>
              <w:rPr>
                <w:b w:val="0"/>
              </w:rPr>
              <w:t xml:space="preserve">74.30</w:t>
            </w:r>
          </w:p>
        </w:tc>
        <w:tc>
          <w:tcPr>
            <w:tcW w:type="dxa" w:w="900"/>
          </w:tcPr>
          <w:p>
            <w:pPr>
              <w:pStyle w:val="Compact"/>
              <w:jc w:val="left"/>
            </w:pPr>
            <w:r>
              <w:rPr>
                <w:b w:val="0"/>
              </w:rPr>
              <w:t xml:space="preserve">+15.84</w:t>
            </w:r>
          </w:p>
        </w:tc>
      </w:tr>
    </w:tbl>
    <w:p>
      <w:pPr>
        <w:numPr>
          <w:ilvl w:val="0"/>
          <w:numId w:val="0"/>
        </w:numPr>
        <w:pStyle w:val="Normal"/>
      </w:pPr>
      <w:r>
        <w:t xml:space="preserve">En conjunto, 20 946 de los 32 201 falsos positivos de estas cuarenta y dos configuraciones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 xml:space="preserve">gemma4:31b-mlx</w:t>
      </w:r>
      <w:r>
        <w:t xml:space="preserve">, pasa de 62,67 % a 76,55 % de F1 y supera el umbral</w:t>
      </w:r>
      <w:r>
        <w:rPr>
          <w:b/>
        </w:rPr>
        <w:t xml:space="preserve"/>
      </w:r>
      <w:r>
        <w:t xml:space="preserve"> de 70 % que fija la hipótesis sobre material periodístico mayoritariamente en español. La variante en la nube del mismo modelo conserva su ventaja (80,42 % frente a 76,55 %), de modo que la corrección </w:t>
      </w:r>
      <w:r>
        <w:rPr>
          <w:b/>
        </w:rPr>
        <w:t xml:space="preserve">no</w:t>
      </w:r>
      <w:r>
        <w:t xml:space="preserve"> altera la conclusión sobre la comparación entre ejecución local y alojada.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2026-09-03T15:24:31Z</dcterms:created>
  <dcterms:modified xsi:type="dcterms:W3CDTF">2026-09-03T15:24:31Z</dcterms:modified>
</cp:coreProperties>
</file>

<file path=docProps/custom.xml><?xml version="1.0" encoding="utf-8"?>
<Properties xmlns="http://schemas.openxmlformats.org/officeDocument/2006/custom-properties" xmlns:vt="http://schemas.openxmlformats.org/officeDocument/2006/docPropsVTypes"/>
</file>