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de código abierto en local mediante Ollama sobre Apple Silicon, con arquitectura pub/sub multihilo, concurrencia adaptativa (AIMD) y capa Factory/Facade. La validación comparó trece modelos sobre 120 artículos, 105 en español, del corpus periodístico, contrastando la extracción directa con RAG contextual mediante ANOVA y Tukey HSD, y validó los dos de mayor capacidad sobre 30 artículos en inglés del corpus del dominio AML/KYC mediante ANOVA. El beneficio del RAG decrece con la capacidad, con significancia solo en el más débil de los trece (+12,3 puntos de F1). Redactar el prompt en español con ejemplos </w:t>
      </w:r>
      <w:r>
        <w:rPr>
          <w:i/>
        </w:rPr>
        <w:t>few-shot</w:t>
      </w:r>
      <w:r>
        <w:t xml:space="preserve"> aporta +13,2 puntos en el corpus de quince artículos, replicado con cinco semillas, pero se invierte a favor del inglés en el corpus mayor. El mejor modelo local alcanza 81,47 % de F1 sobre el corpus periodístico y 90,16 % sobre el corpus del dominio AML/KYC,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contrasting direct extraction with contextual RAG via ANOVA and Tukey HSD, and validated the two highest-capacity models on 30 English articles from the AML/KYC domain corpus via ANOVA. The benefit of RAG decreases with capacity, reaching significance only in the weakest of the thirteen (+12.3 F1 points). Writing the prompt in Spanish with </w:t>
      </w:r>
      <w:r>
        <w:rPr>
          <w:i/>
        </w:rPr>
        <w:t>few-shot</w:t>
      </w:r>
      <w:r>
        <w:t xml:space="preserve"> examples yields +13.2 points on the fifteen-article corpus, replicated across five seeds, but reverses in favor of English on the larger corpus. The best local model reaches 81.47 % F1 on the news corpus and 90.16 % on the AML/KYC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ejecutados localmente, de escala variable (1,5B–31B parámetros) con énfasis en el tramo medio-grande (8B–31B),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agregado por artículo, condicionado a las categorías de entidad que anota cada corpus (§3.3);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Ejecutar una comparación sistemática de cuatro configuraciones de prompt (zero-shot/few-shot × inglés/español) (un diseño factorial 2×2)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detalle técnico de la base de conocimientos contextual.</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(introducida por Tjong Kim Sang en 2002 como referencia de reconocimiento de entidades independiente del idioma para español y neerlandés, con material tomado de cables de la agencia de noticias EFE),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p1a"/>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[42],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[43] es su análogo cuando no puede asumirse normalidad, y sirve como control de robustez frente al ANOVA cuando el apareamiento se ignora. La homocedasticidad, por su parte, se contrasta con la prueba de </w:t>
      </w:r>
      <w:r>
        <w:rPr>
          <w:b/>
        </w:rPr>
        <w:t>Levene</w:t>
      </w:r>
      <w:r>
        <w:t xml:space="preserve"> [44], en su variante centrada en la mediana (Brown-Forsythe) [45],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[40] mide la asociación lineal y es sensible a valores atípicos; el de </w:t>
      </w:r>
      <w:r>
        <w:rPr>
          <w:b/>
        </w:rPr>
        <w:t>Spearman</w:t>
      </w:r>
      <w:r>
        <w:t xml:space="preserve"> [41],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w:t>
      </w:r>
    </w:p>
    <w:p>
      <w:pPr>
        <w:numPr>
          <w:ilvl w:val="0"/>
          <w:numId w:val="0"/>
        </w:numPr>
        <w:pStyle w:val="Normal"/>
      </w:pPr>
      <w:r>
        <w:t>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w:t>
      </w:r>
    </w:p>
    <w:p>
      <w:pPr>
        <w:numPr>
          <w:ilvl w:val="0"/>
          <w:numId w:val="0"/>
        </w:numPr>
        <w:pStyle w:val="Normal"/>
      </w:pPr>
      <w:r>
        <w:t xml:space="preserve">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Normal"/>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Normal"/>
      </w:pPr>
      <w:r>
        <w:t xml:space="preserve">Tras la validación sobre el corpus sintético N=30 (§4.1.1–4.1.2), y como parte del cierre del proyecto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(la tarea compartida de reconocimiento de entidades independiente del idioma que Tjong Kim Sang introdujo en 2002, construida a partir de cables de la agencia EFE con anotación nativa de personas, organizaciones, localizaciones y misceláneos, en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xml:space="preserve">, que no disponen de corrida sobre el corpus reducido, y retira la compilación GGUF simple de </w:t>
      </w:r>
      <w:r>
        <w:t>gemma4:31b</w:t>
      </w:r>
      <w:r>
        <w:t xml:space="preserve"> (distinta de </w:t>
      </w:r>
      <w:r>
        <w:t>-mlx</w:t>
      </w:r>
      <w:r>
        <w:t xml:space="preserve"> y de </w:t>
      </w:r>
      <w:r>
        <w:t>-cloud</w:t>
      </w:r>
      <w:r>
        <w:t>): de los doce modelos del exploratorio, once continúan en el principal, se suman los dos nuevos y se excluye ese, para los trece de la Tabla 7.</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Se conserva en el estudio porque, entre las opciones alojadas de uso gratuito disponibles al momento de la evaluación, es la de mayor capacidad comparable a los modelos locales aquí evaluados, y establece así un precedente útil para contrastar el mejor modelo en la nube de acceso gratuito frente a sus equivalentes ejecutados localmente.</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replicados con cinco semillas, revelan una interacción entre los dos factores: por separado, la localización al español aporta +9,01 pp de F1 y los ejemplos </w:t>
      </w:r>
      <w:r>
        <w:rPr>
          <w:i/>
        </w:rPr>
        <w:t>few-shot</w:t>
      </w:r>
      <w:r>
        <w:t xml:space="preserve"> en inglés aportan +3,61 pp, pero su combinación alcanza +13,19 pp (FS-ES: 79,96 % frente al 66,77 % del baseline ZS-EN). La configuración FS-ES lidera además en Precisión (81,17 %), aunque su Recall (79,94 %) queda por debajo del de los modelos de mayor capacidad, con una tasa de alucinación baja (0,14 %).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79.96%</w:t>
            </w:r>
          </w:p>
        </w:tc>
        <w:tc>
          <w:tcPr>
            <w:tcW w:type="dxa" w:w="900"/>
          </w:tcPr>
          <w:p>
            <w:pPr>
              <w:pStyle w:val="Compact"/>
              <w:jc w:val="center"/>
            </w:pPr>
            <w:r>
              <w:rPr>
                <w:b w:val="0"/>
              </w:rPr>
              <w:t>81.17%</w:t>
            </w:r>
          </w:p>
        </w:tc>
        <w:tc>
          <w:tcPr>
            <w:tcW w:type="dxa" w:w="900"/>
          </w:tcPr>
          <w:p>
            <w:pPr>
              <w:pStyle w:val="Compact"/>
              <w:jc w:val="left"/>
            </w:pPr>
            <w:r>
              <w:rPr>
                <w:b w:val="0"/>
              </w:rPr>
              <w:t>79.94%</w:t>
            </w:r>
          </w:p>
        </w:tc>
        <w:tc>
          <w:tcPr>
            <w:tcW w:type="dxa" w:w="1232"/>
          </w:tcPr>
          <w:p>
            <w:pPr>
              <w:pStyle w:val="Compact"/>
              <w:jc w:val="left"/>
            </w:pPr>
            <w:r>
              <w:rPr>
                <w:b w:val="0"/>
              </w:rPr>
              <w:t>0.14%</w:t>
            </w:r>
          </w:p>
        </w:tc>
        <w:tc>
          <w:tcPr>
            <w:tcW w:type="dxa" w:w="1137"/>
          </w:tcPr>
          <w:p>
            <w:pPr>
              <w:pStyle w:val="Compact"/>
              <w:jc w:val="left"/>
            </w:pPr>
            <w:r>
              <w:rPr>
                <w:b w:val="0"/>
              </w:rPr>
              <w:t>201.30</w:t>
            </w:r>
          </w:p>
        </w:tc>
        <w:tc>
          <w:tcPr>
            <w:tcW w:type="dxa" w:w="900"/>
          </w:tcPr>
          <w:p>
            <w:pPr>
              <w:pStyle w:val="Compact"/>
              <w:jc w:val="left"/>
            </w:pPr>
            <w:r>
              <w:rPr>
                <w:b w:val="0"/>
              </w:rPr>
              <w:t>5.62</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75.78%</w:t>
            </w:r>
          </w:p>
        </w:tc>
        <w:tc>
          <w:tcPr>
            <w:tcW w:type="dxa" w:w="900"/>
          </w:tcPr>
          <w:p>
            <w:pPr>
              <w:pStyle w:val="Compact"/>
              <w:jc w:val="center"/>
            </w:pPr>
            <w:r>
              <w:rPr>
                <w:b w:val="0"/>
              </w:rPr>
              <w:t>74.60%</w:t>
            </w:r>
          </w:p>
        </w:tc>
        <w:tc>
          <w:tcPr>
            <w:tcW w:type="dxa" w:w="900"/>
          </w:tcPr>
          <w:p>
            <w:pPr>
              <w:pStyle w:val="Compact"/>
              <w:jc w:val="left"/>
            </w:pPr>
            <w:r>
              <w:rPr>
                <w:b w:val="0"/>
              </w:rPr>
              <w:t>78.68%</w:t>
            </w:r>
          </w:p>
        </w:tc>
        <w:tc>
          <w:tcPr>
            <w:tcW w:type="dxa" w:w="1232"/>
          </w:tcPr>
          <w:p>
            <w:pPr>
              <w:pStyle w:val="Compact"/>
              <w:jc w:val="left"/>
            </w:pPr>
            <w:r>
              <w:rPr>
                <w:b w:val="0"/>
              </w:rPr>
              <w:t>0.18%</w:t>
            </w:r>
          </w:p>
        </w:tc>
        <w:tc>
          <w:tcPr>
            <w:tcW w:type="dxa" w:w="1137"/>
          </w:tcPr>
          <w:p>
            <w:pPr>
              <w:pStyle w:val="Compact"/>
              <w:jc w:val="left"/>
            </w:pPr>
            <w:r>
              <w:rPr>
                <w:b w:val="0"/>
              </w:rPr>
              <w:t>88.80</w:t>
            </w:r>
          </w:p>
        </w:tc>
        <w:tc>
          <w:tcPr>
            <w:tcW w:type="dxa" w:w="900"/>
          </w:tcPr>
          <w:p>
            <w:pPr>
              <w:pStyle w:val="Compact"/>
              <w:jc w:val="left"/>
            </w:pPr>
            <w:r>
              <w:rPr>
                <w:b w:val="0"/>
              </w:rPr>
              <w:t>5.52</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(media de 5 semillas, </w:t>
      </w:r>
      <w:r>
        <w:t>variantes_5semillas_n15_REMOTO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(79,96 %, media de 5 semillas) supera a los dos modelos de 31B, a un tercio de su tamaño.</w:t>
      </w:r>
    </w:p>
    <w:p>
      <w:pPr>
        <w:numPr>
          <w:ilvl w:val="0"/>
          <w:numId w:val="0"/>
        </w:numPr>
        <w:pStyle w:val="p1a"/>
      </w:pPr>
      <w:r>
        <w:rPr>
          <w:b/>
        </w:rPr>
        <w:t>Hallazgo 2:</w:t>
      </w:r>
      <w:r>
        <w:t xml:space="preserve"> la ventaja de gemma4:latest en español viene de la precisión, no de la exhaustividad. Sus dos variantes en español (81,17 % y 74,60 % de precisión) superan ampliamente a gemma4:31b (58,83 %) y a su compilación MLX (58,31 %), pero quedan por debajo de ellos en recall (79,94 % y 78,68 % frente a 86,80 % y 86,76 %); la variante alojada de 31B tiene el recall más alto del conjunto (86,88 %). Es decir, un modelo pequeño con instrucción localizada compensa con exactitud lo que le falta en cobertura frente a los modelos de mayor capacidad.</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 media de 5 semillas)</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66.77%</w:t>
            </w:r>
          </w:p>
        </w:tc>
        <w:tc>
          <w:tcPr>
            <w:tcW w:type="dxa" w:w="900"/>
          </w:tcPr>
          <w:p>
            <w:pPr>
              <w:pStyle w:val="Compact"/>
              <w:jc w:val="left"/>
            </w:pPr>
            <w:r>
              <w:rPr>
                <w:b w:val="0"/>
              </w:rPr>
              <w:t>64.70%</w:t>
            </w:r>
          </w:p>
        </w:tc>
        <w:tc>
          <w:tcPr>
            <w:tcW w:type="dxa" w:w="900"/>
          </w:tcPr>
          <w:p>
            <w:pPr>
              <w:pStyle w:val="Compact"/>
              <w:jc w:val="center"/>
            </w:pPr>
            <w:r>
              <w:rPr>
                <w:b w:val="0"/>
              </w:rPr>
              <w:t>70.16%</w:t>
            </w:r>
          </w:p>
        </w:tc>
        <w:tc>
          <w:tcPr>
            <w:tcW w:type="dxa" w:w="1293"/>
          </w:tcPr>
          <w:p>
            <w:pPr>
              <w:pStyle w:val="Compact"/>
              <w:jc w:val="center"/>
            </w:pPr>
            <w:r>
              <w:rPr>
                <w:b w:val="0"/>
              </w:rPr>
              <w:t>0.25%</w:t>
            </w:r>
          </w:p>
        </w:tc>
        <w:tc>
          <w:tcPr>
            <w:tcW w:type="dxa" w:w="1194"/>
          </w:tcPr>
          <w:p>
            <w:pPr>
              <w:pStyle w:val="Compact"/>
              <w:jc w:val="left"/>
            </w:pPr>
            <w:r>
              <w:rPr>
                <w:b w:val="0"/>
              </w:rPr>
              <w:t>87.6</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75.78%</w:t>
            </w:r>
          </w:p>
        </w:tc>
        <w:tc>
          <w:tcPr>
            <w:tcW w:type="dxa" w:w="900"/>
          </w:tcPr>
          <w:p>
            <w:pPr>
              <w:pStyle w:val="Compact"/>
              <w:jc w:val="left"/>
            </w:pPr>
            <w:r>
              <w:rPr>
                <w:b w:val="0"/>
              </w:rPr>
              <w:t>74.60%</w:t>
            </w:r>
          </w:p>
        </w:tc>
        <w:tc>
          <w:tcPr>
            <w:tcW w:type="dxa" w:w="900"/>
          </w:tcPr>
          <w:p>
            <w:pPr>
              <w:pStyle w:val="Compact"/>
              <w:jc w:val="center"/>
            </w:pPr>
            <w:r>
              <w:rPr>
                <w:b w:val="0"/>
              </w:rPr>
              <w:t>78.68%</w:t>
            </w:r>
          </w:p>
        </w:tc>
        <w:tc>
          <w:tcPr>
            <w:tcW w:type="dxa" w:w="1293"/>
          </w:tcPr>
          <w:p>
            <w:pPr>
              <w:pStyle w:val="Compact"/>
              <w:jc w:val="center"/>
            </w:pPr>
            <w:r>
              <w:rPr>
                <w:b w:val="0"/>
              </w:rPr>
              <w:t>0.18%</w:t>
            </w:r>
          </w:p>
        </w:tc>
        <w:tc>
          <w:tcPr>
            <w:tcW w:type="dxa" w:w="1194"/>
          </w:tcPr>
          <w:p>
            <w:pPr>
              <w:pStyle w:val="Compact"/>
              <w:jc w:val="left"/>
            </w:pPr>
            <w:r>
              <w:rPr>
                <w:b w:val="0"/>
              </w:rPr>
              <w:t>88.8</w:t>
            </w:r>
          </w:p>
        </w:tc>
        <w:tc>
          <w:tcPr>
            <w:tcW w:type="dxa" w:w="1397"/>
          </w:tcPr>
          <w:p>
            <w:pPr>
              <w:pStyle w:val="Compact"/>
              <w:jc w:val="left"/>
            </w:pPr>
            <w:r>
              <w:rPr>
                <w:b/>
              </w:rPr>
              <w:t>+9.01 pp</w:t>
            </w:r>
          </w:p>
        </w:tc>
      </w:tr>
      <w:tr>
        <w:tc>
          <w:tcPr>
            <w:tcW w:type="dxa" w:w="2254"/>
          </w:tcPr>
          <w:p>
            <w:pPr>
              <w:pStyle w:val="Compact"/>
              <w:jc w:val="left"/>
            </w:pPr>
            <w:r>
              <w:rPr>
                <w:b w:val="0"/>
              </w:rPr>
              <w:t>Few-shot Inglés</w:t>
            </w:r>
          </w:p>
        </w:tc>
        <w:tc>
          <w:tcPr>
            <w:tcW w:type="dxa" w:w="900"/>
          </w:tcPr>
          <w:p>
            <w:pPr>
              <w:pStyle w:val="Compact"/>
              <w:jc w:val="left"/>
            </w:pPr>
            <w:r>
              <w:rPr>
                <w:b w:val="0"/>
              </w:rPr>
              <w:t>70.38%</w:t>
            </w:r>
          </w:p>
        </w:tc>
        <w:tc>
          <w:tcPr>
            <w:tcW w:type="dxa" w:w="900"/>
          </w:tcPr>
          <w:p>
            <w:pPr>
              <w:pStyle w:val="Compact"/>
              <w:jc w:val="left"/>
            </w:pPr>
            <w:r>
              <w:rPr>
                <w:b w:val="0"/>
              </w:rPr>
              <w:t>69.92%</w:t>
            </w:r>
          </w:p>
        </w:tc>
        <w:tc>
          <w:tcPr>
            <w:tcW w:type="dxa" w:w="900"/>
          </w:tcPr>
          <w:p>
            <w:pPr>
              <w:pStyle w:val="Compact"/>
              <w:jc w:val="center"/>
            </w:pPr>
            <w:r>
              <w:rPr>
                <w:b w:val="0"/>
              </w:rPr>
              <w:t>72.47%</w:t>
            </w:r>
          </w:p>
        </w:tc>
        <w:tc>
          <w:tcPr>
            <w:tcW w:type="dxa" w:w="1293"/>
          </w:tcPr>
          <w:p>
            <w:pPr>
              <w:pStyle w:val="Compact"/>
              <w:jc w:val="center"/>
            </w:pPr>
            <w:r>
              <w:rPr>
                <w:b w:val="0"/>
              </w:rPr>
              <w:t>0.07%</w:t>
            </w:r>
          </w:p>
        </w:tc>
        <w:tc>
          <w:tcPr>
            <w:tcW w:type="dxa" w:w="1194"/>
          </w:tcPr>
          <w:p>
            <w:pPr>
              <w:pStyle w:val="Compact"/>
              <w:jc w:val="left"/>
            </w:pPr>
            <w:r>
              <w:rPr>
                <w:b w:val="0"/>
              </w:rPr>
              <w:t>264.2</w:t>
            </w:r>
          </w:p>
        </w:tc>
        <w:tc>
          <w:tcPr>
            <w:tcW w:type="dxa" w:w="1397"/>
          </w:tcPr>
          <w:p>
            <w:pPr>
              <w:pStyle w:val="Compact"/>
              <w:jc w:val="left"/>
            </w:pPr>
            <w:r>
              <w:rPr>
                <w:b w:val="0"/>
              </w:rPr>
              <w:t>+3.61 pp</w:t>
            </w:r>
          </w:p>
        </w:tc>
      </w:tr>
      <w:tr>
        <w:tc>
          <w:tcPr>
            <w:tcW w:type="dxa" w:w="2254"/>
          </w:tcPr>
          <w:p>
            <w:pPr>
              <w:pStyle w:val="Compact"/>
              <w:jc w:val="left"/>
            </w:pPr>
            <w:r>
              <w:rPr>
                <w:b w:val="0"/>
              </w:rPr>
              <w:t>Few-shot Español</w:t>
            </w:r>
          </w:p>
        </w:tc>
        <w:tc>
          <w:tcPr>
            <w:tcW w:type="dxa" w:w="900"/>
          </w:tcPr>
          <w:p>
            <w:pPr>
              <w:pStyle w:val="Compact"/>
              <w:jc w:val="left"/>
            </w:pPr>
            <w:r>
              <w:rPr>
                <w:b/>
              </w:rPr>
              <w:t>79.96%</w:t>
            </w:r>
          </w:p>
        </w:tc>
        <w:tc>
          <w:tcPr>
            <w:tcW w:type="dxa" w:w="900"/>
          </w:tcPr>
          <w:p>
            <w:pPr>
              <w:pStyle w:val="Compact"/>
              <w:jc w:val="left"/>
            </w:pPr>
            <w:r>
              <w:rPr>
                <w:b/>
              </w:rPr>
              <w:t>81.17%</w:t>
            </w:r>
          </w:p>
        </w:tc>
        <w:tc>
          <w:tcPr>
            <w:tcW w:type="dxa" w:w="900"/>
          </w:tcPr>
          <w:p>
            <w:pPr>
              <w:pStyle w:val="Compact"/>
              <w:jc w:val="center"/>
            </w:pPr>
            <w:r>
              <w:rPr>
                <w:b/>
              </w:rPr>
              <w:t>79.94%</w:t>
            </w:r>
          </w:p>
        </w:tc>
        <w:tc>
          <w:tcPr>
            <w:tcW w:type="dxa" w:w="1293"/>
          </w:tcPr>
          <w:p>
            <w:pPr>
              <w:pStyle w:val="Compact"/>
              <w:jc w:val="center"/>
            </w:pPr>
            <w:r>
              <w:rPr>
                <w:b w:val="0"/>
              </w:rPr>
              <w:t>0.14%</w:t>
            </w:r>
          </w:p>
        </w:tc>
        <w:tc>
          <w:tcPr>
            <w:tcW w:type="dxa" w:w="1194"/>
          </w:tcPr>
          <w:p>
            <w:pPr>
              <w:pStyle w:val="Compact"/>
              <w:jc w:val="left"/>
            </w:pPr>
            <w:r>
              <w:rPr>
                <w:b w:val="0"/>
              </w:rPr>
              <w:t>201.3</w:t>
            </w:r>
          </w:p>
        </w:tc>
        <w:tc>
          <w:tcPr>
            <w:tcW w:type="dxa" w:w="1397"/>
          </w:tcPr>
          <w:p>
            <w:pPr>
              <w:pStyle w:val="Compact"/>
              <w:jc w:val="left"/>
            </w:pPr>
            <w:r>
              <w:rPr>
                <w:b/>
              </w:rPr>
              <w:t>+13.19 pp</w:t>
            </w:r>
          </w:p>
        </w:tc>
      </w:tr>
    </w:tbl>
    <w:p>
      <w:pPr>
        <w:numPr>
          <w:ilvl w:val="0"/>
          <w:numId w:val="0"/>
        </w:numPr>
        <w:pStyle w:val="p1a"/>
      </w:pPr>
      <w:r>
        <w:t xml:space="preserve">Media de cinco semillas declaradas (42, 43, 44, 45, 46) sobre </w:t>
      </w:r>
      <w:r>
        <w:t>results/variantes_5semillas_n15_REMOTO/</w:t>
      </w:r>
      <w:r>
        <w:t>, que reemplaza la medición original de una sola corrida. La jerarquía fs-es &gt; zs-es &gt; fs-en &gt; zs-en se repite en las cinco semillas sin excepción. Un fallo de extracción afecta más a las configuraciones en inglés (10 de 150 registros frente a 0 de 150 en español); descontándolo, el efecto puro del idioma se reduce pero se mantiene positivo en las cinco semillas (entre +4,7 y +11,0 puntos): el prompt en español aporta tanto mejor exhaustividad como mejor robustez de formato (100 % de salidas parseables frente a 93,3 % en inglés).</w:t>
      </w:r>
    </w:p>
    <w:p>
      <w:pPr>
        <w:numPr>
          <w:ilvl w:val="0"/>
          <w:numId w:val="0"/>
        </w:numPr>
        <w:pStyle w:val="p1a"/>
      </w:pPr>
      <w:r>
        <w:rPr>
          <w:b/>
        </w:rPr>
        <w:t>Hallazgo 5:</w:t>
      </w:r>
      <w:r>
        <w:t xml:space="preserve"> replicado con cinco semillas, ninguno de los dos factores basta por separado —el español en la instrucción aporta +9,01 pp y los ejemplos en inglés +3,61 pp—, pero </w:t>
      </w:r>
      <w:r>
        <w:rPr>
          <w:b/>
        </w:rPr>
        <w:t>su combinación alcanza +13,19 pp</w:t>
      </w:r>
      <w:r>
        <w:t xml:space="preserve"> sobre el baseline ZS-EN, con la mejor precisión y el mejor recall del conjunto, consistente en las cinco semillas.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[46]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Normal"/>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que son también fuente de los ejemplares </w:t>
      </w:r>
      <w:r>
        <w:rPr>
          <w:i/>
        </w:rPr>
        <w:t>few-shot</w:t>
      </w:r>
      <w:r>
        <w:t xml:space="preserve"> de la base de conocimientos y que por tanto contaminan el conjunto de prueba, detalle en el </w:t>
      </w:r>
      <w:r>
        <w:rPr>
          <w:b/>
        </w:rPr>
        <w:t>Anexo D</w:t>
      </w:r>
      <w:r>
        <w:t xml:space="preserve">). Resultados consolidados en </w:t>
      </w:r>
      <w:r>
        <w:t>results/ANALISIS_CONJUNTO_20260909_FIX/</w:t>
      </w:r>
      <w:r>
        <w:t xml:space="preserve">, que sustituye a </w:t>
      </w:r>
      <w:r>
        <w:t>results/ANALISIS_CONJUNTO_20260907/</w:t>
      </w:r>
      <w:r>
        <w:t xml:space="preserve"> tras la re-corrida completa.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los veintiséis grupos (trece modelos en dos modos, baseline y KB RAG), pero la pregunta que importa es otra: cuántos modelos mejoran de forma significativa respecto de sí mismos al añadir RAG. Solo uno, </w:t>
      </w:r>
      <w:r>
        <w:t>nemotron-mini:4b</w:t>
      </w:r>
      <w:r>
        <w:t xml:space="preserve">, con +12,26 puntos. </w:t>
      </w:r>
      <w:r>
        <w:t>llama3.2:latest</w:t>
      </w:r>
      <w:r>
        <w:t>, con +6,73 puntos (p=0,2334),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1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1" name="Picture 1"/>
            <wp:cNvGraphicFramePr>
              <a:graphicFrameLocks noChangeAspect="1"/>
            </wp:cNvGraphicFramePr>
            <a:graphic>
              <a:graphicData uri="http://schemas.openxmlformats.org/drawingml/2006/picture">
                <pic:pic>
                  <pic:nvPicPr>
                    <pic:cNvPr id="0" name="efecto-kb-rag.png"/>
                    <pic:cNvPicPr/>
                  </pic:nvPicPr>
                  <pic:blipFill>
                    <a:blip r:embed="rId16"/>
                    <a:stretch>
                      <a:fillRect/>
                    </a:stretch>
                  </pic:blipFill>
                  <pic:spPr>
                    <a:xfrm>
                      <a:off x="0" y="0"/>
                      <a:ext cx="5612130" cy="2521179"/>
                    </a:xfrm>
                    <a:prstGeom prst="rect"/>
                  </pic:spPr>
                </pic:pic>
              </a:graphicData>
            </a:graphic>
          </wp:inline>
        </w:drawing>
      </w:r>
    </w:p>
    <w:p>
      <w:pPr>
        <w:numPr>
          <w:ilvl w:val="0"/>
          <w:numId w:val="0"/>
        </w:numPr>
        <w:pStyle w:val="figurecaption"/>
      </w:pPr>
      <w:r>
        <w:t>Figura 1.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81,47%) es comparable al de N=30 (</w:t>
      </w:r>
      <w:r>
        <w:t>gemma4:31b-mlx</w:t>
      </w:r>
      <w:r>
        <w:t>: 80,57%), pese a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 la anotación de referencia de origen.</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(once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en español como umbral de viabilidad. El umbral se alcanza sobre el corpus del dominio —</w:t>
      </w:r>
      <w:r>
        <w:t>gemma4:31b-mlx</w:t>
      </w:r>
      <w:r>
        <w:t xml:space="preserve"> obtiene 80,57 % con intervalo de confianza al 95 % de [74,22 %, 86,92 %] y ninguna extracción fallida sobre N=30, cifra sin restringir a Personas/Organizaciones (la restringida, 90,16 %, se explica en el Anexo I)— y también, directamente y sin necesidad de corrección alguna, sobre el corpus periodístico: </w:t>
      </w:r>
      <w:r>
        <w:t>gemma4:31b-mlx</w:t>
      </w:r>
      <w:r>
        <w:t xml:space="preserve"> obtiene 81,47 % sobre N=120. La hipótesis queda por tanto confirmada en ambos corpus, aunque la condición «en español» del enunciado la satisface en sentido estricto solo el corpus periodístico (105 de 120 artículos); el corpus del dominio, redactado en inglés, confirma el umbral numérico como evidencia de que el desempeño generaliza más allá del español. Comparando ambos resultados en la misma base de medición —80,57 % sobre N=30 frente a 81,47 % sobre N=120—, la diferencia es de menos de un punto; la cifra restringida a Personas/Organizaciones (90,16 %) no es comparable directamente con la de tres categorías de N=120 y no se usa aquí para calcular ninguna brecha.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Tres factores explican la distribución de resultados observada. El primero es el idioma del prompt y de sus ejemplos, replicado con cinco semillas declaradas sobre los tres corpus del estudio (</w:t>
      </w:r>
      <w:r>
        <w:t>results/variantes_5semillas_n15_REMOTO/</w:t>
      </w:r>
      <w:r>
        <w:t xml:space="preserve">, </w:t>
      </w:r>
      <w:r>
        <w:t>results/variantes_n30_parEmparejado_REMOTO/</w:t>
      </w:r>
      <w:r>
        <w:t xml:space="preserve"> y </w:t>
      </w:r>
      <w:r>
        <w:t>results/variantes_5semillas_n120_REMOTO/</w:t>
      </w:r>
      <w:r>
        <w:t xml:space="preserve">). Sobre el corpus de quince artículos, redactar la instrucción y los ejemplos en español aporta +13,19 puntos de F1 sobre el baseline en inglés (Tabla 5), efecto consistente en las cinco semillas y compuesto de una mejora real de exhaustividad más una mejora de robustez de formato. La interpretación exige cuidado, porque la que sugiere la intuición no se sostiene del todo: el corpus está redactado </w:t>
      </w:r>
      <w:r>
        <w:rPr>
          <w:b/>
        </w:rPr>
        <w:t>en inglés</w:t>
      </w:r>
      <w:r>
        <w:t xml:space="preserve">, de modo que la instrucción en español no ayuda al modelo a leer el texto. Lo que sí lo caracteriza es una minoría de entidades ibéricas, doce de sus ochenta y cuatro personas,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en línea con el sobrecoste de tokenización documentado para lenguas distintas del inglés [11]; esta explicación predice un efecto proporcional a esa minoría, no una mejora general.</w:t>
      </w:r>
    </w:p>
    <w:p>
      <w:pPr>
        <w:numPr>
          <w:ilvl w:val="0"/>
          <w:numId w:val="0"/>
        </w:numPr>
        <w:pStyle w:val="Normal"/>
      </w:pPr>
      <w:r>
        <w:t xml:space="preserve">Esa predicción se contrasta con un diseño más limpio sobre el corpus del dominio: un par controlado en inglés nativo y en su traducción al español (Anexo F), que aísla el efecto de que el idioma del </w:t>
      </w:r>
      <w:r>
        <w:rPr>
          <w:i/>
        </w:rPr>
        <w:t>prompt</w:t>
      </w:r>
      <w:r>
        <w:t xml:space="preserve"> coincida con el del texto. Coincidir ayuda en las cinco semillas cuando el </w:t>
      </w:r>
      <w:r>
        <w:rPr>
          <w:i/>
        </w:rPr>
        <w:t>prompt</w:t>
      </w:r>
      <w:r>
        <w:t xml:space="preserve"> trae ejemplos (</w:t>
      </w:r>
      <w:r>
        <w:rPr>
          <w:i/>
        </w:rPr>
        <w:t>few-shot</w:t>
      </w:r>
      <w:r>
        <w:t xml:space="preserve">), y ayuda de forma débil e inconsistente en </w:t>
      </w:r>
      <w:r>
        <w:rPr>
          <w:i/>
        </w:rPr>
        <w:t>zero-shot</w:t>
      </w:r>
      <w:r>
        <w:t xml:space="preserve"> (solo en 3 de 5 semillas sobre el texto traducido). Pero sobre el corpus real N=120 —el que sostiene la Tabla 7, mayoritariamente en español— la configuración con ejemplos en inglés (</w:t>
      </w:r>
      <w:r>
        <w:t>fs-en</w:t>
      </w:r>
      <w:r>
        <w:t>, 76,35 %) supera a la de ejemplos en español (</w:t>
      </w:r>
      <w:r>
        <w:t>fs-es</w:t>
      </w:r>
      <w:r>
        <w:t>, 75,57 %) en las cinco semillas sin excepción. Ningún resultado de los tres corpus explica a los otros dos: ni «gana el español» (N=15) ni «coincidir con el idioma del texto» (N=30) se sostienen sobre el corpus real y heterogéneo. Es posible que los ejemplos en inglés aporten sobre todo una señal de formato de salida que generaliza mejor en un corpus heterogéneo que una señal de idioma que solo ayuda sobre contenido uniforme, pero esa lectura no está probada con este diseño y queda como candidato para trabajo futuro.</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(compilación GGUF), lo que sugeriría que la soberanía no cuesta rendimiento; pero ese experimento es el de menor potencia estadística, y sobre los ciento veinte artículos la relación se invierte: la variante alojada alcanza 82,13 % frente al 81,47 % del mejor local (compilación MLX, la única de las dos que se ejecutó sobre este corpus).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el modelo más débil del estudio (</w:t>
      </w:r>
      <w:r>
        <w:t>nemotron-mini:4b</w:t>
      </w:r>
      <w:r>
        <w:t xml:space="preserve">, +12,26 puntos); el segundo mayor delta bruto, </w:t>
      </w:r>
      <w:r>
        <w:t>llama3.2:latest</w:t>
      </w:r>
      <w:r>
        <w:t xml:space="preserve"> con +6,73 puntos, no distingue del azar tras la corrección por comparaciones múltiples (p=0,2334); el resto de la franja intermedia se mueve poco en cualquier dirección, y en los dos modelos de 31B el efecto es positivo pero marginal (+0,81 y +0,97 puntos).</w:t>
      </w:r>
    </w:p>
    <w:p>
      <w:pPr>
        <w:numPr>
          <w:ilvl w:val="0"/>
          <w:numId w:val="0"/>
        </w:numPr>
        <w:pStyle w:val="Normal"/>
      </w:pPr>
      <w:r>
        <w:t xml:space="preserve">Esta lectura exige una salvedad de diseño, declarada y sin corregir: el ejemplar anotado que aporta la variante combinada procede, en el 94 % de los 113 artículos, de otro artículo real del propio corpus de evaluación, no de material externo. La mejora aquí descrita no puede, por tanto, descartarse como beneficio parcial de esa fuga de datos y no solo de comprensión contextual; el mecanismo y su alcance se documentan en el </w:t>
      </w:r>
      <w:r>
        <w:rPr>
          <w:b/>
        </w:rPr>
        <w:t>Anexo D</w:t>
      </w:r>
      <w:r>
        <w:t>.</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efecto real, sin una única explicación. Replicado con cinco semillas sobre los tres corpus del estudio, el idioma de la instrucción y de los ejemplos interactúa de forma consistente sobre el corpus de quince artículos (+13,19 puntos de F1 combinando español en ambos, sin excepción en las cinco semillas) y sobre el par controlado del corpus del dominio (coincidir el idioma del </w:t>
      </w:r>
      <w:r>
        <w:rPr>
          <w:i/>
        </w:rPr>
        <w:t>prompt</w:t>
      </w:r>
      <w:r>
        <w:t xml:space="preserve"> con el del texto ayuda, más en </w:t>
      </w:r>
      <w:r>
        <w:rPr>
          <w:i/>
        </w:rPr>
        <w:t>few-shot</w:t>
      </w:r>
      <w:r>
        <w:t xml:space="preserve"> que en </w:t>
      </w:r>
      <w:r>
        <w:rPr>
          <w:i/>
        </w:rPr>
        <w:t>zero-shot</w:t>
      </w:r>
      <w:r>
        <w:t>). Pero sobre el corpus real de ciento veinte artículos, mayoritariamente en español, gana consistentemente la configuración con ejemplos en inglés. El mecanismo que se atribuía al primer resultado —que los ejemplos rinden en el idioma del corpus— queda refutado por este último dato, y ninguna explicación disponible cubre los tres corpus a la vez; el detalle se desarrolla en §6.1.</w:t>
      </w:r>
    </w:p>
    <w:p>
      <w:pPr>
        <w:numPr>
          <w:ilvl w:val="0"/>
          <w:numId w:val="0"/>
        </w:numPr>
        <w:pStyle w:val="numbereditem"/>
      </w:pPr>
      <w:r>
        <w:t xml:space="preserve">Soberanía de datos con un coste de rendimiento casi nulo sobre el corpus mayor: sobre el corpus de quince artículos la ejecución local (compilación GGUF) supera a la alojada (69,12 % frente a 66,99 % de F1), pero ese experimento es el de menor potencia estadística; sobre los ciento veinte artículos, que es el estudio principal, la variante en la nube del mismo modelo obtiene 82,13 % frente al 81,47 % del mejor local (compilación MLX).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 El objetivo fijaba además mantener una tasa de alucinaciones inferior al 5 %: se cumple en el modelo recomendado (</w:t>
      </w:r>
      <w:r>
        <w:t>gemma4:31b-mlx</w:t>
      </w:r>
      <w:r>
        <w:t xml:space="preserve">, entre 0,00 % y 0,16 % según configuración) pero no en el catálogo completo, donde </w:t>
      </w:r>
      <w:r>
        <w:t>deepseek-r1:1.5b</w:t>
      </w:r>
      <w:r>
        <w:t xml:space="preserve"> (11,23–21,59 %) y </w:t>
      </w:r>
      <w:r>
        <w:t>nemotron-mini:4b</w:t>
      </w:r>
      <w:r>
        <w:t xml:space="preserve"> (7,14–14,75 %) lo superan ampliamente (§5.4), motivo por el que se descartan para un flujo de producción.</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sugiere que el reconocimiento de entidades mediante LLMs locales es, al menos en parte, un problema de </w:t>
      </w:r>
      <w:r>
        <w:rPr>
          <w:b/>
        </w:rPr>
        <w:t>comprensión sintáctico-contextual</w:t>
      </w:r>
      <w:r>
        <w:t xml:space="preserve"> y no solo de búsqueda en bases de datos cerradas, con la salvedad, declarada en §6.2, de que el 94 % de los ejemplares </w:t>
      </w:r>
      <w:r>
        <w:rPr>
          <w:i/>
        </w:rPr>
        <w:t>few-shot</w:t>
      </w:r>
      <w:r>
        <w:t xml:space="preserve"> recuperados en el modo </w:t>
      </w:r>
      <w:r>
        <w:t>kb_combined</w:t>
      </w:r>
      <w:r>
        <w:t xml:space="preserve"> proceden de otro artículo real del propio corpus de evaluación, por lo que la mejora no puede descartarse como beneficio parcial de esa fuga de datos.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referenceitem"/>
      </w:pPr>
      <w:r>
        <w:t xml:space="preserve">[40] K. Pearson, "Note on Regression and Inheritance in the Case of Two Parents," </w:t>
      </w:r>
      <w:r>
        <w:rPr>
          <w:i/>
        </w:rPr>
        <w:t>Proceedings of the Royal Society of London</w:t>
      </w:r>
      <w:r>
        <w:t>, vol. 58, pp. 240-242, 1895. [En línea]. Disponible: https://doi.org/10.1098/rspl.1895.0041</w:t>
      </w:r>
    </w:p>
    <w:p>
      <w:pPr>
        <w:numPr>
          <w:ilvl w:val="0"/>
          <w:numId w:val="0"/>
        </w:numPr>
        <w:pStyle w:val="referenceitem"/>
      </w:pPr>
      <w:r>
        <w:t xml:space="preserve">[41] C. Spearman, "The Proof and Measurement of Association Between Two Things," </w:t>
      </w:r>
      <w:r>
        <w:rPr>
          <w:i/>
        </w:rPr>
        <w:t>American Journal of Psychology</w:t>
      </w:r>
      <w:r>
        <w:t>, vol. 15, no. 1, pp. 72-101, 1904. [En línea]. Disponible: https://doi.org/10.2307/1412159</w:t>
      </w:r>
    </w:p>
    <w:p>
      <w:pPr>
        <w:numPr>
          <w:ilvl w:val="0"/>
          <w:numId w:val="0"/>
        </w:numPr>
        <w:pStyle w:val="referenceitem"/>
      </w:pPr>
      <w:r>
        <w:t xml:space="preserve">[42] R. A. Fisher, </w:t>
      </w:r>
      <w:r>
        <w:rPr>
          <w:i/>
        </w:rPr>
        <w:t>Statistical Methods for Research Workers</w:t>
      </w:r>
      <w:r>
        <w:t>. Edimburgo: Oliver &amp; Boyd, 1925. [En línea]. Disponible: https://openlibrary.org/works/OL1153861W</w:t>
      </w:r>
    </w:p>
    <w:p>
      <w:pPr>
        <w:numPr>
          <w:ilvl w:val="0"/>
          <w:numId w:val="0"/>
        </w:numPr>
        <w:pStyle w:val="referenceitem"/>
      </w:pPr>
      <w:r>
        <w:t xml:space="preserve">[43] M. Friedman, "The Use of Ranks to Avoid the Assumption of Normality Implicit in the Analysis of Variance," </w:t>
      </w:r>
      <w:r>
        <w:rPr>
          <w:i/>
        </w:rPr>
        <w:t>Journal of the American Statistical Association</w:t>
      </w:r>
      <w:r>
        <w:t>, vol. 32, no. 200, pp. 675-701, 1937. [En línea]. Disponible: https://doi.org/10.1080/01621459.1937.10503522</w:t>
      </w:r>
    </w:p>
    <w:p>
      <w:pPr>
        <w:numPr>
          <w:ilvl w:val="0"/>
          <w:numId w:val="0"/>
        </w:numPr>
        <w:pStyle w:val="referenceitem"/>
      </w:pPr>
      <w:r>
        <w:t xml:space="preserve">[44] H. Levene, "Robust Tests for Equality of Variances," in </w:t>
      </w:r>
      <w:r>
        <w:rPr>
          <w:i/>
        </w:rPr>
        <w:t>Contributions to Probability and Statistics: Essays in Honor of Harold Hotelling</w:t>
      </w:r>
      <w:r>
        <w:t>, I. Olkin, Ed. Stanford, CA: Stanford University Press, 1960, pp. 278-292. [En línea]. Disponible: https://openlibrary.org/books/OL5793803M</w:t>
      </w:r>
    </w:p>
    <w:p>
      <w:pPr>
        <w:numPr>
          <w:ilvl w:val="0"/>
          <w:numId w:val="0"/>
        </w:numPr>
        <w:pStyle w:val="referenceitem"/>
      </w:pPr>
      <w:r>
        <w:t xml:space="preserve">[45] M. B. Brown and A. B. Forsythe, "Robust Tests for the Equality of Variances," </w:t>
      </w:r>
      <w:r>
        <w:rPr>
          <w:i/>
        </w:rPr>
        <w:t>Journal of the American Statistical Association</w:t>
      </w:r>
      <w:r>
        <w:t>, vol. 69, no. 346, pp. 364-367, 1974. [En línea]. Disponible: https://doi.org/10.1080/01621459.1974.10482955</w:t>
      </w:r>
    </w:p>
    <w:p>
      <w:pPr>
        <w:numPr>
          <w:ilvl w:val="0"/>
          <w:numId w:val="0"/>
        </w:numPr>
        <w:pStyle w:val="referenceitem"/>
      </w:pPr>
      <w:r>
        <w:t xml:space="preserve">[46] J. Cohen, </w:t>
      </w:r>
      <w:r>
        <w:rPr>
          <w:i/>
        </w:rPr>
        <w:t>Statistical Power Analysis for the Behavioral Sciences</w:t>
      </w:r>
      <w:r>
        <w:t>, 2.ª ed. Hillsdale, NJ: Lawrence Erlbaum Associates, 1988. [En línea]. Disponible: https://openlibrary.org/books/OL2035961M</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Normal"/>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ambos enseñan al modelo a devolver un campo </w:t>
      </w:r>
      <w:r>
        <w:t>Locations</w:t>
      </w:r>
      <w:r>
        <w:t xml:space="preserve">, categoría que el corpus del dominio (N=30) no anota. Sobre ese corpus, el </w:t>
      </w:r>
      <w:r>
        <w:rPr>
          <w:i/>
        </w:rPr>
        <w:t>prompt</w:t>
      </w:r>
      <w:r>
        <w:t xml:space="preserve"> pide sistemáticamente algo que la anotación de referencia no puede premiar (Anexo I).</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Normal"/>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Normal"/>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Normal"/>
      </w:pPr>
      <w:r>
        <w:t xml:space="preserve">Los siete artículos de origen de estos ejemplares (columna «Fuente») son también artículos del propio corpus de evaluación N=120. En los modos </w:t>
      </w:r>
      <w:r>
        <w:t>kb_fewshot</w:t>
      </w:r>
      <w:r>
        <w:t xml:space="preserve"> y </w:t>
      </w:r>
      <w:r>
        <w:t>kb_combined</w:t>
      </w:r>
      <w:r>
        <w:t xml:space="preserve"> eso constituye una contaminación del conjunto de prueba: al modelo se le entrega como contexto la anotación de oro del mismo artículo que después debe evaluar. Por decisión del autor del 2026-09-08, estos siete artículos se excluyen de toda métrica publicada sobre el corpus N=120 —que se calcula, por tanto, sobre 113 artículos y no sobre 120—, mientras que los ejemplares permanecen en la base de conocimientos y la exclusión se declara en vez de disimularse. El manifiesto que los identifica está en </w:t>
      </w:r>
      <w:r>
        <w:t>data/knowledge_base/contaminated_exemplar_articles.json</w:t>
      </w:r>
      <w:r>
        <w:t>. Es una fuga de datos entre el conjunto de ejemplares y el de prueba, y su exclusión sigue vigente porque el problema es estructural, no un defecto de una corrida concreta.</w:t>
      </w:r>
    </w:p>
    <w:p>
      <w:pPr>
        <w:numPr>
          <w:ilvl w:val="0"/>
          <w:numId w:val="0"/>
        </w:numPr>
        <w:pStyle w:val="Normal"/>
      </w:pPr>
      <w:r>
        <w:rPr>
          <w:b/>
        </w:rPr>
        <w:t>Limitación conocida y sin corregir, distinta de la anterior.</w:t>
      </w:r>
      <w:r>
        <w:t xml:space="preserve"> El mismo mecanismo de recuperación por similitud (</w:t>
      </w:r>
      <w:r>
        <w:t>kb_rag_manager.py</w:t>
      </w:r>
      <w:r>
        <w:t xml:space="preserve">, </w:t>
      </w:r>
      <w:r>
        <w:t>_query_fewshot</w:t>
      </w:r>
      <w:r>
        <w:t xml:space="preserve">) elige el ejemplar más próximo, pero no excluye que ese ejemplar sea la anotación de oro de </w:t>
      </w:r>
      <w:r>
        <w:rPr>
          <w:b/>
        </w:rPr>
        <w:t>otro</w:t>
      </w:r>
      <w:r>
        <w:t xml:space="preserve"> artículo real del propio corpus de evaluación. Esto ocurre en el 94 % de los 113 artículos que la métrica cuenta como limpios. Afecta a la totalidad de la condición KB RAG que sostiene la Tabla 14 (1 469 registros, los trece modelos). Su efecto sobre las cifras publicadas </w:t>
      </w:r>
      <w:r>
        <w:rPr>
          <w:b/>
        </w:rPr>
        <w:t>no está cuantificado</w:t>
      </w:r>
      <w:r>
        <w:t xml:space="preserve"> —aislarlo exigiría reejecutar el estudio sin la filtración—, y ninguna de las re-ejecuciones posteriores (la del 8 de septiembre de 2026 ni la réplica de cinco semillas del 16, Anexo K) modificó la base de ejemplares, de modo que ambas heredan el mismo defecto. Se declara aquí como limitación del diseño experimental, no como algo corregido: rehacer la base de ejemplares con material ajeno al corpus de evaluación y repetir el estudio queda fuera del alcance de esta entrega, por decisión del autor.</w:t>
      </w:r>
    </w:p>
    <w:p>
      <w:pPr>
        <w:numPr>
          <w:ilvl w:val="0"/>
          <w:numId w:val="0"/>
        </w:numPr>
        <w:pStyle w:val="heading4"/>
      </w:pPr>
      <w:r>
        <w:t>D.3 Reglas de la base de conocimientos contextual</w:t>
      </w:r>
    </w:p>
    <w:p>
      <w:pPr>
        <w:numPr>
          <w:ilvl w:val="0"/>
          <w:numId w:val="0"/>
        </w:numPr>
        <w:pStyle w:val="Normal"/>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variantes_5semillas_n15_REMOTO (media de 5 semillas)</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rPr>
          <w:b/>
        </w:rPr>
        <w:t>Nota de procedencia, sin resolver.</w:t>
      </w:r>
      <w:r>
        <w:t xml:space="preserve"> El </w:t>
      </w:r>
      <w:r>
        <w:rPr>
          <w:i/>
        </w:rPr>
        <w:t>prompt</w:t>
      </w:r>
      <w:r>
        <w:t xml:space="preserve"> transcrito arriba especifica explícitamente español, pero el corpus versionado (</w:t>
      </w:r>
      <w:r>
        <w:t>data/kleptotrace_augmented_30.json</w:t>
      </w:r>
      <w:r>
        <w:t>) está íntegramente en inglés (verificado leyendo el propio archivo). Ni los registros de ejecución de julio de 2026 ni un script generador sobreviven en el repositorio para reconciliar esta discrepancia contra la invocación real: se investigó el 8 de septiembre de 2026 y se escaló al autor sin poder resolverse por falta de evidencia. Se declara aquí como limitación de procedencia, no como un error corregido. La respuesta que se dio no fue reconstruir lo ocurrido en julio —imposible sin esos registros— sino construir hacia adelante un par controlado para el estudio de variantes de idioma: una traducción íntegra del corpus al español (</w:t>
      </w:r>
      <w:r>
        <w:t>data/kleptotrace_augmented_30_es.json</w:t>
      </w:r>
      <w:r>
        <w:t>), verificada por cobertura literal de cada entidad de referencia en el texto traducido.</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Normal"/>
      </w:pPr>
      <w:r>
        <w:t>La totalidad de las decisiones intelectuales y metodológicas del trabajo corresponden al autor. En particular, la identificación y formulación del problema de investigación (monitoreo de entidades de riesgo AML/KYC bajo restricción de soberanía de datos), y el planteamiento de la hipótesis de trabajo y del umbral de viabilidad F1 ≥ 70%. También el modelado conceptual del problema como tarea de NER en vocabulario abierto sobre noticias en español, y el diseño de la arquitectura del sistema (pipeline pub/sub con control adaptativo AIMD, capa Factory/Facade de proveedores, gestión de VRAM en Apple Silicon). Asimismo, la selección y priorización de los modelos a evaluar, con hipótesis fundamentadas previas a la evaluación empírica, y la definición del diseño experimental, de las métricas y del protocolo estadístico (ANOVA de una vía y Tukey HSD). Por último,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Normal"/>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Normal"/>
      </w:pPr>
      <w:r>
        <w:t>Asistentes de programación basados en LLM se emplearon como apoyo en tareas de implementación y documentación, bajo revisión y prueba del autor. En banco de pruebas y desarrollo: generación y refactorización de código del banco de pruebas y del módulo KB RAG a partir de decisiones arquitectónicas previamente definidas, y escritura de scripts auxiliares de análisis de resultados. En mantenimiento documental: mantenimiento del registro cronológico de trabajo (WORKLOG.md) y conversión y regeneración de documentos mediante pandoc. Y en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Normal"/>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el alcance de la medición. El autor asume la responsabilidad final sobre el contenido, la exactitud y la integridad académica de este documento.</w:t>
      </w:r>
    </w:p>
    <w:p>
      <w:pPr>
        <w:numPr>
          <w:ilvl w:val="0"/>
          <w:numId w:val="0"/>
        </w:numPr>
        <w:pStyle w:val="heading2"/>
      </w:pPr>
      <w:r>
        <w:t>Anexo I — Medición restringida a las categorías que el corpus anota</w:t>
      </w:r>
    </w:p>
    <w:p>
      <w:pPr>
        <w:numPr>
          <w:ilvl w:val="0"/>
          <w:numId w:val="0"/>
        </w:numPr>
        <w:pStyle w:val="p1a"/>
      </w:pPr>
      <w:r>
        <w:t xml:space="preserve">Los </w:t>
      </w:r>
      <w:r>
        <w:rPr>
          <w:i/>
        </w:rPr>
        <w:t>prompts</w:t>
      </w:r>
      <w:r>
        <w:t xml:space="preserve"> piden tres categorías de entidad (personas, organizaciones, localizaciones), pero no todos los corpus las anotan las tres. Cuando una categoría carece de referencia, cualquier extracción correcta de esa categoría se contabiliza igualmente como falso positivo, penalizando al modelo por acertar; la corrección consiste en restringir la métrica a las categorías que el corpus efectivamente anota.</w:t>
      </w:r>
    </w:p>
    <w:p>
      <w:pPr>
        <w:numPr>
          <w:ilvl w:val="0"/>
          <w:numId w:val="0"/>
        </w:numPr>
        <w:pStyle w:val="Normal"/>
      </w:pPr>
      <w:r>
        <w:rPr>
          <w:b/>
        </w:rPr>
        <w:t>Sobre el corpus del dominio N=30 (en inglés), la restricción sigue vigente.</w:t>
      </w:r>
      <w:r>
        <w:t xml:space="preserve"> Su anotación de referencia no cubre localizaciones, y el </w:t>
      </w:r>
      <w:r>
        <w:rPr>
          <w:b/>
        </w:rPr>
        <w:t>90,16 %</w:t>
      </w:r>
      <w:r>
        <w:t xml:space="preserve"> de F1 citado en el resumen, el </w:t>
      </w:r>
      <w:r>
        <w:rPr>
          <w:i/>
        </w:rPr>
        <w:t>abstract</w:t>
      </w:r>
      <w:r>
        <w:t xml:space="preserve"> y la conclusión 1 es el F1 restringido a personas y organizaciones para </w:t>
      </w:r>
      <w:r>
        <w:t>gemma4:31b-mlx</w:t>
      </w:r>
      <w:r>
        <w:t xml:space="preserve"> sobre </w:t>
      </w:r>
      <w:r>
        <w:t>results/n30_rerun_REMOTO/</w:t>
      </w:r>
      <w:r>
        <w:t xml:space="preserve"> (verificado automáticamente por </w:t>
      </w:r>
      <w:r>
        <w:t>tools/verificar_informe.py</w:t>
      </w:r>
      <w:r>
        <w:t xml:space="preserve">). La cifra sin restringir sobre la misma corrida y modelo es </w:t>
      </w:r>
      <w:r>
        <w:rPr>
          <w:b/>
        </w:rPr>
        <w:t>80,57 %</w:t>
      </w:r>
      <w:r>
        <w:t xml:space="preserve"> (§5.3); la diferencia es atribuible a las localizaciones que el modelo extrae y que la referencia no anota.</w:t>
      </w:r>
    </w:p>
    <w:p>
      <w:pPr>
        <w:numPr>
          <w:ilvl w:val="0"/>
          <w:numId w:val="0"/>
        </w:numPr>
        <w:pStyle w:val="Normal"/>
      </w:pPr>
      <w:r>
        <w:t>Un número que no mide lo que dice medir no es un resultado: por ese motivo, ninguna corrida invalidada por un fallo de arnés o de configuración —descritas en el cuerpo del informe donde corresponde— se publica junto a la vigente como si fueran alternativas.</w:t>
      </w:r>
    </w:p>
    <w:p>
      <w:pPr>
        <w:numPr>
          <w:ilvl w:val="0"/>
          <w:numId w:val="0"/>
        </w:numPr>
        <w:pStyle w:val="heading2"/>
      </w:pPr>
      <w:r>
        <w:t>Anexo J — Correlación entre capacidad y beneficio del RAG: fuente y reproducción</w:t>
      </w:r>
    </w:p>
    <w:p>
      <w:pPr>
        <w:numPr>
          <w:ilvl w:val="0"/>
          <w:numId w:val="0"/>
        </w:numPr>
        <w:pStyle w:val="p1a"/>
      </w:pPr>
      <w:r>
        <w:t xml:space="preserve">Las dos cifras de §5.3.1 sobre la relación entre el desempeño base de un modelo y la mejora que le aporta el KB RAG —Spearman −0,0879 (p = 0,7752) y Pearson −0,4816 (p = 0,0956), sobre los N=13 pares (F1 base, ΔF1) de la Tabla 16— proceden de </w:t>
      </w:r>
      <w:r>
        <w:t>tools/robustez_estadistica.py</w:t>
      </w:r>
      <w:r>
        <w:t xml:space="preserve">, que las calcula con </w:t>
      </w:r>
      <w:r>
        <w:t>scipy.stats.pearsonr</w:t>
      </w:r>
      <w:r>
        <w:t xml:space="preserve"> y </w:t>
      </w:r>
      <w:r>
        <w:t>scipy.stats.spearmanr</w:t>
      </w:r>
      <w:r>
        <w:t xml:space="preserve"> sobre el CSV consolidado de la re-corrida adoptada y las persiste en </w:t>
      </w:r>
      <w:r>
        <w:t>repos/ner-llm-entity-benchmark/results/ROBUSTEZ_ESTADISTICA_20260909_FIX/robustez.json</w:t>
      </w:r>
      <w:r>
        <w:t xml:space="preserve">. El coeficiente de </w:t>
      </w:r>
      <w:r>
        <w:rPr>
          <w:b/>
        </w:rPr>
        <w:t>Pearson</w:t>
      </w:r>
      <w:r>
        <w:t xml:space="preserve"> [40] mide la asociación lineal entre las dos variables y es sensible a los valores atípicos; el de </w:t>
      </w:r>
      <w:r>
        <w:rPr>
          <w:b/>
        </w:rPr>
        <w:t>Spearman</w:t>
      </w:r>
      <w:r>
        <w:t xml:space="preserve"> [41], calculado sobre sus rangos y no sobre los valores, capta cualquier relación monótona sin asumir linealidad, a costa de ignorar la magnitud de la asociación. Ninguno de los dos alcanza el 5 % de significancia sobre los trece modelos.</w:t>
      </w:r>
    </w:p>
    <w:p>
      <w:pPr>
        <w:numPr>
          <w:ilvl w:val="0"/>
          <w:numId w:val="0"/>
        </w:numPr>
        <w:pStyle w:val="Normal"/>
      </w:pPr>
      <w:r>
        <w:t xml:space="preserve">La Tabla 16 recalcula ambos coeficientes retirando, uno a la vez, cada uno de los trece modelos de la muestra, para identificar cuánto depende el resultado de un único caso. Solo la ausencia de </w:t>
      </w:r>
      <w:r>
        <w:t>nemotron-mini:4b</w:t>
      </w:r>
      <w:r>
        <w:t xml:space="preserve"> cambia el signo del coeficiente de Pearson (a +0,0120, sin significancia); las otras doce retiradas lo dejan entre −0,47 y −0,62, con el mismo signo que sobre la muestra completa. La significancia, sin embargo, es más frágil que el signo: retirar </w:t>
      </w:r>
      <w:r>
        <w:t>deepseek-r1:1.5b</w:t>
      </w:r>
      <w:r>
        <w:t xml:space="preserve"> (p=0,0333) o </w:t>
      </w:r>
      <w:r>
        <w:t>mistral-nemo:latest</w:t>
      </w:r>
      <w:r>
        <w:t xml:space="preserve"> (p=0,0404) también cruza el umbral del 5 %, frente al p=0,0956 de la muestra completa.</w:t>
      </w:r>
    </w:p>
    <w:p>
      <w:pPr>
        <w:numPr>
          <w:ilvl w:val="0"/>
          <w:numId w:val="0"/>
        </w:numPr>
        <w:pStyle w:val="tablecaption"/>
      </w:pPr>
      <w:r>
        <w:t>Tabla 16. Sensibilidad de la correlación capacidad-beneficio a la retirada de cada modelo (N=12 restantes por fila)</w:t>
      </w:r>
    </w:p>
    <w:tbl>
      <w:tblPr>
        <w:tblStyle w:val="Table"/>
        <w:tblW w:type="dxa" w:w="8838"/>
        <w:tblLayout w:type="fixed"/>
        <w:tblLook w:firstRow="1" w:lastRow="0" w:firstColumn="0" w:lastColumn="0" w:noHBand="0" w:noVBand="0" w:val="0020"/>
      </w:tblPr>
      <w:tblGrid>
        <w:gridCol w:w="3572"/>
        <w:gridCol w:w="1692"/>
        <w:gridCol w:w="1692"/>
        <w:gridCol w:w="1882"/>
      </w:tblGrid>
      <w:tr>
        <w:trPr>
          <w:tblHeader w:val="on"/>
        </w:trPr>
        <w:tc>
          <w:tcPr>
            <w:tcW w:type="dxa" w:w="3572"/>
          </w:tcPr>
          <w:p>
            <w:pPr>
              <w:pStyle w:val="Compact"/>
              <w:jc w:val="left"/>
            </w:pPr>
            <w:r>
              <w:rPr>
                <w:b/>
              </w:rPr>
              <w:t>Modelo retirado</w:t>
            </w:r>
          </w:p>
        </w:tc>
        <w:tc>
          <w:tcPr>
            <w:tcW w:type="dxa" w:w="1692"/>
          </w:tcPr>
          <w:p>
            <w:pPr>
              <w:pStyle w:val="Compact"/>
              <w:jc w:val="left"/>
            </w:pPr>
            <w:r>
              <w:rPr>
                <w:b/>
              </w:rPr>
              <w:t>Pearson r</w:t>
            </w:r>
          </w:p>
        </w:tc>
        <w:tc>
          <w:tcPr>
            <w:tcW w:type="dxa" w:w="1692"/>
          </w:tcPr>
          <w:p>
            <w:pPr>
              <w:pStyle w:val="Compact"/>
              <w:jc w:val="left"/>
            </w:pPr>
            <w:r>
              <w:rPr>
                <w:b/>
              </w:rPr>
              <w:t>Pearson p</w:t>
            </w:r>
          </w:p>
        </w:tc>
        <w:tc>
          <w:tcPr>
            <w:tcW w:type="dxa" w:w="1882"/>
          </w:tcPr>
          <w:p>
            <w:pPr>
              <w:pStyle w:val="Compact"/>
              <w:jc w:val="center"/>
            </w:pPr>
            <w:r>
              <w:rPr>
                <w:b/>
              </w:rPr>
              <w:t>Spearman ρ</w:t>
            </w:r>
          </w:p>
        </w:tc>
      </w:tr>
      <w:tr>
        <w:tc>
          <w:tcPr>
            <w:tcW w:type="dxa" w:w="3572"/>
          </w:tcPr>
          <w:p>
            <w:pPr>
              <w:pStyle w:val="Compact"/>
              <w:jc w:val="left"/>
            </w:pPr>
            <w:r>
              <w:rPr>
                <w:b w:val="0"/>
              </w:rPr>
              <w:t>deepseek-r1:1.5b</w:t>
            </w:r>
          </w:p>
        </w:tc>
        <w:tc>
          <w:tcPr>
            <w:tcW w:type="dxa" w:w="1692"/>
          </w:tcPr>
          <w:p>
            <w:pPr>
              <w:pStyle w:val="Compact"/>
              <w:jc w:val="left"/>
            </w:pPr>
            <w:r>
              <w:rPr>
                <w:b w:val="0"/>
              </w:rPr>
              <w:t>−0,6151</w:t>
            </w:r>
          </w:p>
        </w:tc>
        <w:tc>
          <w:tcPr>
            <w:tcW w:type="dxa" w:w="1692"/>
          </w:tcPr>
          <w:p>
            <w:pPr>
              <w:pStyle w:val="Compact"/>
              <w:jc w:val="left"/>
            </w:pPr>
            <w:r>
              <w:rPr>
                <w:b w:val="0"/>
              </w:rPr>
              <w:t>0,0333</w:t>
            </w:r>
          </w:p>
        </w:tc>
        <w:tc>
          <w:tcPr>
            <w:tcW w:type="dxa" w:w="1882"/>
          </w:tcPr>
          <w:p>
            <w:pPr>
              <w:pStyle w:val="Compact"/>
              <w:jc w:val="center"/>
            </w:pPr>
            <w:r>
              <w:rPr>
                <w:b w:val="0"/>
              </w:rPr>
              <w:t>−0,0070</w:t>
            </w:r>
          </w:p>
        </w:tc>
      </w:tr>
      <w:tr>
        <w:tc>
          <w:tcPr>
            <w:tcW w:type="dxa" w:w="3572"/>
          </w:tcPr>
          <w:p>
            <w:pPr>
              <w:pStyle w:val="Compact"/>
              <w:jc w:val="left"/>
            </w:pPr>
            <w:r>
              <w:rPr>
                <w:b w:val="0"/>
              </w:rPr>
              <w:t>gemma4:12b-mlx</w:t>
            </w:r>
          </w:p>
        </w:tc>
        <w:tc>
          <w:tcPr>
            <w:tcW w:type="dxa" w:w="1692"/>
          </w:tcPr>
          <w:p>
            <w:pPr>
              <w:pStyle w:val="Compact"/>
              <w:jc w:val="left"/>
            </w:pPr>
            <w:r>
              <w:rPr>
                <w:b w:val="0"/>
              </w:rPr>
              <w:t>−0,4964</w:t>
            </w:r>
          </w:p>
        </w:tc>
        <w:tc>
          <w:tcPr>
            <w:tcW w:type="dxa" w:w="1692"/>
          </w:tcPr>
          <w:p>
            <w:pPr>
              <w:pStyle w:val="Compact"/>
              <w:jc w:val="left"/>
            </w:pPr>
            <w:r>
              <w:rPr>
                <w:b w:val="0"/>
              </w:rPr>
              <w:t>0,1006</w:t>
            </w:r>
          </w:p>
        </w:tc>
        <w:tc>
          <w:tcPr>
            <w:tcW w:type="dxa" w:w="1882"/>
          </w:tcPr>
          <w:p>
            <w:pPr>
              <w:pStyle w:val="Compact"/>
              <w:jc w:val="center"/>
            </w:pPr>
            <w:r>
              <w:rPr>
                <w:b w:val="0"/>
              </w:rPr>
              <w:t>−0,1259</w:t>
            </w:r>
          </w:p>
        </w:tc>
      </w:tr>
      <w:tr>
        <w:tc>
          <w:tcPr>
            <w:tcW w:type="dxa" w:w="3572"/>
          </w:tcPr>
          <w:p>
            <w:pPr>
              <w:pStyle w:val="Compact"/>
              <w:jc w:val="left"/>
            </w:pPr>
            <w:r>
              <w:rPr>
                <w:b w:val="0"/>
              </w:rPr>
              <w:t>gemma4:31b-cloud</w:t>
            </w:r>
          </w:p>
        </w:tc>
        <w:tc>
          <w:tcPr>
            <w:tcW w:type="dxa" w:w="1692"/>
          </w:tcPr>
          <w:p>
            <w:pPr>
              <w:pStyle w:val="Compact"/>
              <w:jc w:val="left"/>
            </w:pPr>
            <w:r>
              <w:rPr>
                <w:b w:val="0"/>
              </w:rPr>
              <w:t>−0,4746</w:t>
            </w:r>
          </w:p>
        </w:tc>
        <w:tc>
          <w:tcPr>
            <w:tcW w:type="dxa" w:w="1692"/>
          </w:tcPr>
          <w:p>
            <w:pPr>
              <w:pStyle w:val="Compact"/>
              <w:jc w:val="left"/>
            </w:pPr>
            <w:r>
              <w:rPr>
                <w:b w:val="0"/>
              </w:rPr>
              <w:t>0,1190</w:t>
            </w:r>
          </w:p>
        </w:tc>
        <w:tc>
          <w:tcPr>
            <w:tcW w:type="dxa" w:w="1882"/>
          </w:tcPr>
          <w:p>
            <w:pPr>
              <w:pStyle w:val="Compact"/>
              <w:jc w:val="center"/>
            </w:pPr>
            <w:r>
              <w:rPr>
                <w:b w:val="0"/>
              </w:rPr>
              <w:t>−0,0559</w:t>
            </w:r>
          </w:p>
        </w:tc>
      </w:tr>
      <w:tr>
        <w:tc>
          <w:tcPr>
            <w:tcW w:type="dxa" w:w="3572"/>
          </w:tcPr>
          <w:p>
            <w:pPr>
              <w:pStyle w:val="Compact"/>
              <w:jc w:val="left"/>
            </w:pPr>
            <w:r>
              <w:rPr>
                <w:b w:val="0"/>
              </w:rPr>
              <w:t>gemma4:31b-mlx</w:t>
            </w:r>
          </w:p>
        </w:tc>
        <w:tc>
          <w:tcPr>
            <w:tcW w:type="dxa" w:w="1692"/>
          </w:tcPr>
          <w:p>
            <w:pPr>
              <w:pStyle w:val="Compact"/>
              <w:jc w:val="left"/>
            </w:pPr>
            <w:r>
              <w:rPr>
                <w:b w:val="0"/>
              </w:rPr>
              <w:t>−0,4773</w:t>
            </w:r>
          </w:p>
        </w:tc>
        <w:tc>
          <w:tcPr>
            <w:tcW w:type="dxa" w:w="1692"/>
          </w:tcPr>
          <w:p>
            <w:pPr>
              <w:pStyle w:val="Compact"/>
              <w:jc w:val="left"/>
            </w:pPr>
            <w:r>
              <w:rPr>
                <w:b w:val="0"/>
              </w:rPr>
              <w:t>0,1166</w:t>
            </w:r>
          </w:p>
        </w:tc>
        <w:tc>
          <w:tcPr>
            <w:tcW w:type="dxa" w:w="1882"/>
          </w:tcPr>
          <w:p>
            <w:pPr>
              <w:pStyle w:val="Compact"/>
              <w:jc w:val="center"/>
            </w:pPr>
            <w:r>
              <w:rPr>
                <w:b w:val="0"/>
              </w:rPr>
              <w:t>−0,0559</w:t>
            </w:r>
          </w:p>
        </w:tc>
      </w:tr>
      <w:tr>
        <w:tc>
          <w:tcPr>
            <w:tcW w:type="dxa" w:w="3572"/>
          </w:tcPr>
          <w:p>
            <w:pPr>
              <w:pStyle w:val="Compact"/>
              <w:jc w:val="left"/>
            </w:pPr>
            <w:r>
              <w:rPr>
                <w:b w:val="0"/>
              </w:rPr>
              <w:t>gemma4:latest</w:t>
            </w:r>
          </w:p>
        </w:tc>
        <w:tc>
          <w:tcPr>
            <w:tcW w:type="dxa" w:w="1692"/>
          </w:tcPr>
          <w:p>
            <w:pPr>
              <w:pStyle w:val="Compact"/>
              <w:jc w:val="left"/>
            </w:pPr>
            <w:r>
              <w:rPr>
                <w:b w:val="0"/>
              </w:rPr>
              <w:t>−0,4955</w:t>
            </w:r>
          </w:p>
        </w:tc>
        <w:tc>
          <w:tcPr>
            <w:tcW w:type="dxa" w:w="1692"/>
          </w:tcPr>
          <w:p>
            <w:pPr>
              <w:pStyle w:val="Compact"/>
              <w:jc w:val="left"/>
            </w:pPr>
            <w:r>
              <w:rPr>
                <w:b w:val="0"/>
              </w:rPr>
              <w:t>0,1014</w:t>
            </w:r>
          </w:p>
        </w:tc>
        <w:tc>
          <w:tcPr>
            <w:tcW w:type="dxa" w:w="1882"/>
          </w:tcPr>
          <w:p>
            <w:pPr>
              <w:pStyle w:val="Compact"/>
              <w:jc w:val="center"/>
            </w:pPr>
            <w:r>
              <w:rPr>
                <w:b w:val="0"/>
              </w:rPr>
              <w:t>−0,1259</w:t>
            </w:r>
          </w:p>
        </w:tc>
      </w:tr>
      <w:tr>
        <w:tc>
          <w:tcPr>
            <w:tcW w:type="dxa" w:w="3572"/>
          </w:tcPr>
          <w:p>
            <w:pPr>
              <w:pStyle w:val="Compact"/>
              <w:jc w:val="left"/>
            </w:pPr>
            <w:r>
              <w:rPr>
                <w:b w:val="0"/>
              </w:rPr>
              <w:t>gemma:latest</w:t>
            </w:r>
          </w:p>
        </w:tc>
        <w:tc>
          <w:tcPr>
            <w:tcW w:type="dxa" w:w="1692"/>
          </w:tcPr>
          <w:p>
            <w:pPr>
              <w:pStyle w:val="Compact"/>
              <w:jc w:val="left"/>
            </w:pPr>
            <w:r>
              <w:rPr>
                <w:b w:val="0"/>
              </w:rPr>
              <w:t>−0,5047</w:t>
            </w:r>
          </w:p>
        </w:tc>
        <w:tc>
          <w:tcPr>
            <w:tcW w:type="dxa" w:w="1692"/>
          </w:tcPr>
          <w:p>
            <w:pPr>
              <w:pStyle w:val="Compact"/>
              <w:jc w:val="left"/>
            </w:pPr>
            <w:r>
              <w:rPr>
                <w:b w:val="0"/>
              </w:rPr>
              <w:t>0,0942</w:t>
            </w:r>
          </w:p>
        </w:tc>
        <w:tc>
          <w:tcPr>
            <w:tcW w:type="dxa" w:w="1882"/>
          </w:tcPr>
          <w:p>
            <w:pPr>
              <w:pStyle w:val="Compact"/>
              <w:jc w:val="center"/>
            </w:pPr>
            <w:r>
              <w:rPr>
                <w:b w:val="0"/>
              </w:rPr>
              <w:t>−0,2238</w:t>
            </w:r>
          </w:p>
        </w:tc>
      </w:tr>
      <w:tr>
        <w:tc>
          <w:tcPr>
            <w:tcW w:type="dxa" w:w="3572"/>
          </w:tcPr>
          <w:p>
            <w:pPr>
              <w:pStyle w:val="Compact"/>
              <w:jc w:val="left"/>
            </w:pPr>
            <w:r>
              <w:rPr>
                <w:b w:val="0"/>
              </w:rPr>
              <w:t>gpt-oss:20b</w:t>
            </w:r>
          </w:p>
        </w:tc>
        <w:tc>
          <w:tcPr>
            <w:tcW w:type="dxa" w:w="1692"/>
          </w:tcPr>
          <w:p>
            <w:pPr>
              <w:pStyle w:val="Compact"/>
              <w:jc w:val="left"/>
            </w:pPr>
            <w:r>
              <w:rPr>
                <w:b w:val="0"/>
              </w:rPr>
              <w:t>−0,4832</w:t>
            </w:r>
          </w:p>
        </w:tc>
        <w:tc>
          <w:tcPr>
            <w:tcW w:type="dxa" w:w="1692"/>
          </w:tcPr>
          <w:p>
            <w:pPr>
              <w:pStyle w:val="Compact"/>
              <w:jc w:val="left"/>
            </w:pPr>
            <w:r>
              <w:rPr>
                <w:b w:val="0"/>
              </w:rPr>
              <w:t>0,1115</w:t>
            </w:r>
          </w:p>
        </w:tc>
        <w:tc>
          <w:tcPr>
            <w:tcW w:type="dxa" w:w="1882"/>
          </w:tcPr>
          <w:p>
            <w:pPr>
              <w:pStyle w:val="Compact"/>
              <w:jc w:val="center"/>
            </w:pPr>
            <w:r>
              <w:rPr>
                <w:b w:val="0"/>
              </w:rPr>
              <w:t>−0,0699</w:t>
            </w:r>
          </w:p>
        </w:tc>
      </w:tr>
      <w:tr>
        <w:tc>
          <w:tcPr>
            <w:tcW w:type="dxa" w:w="3572"/>
          </w:tcPr>
          <w:p>
            <w:pPr>
              <w:pStyle w:val="Compact"/>
              <w:jc w:val="left"/>
            </w:pPr>
            <w:r>
              <w:rPr>
                <w:b w:val="0"/>
              </w:rPr>
              <w:t>llama3.1:8b</w:t>
            </w:r>
          </w:p>
        </w:tc>
        <w:tc>
          <w:tcPr>
            <w:tcW w:type="dxa" w:w="1692"/>
          </w:tcPr>
          <w:p>
            <w:pPr>
              <w:pStyle w:val="Compact"/>
              <w:jc w:val="left"/>
            </w:pPr>
            <w:r>
              <w:rPr>
                <w:b w:val="0"/>
              </w:rPr>
              <w:t>−0,4840</w:t>
            </w:r>
          </w:p>
        </w:tc>
        <w:tc>
          <w:tcPr>
            <w:tcW w:type="dxa" w:w="1692"/>
          </w:tcPr>
          <w:p>
            <w:pPr>
              <w:pStyle w:val="Compact"/>
              <w:jc w:val="left"/>
            </w:pPr>
            <w:r>
              <w:rPr>
                <w:b w:val="0"/>
              </w:rPr>
              <w:t>0,1108</w:t>
            </w:r>
          </w:p>
        </w:tc>
        <w:tc>
          <w:tcPr>
            <w:tcW w:type="dxa" w:w="1882"/>
          </w:tcPr>
          <w:p>
            <w:pPr>
              <w:pStyle w:val="Compact"/>
              <w:jc w:val="center"/>
            </w:pPr>
            <w:r>
              <w:rPr>
                <w:b w:val="0"/>
              </w:rPr>
              <w:t>−0,0839</w:t>
            </w:r>
          </w:p>
        </w:tc>
      </w:tr>
      <w:tr>
        <w:tc>
          <w:tcPr>
            <w:tcW w:type="dxa" w:w="3572"/>
          </w:tcPr>
          <w:p>
            <w:pPr>
              <w:pStyle w:val="Compact"/>
              <w:jc w:val="left"/>
            </w:pPr>
            <w:r>
              <w:rPr>
                <w:b w:val="0"/>
              </w:rPr>
              <w:t>llama3.2:latest</w:t>
            </w:r>
          </w:p>
        </w:tc>
        <w:tc>
          <w:tcPr>
            <w:tcW w:type="dxa" w:w="1692"/>
          </w:tcPr>
          <w:p>
            <w:pPr>
              <w:pStyle w:val="Compact"/>
              <w:jc w:val="left"/>
            </w:pPr>
            <w:r>
              <w:rPr>
                <w:b w:val="0"/>
              </w:rPr>
              <w:t>−0,5063</w:t>
            </w:r>
          </w:p>
        </w:tc>
        <w:tc>
          <w:tcPr>
            <w:tcW w:type="dxa" w:w="1692"/>
          </w:tcPr>
          <w:p>
            <w:pPr>
              <w:pStyle w:val="Compact"/>
              <w:jc w:val="left"/>
            </w:pPr>
            <w:r>
              <w:rPr>
                <w:b w:val="0"/>
              </w:rPr>
              <w:t>0,0930</w:t>
            </w:r>
          </w:p>
        </w:tc>
        <w:tc>
          <w:tcPr>
            <w:tcW w:type="dxa" w:w="1882"/>
          </w:tcPr>
          <w:p>
            <w:pPr>
              <w:pStyle w:val="Compact"/>
              <w:jc w:val="center"/>
            </w:pPr>
            <w:r>
              <w:rPr>
                <w:b w:val="0"/>
              </w:rPr>
              <w:t>−0,0070</w:t>
            </w:r>
          </w:p>
        </w:tc>
      </w:tr>
      <w:tr>
        <w:tc>
          <w:tcPr>
            <w:tcW w:type="dxa" w:w="3572"/>
          </w:tcPr>
          <w:p>
            <w:pPr>
              <w:pStyle w:val="Compact"/>
              <w:jc w:val="left"/>
            </w:pPr>
            <w:r>
              <w:rPr>
                <w:b w:val="0"/>
              </w:rPr>
              <w:t>mistral-nemo:latest</w:t>
            </w:r>
          </w:p>
        </w:tc>
        <w:tc>
          <w:tcPr>
            <w:tcW w:type="dxa" w:w="1692"/>
          </w:tcPr>
          <w:p>
            <w:pPr>
              <w:pStyle w:val="Compact"/>
              <w:jc w:val="left"/>
            </w:pPr>
            <w:r>
              <w:rPr>
                <w:b w:val="0"/>
              </w:rPr>
              <w:t>−0,5971</w:t>
            </w:r>
          </w:p>
        </w:tc>
        <w:tc>
          <w:tcPr>
            <w:tcW w:type="dxa" w:w="1692"/>
          </w:tcPr>
          <w:p>
            <w:pPr>
              <w:pStyle w:val="Compact"/>
              <w:jc w:val="left"/>
            </w:pPr>
            <w:r>
              <w:rPr>
                <w:b w:val="0"/>
              </w:rPr>
              <w:t>0,0404</w:t>
            </w:r>
          </w:p>
        </w:tc>
        <w:tc>
          <w:tcPr>
            <w:tcW w:type="dxa" w:w="1882"/>
          </w:tcPr>
          <w:p>
            <w:pPr>
              <w:pStyle w:val="Compact"/>
              <w:jc w:val="center"/>
            </w:pPr>
            <w:r>
              <w:rPr>
                <w:b w:val="0"/>
              </w:rPr>
              <w:t>−0,2378</w:t>
            </w:r>
          </w:p>
        </w:tc>
      </w:tr>
      <w:tr>
        <w:tc>
          <w:tcPr>
            <w:tcW w:type="dxa" w:w="3572"/>
          </w:tcPr>
          <w:p>
            <w:pPr>
              <w:pStyle w:val="Compact"/>
              <w:jc w:val="left"/>
            </w:pPr>
            <w:r>
              <w:rPr>
                <w:b/>
              </w:rPr>
              <w:t>nemotron-mini:4b</w:t>
            </w:r>
          </w:p>
        </w:tc>
        <w:tc>
          <w:tcPr>
            <w:tcW w:type="dxa" w:w="1692"/>
          </w:tcPr>
          <w:p>
            <w:pPr>
              <w:pStyle w:val="Compact"/>
              <w:jc w:val="left"/>
            </w:pPr>
            <w:r>
              <w:rPr>
                <w:b/>
              </w:rPr>
              <w:t>+0,0120</w:t>
            </w:r>
          </w:p>
        </w:tc>
        <w:tc>
          <w:tcPr>
            <w:tcW w:type="dxa" w:w="1692"/>
          </w:tcPr>
          <w:p>
            <w:pPr>
              <w:pStyle w:val="Compact"/>
              <w:jc w:val="left"/>
            </w:pPr>
            <w:r>
              <w:rPr>
                <w:b/>
              </w:rPr>
              <w:t>0,9706</w:t>
            </w:r>
          </w:p>
        </w:tc>
        <w:tc>
          <w:tcPr>
            <w:tcW w:type="dxa" w:w="1882"/>
          </w:tcPr>
          <w:p>
            <w:pPr>
              <w:pStyle w:val="Compact"/>
              <w:jc w:val="center"/>
            </w:pPr>
            <w:r>
              <w:rPr>
                <w:b/>
              </w:rPr>
              <w:t>+0,1608</w:t>
            </w:r>
          </w:p>
        </w:tc>
      </w:tr>
      <w:tr>
        <w:tc>
          <w:tcPr>
            <w:tcW w:type="dxa" w:w="3572"/>
          </w:tcPr>
          <w:p>
            <w:pPr>
              <w:pStyle w:val="Compact"/>
              <w:jc w:val="left"/>
            </w:pPr>
            <w:r>
              <w:rPr>
                <w:b w:val="0"/>
              </w:rPr>
              <w:t>qwen2.5:14b</w:t>
            </w:r>
          </w:p>
        </w:tc>
        <w:tc>
          <w:tcPr>
            <w:tcW w:type="dxa" w:w="1692"/>
          </w:tcPr>
          <w:p>
            <w:pPr>
              <w:pStyle w:val="Compact"/>
              <w:jc w:val="left"/>
            </w:pPr>
            <w:r>
              <w:rPr>
                <w:b w:val="0"/>
              </w:rPr>
              <w:t>−0,4767</w:t>
            </w:r>
          </w:p>
        </w:tc>
        <w:tc>
          <w:tcPr>
            <w:tcW w:type="dxa" w:w="1692"/>
          </w:tcPr>
          <w:p>
            <w:pPr>
              <w:pStyle w:val="Compact"/>
              <w:jc w:val="left"/>
            </w:pPr>
            <w:r>
              <w:rPr>
                <w:b w:val="0"/>
              </w:rPr>
              <w:t>0,1171</w:t>
            </w:r>
          </w:p>
        </w:tc>
        <w:tc>
          <w:tcPr>
            <w:tcW w:type="dxa" w:w="1882"/>
          </w:tcPr>
          <w:p>
            <w:pPr>
              <w:pStyle w:val="Compact"/>
              <w:jc w:val="center"/>
            </w:pPr>
            <w:r>
              <w:rPr>
                <w:b w:val="0"/>
              </w:rPr>
              <w:t>−0,1469</w:t>
            </w:r>
          </w:p>
        </w:tc>
      </w:tr>
      <w:tr>
        <w:tc>
          <w:tcPr>
            <w:tcW w:type="dxa" w:w="3572"/>
          </w:tcPr>
          <w:p>
            <w:pPr>
              <w:pStyle w:val="Compact"/>
              <w:jc w:val="left"/>
            </w:pPr>
            <w:r>
              <w:rPr>
                <w:b w:val="0"/>
              </w:rPr>
              <w:t>qwen3:8b</w:t>
            </w:r>
          </w:p>
        </w:tc>
        <w:tc>
          <w:tcPr>
            <w:tcW w:type="dxa" w:w="1692"/>
          </w:tcPr>
          <w:p>
            <w:pPr>
              <w:pStyle w:val="Compact"/>
              <w:jc w:val="left"/>
            </w:pPr>
            <w:r>
              <w:rPr>
                <w:b w:val="0"/>
              </w:rPr>
              <w:t>−0,4771</w:t>
            </w:r>
          </w:p>
        </w:tc>
        <w:tc>
          <w:tcPr>
            <w:tcW w:type="dxa" w:w="1692"/>
          </w:tcPr>
          <w:p>
            <w:pPr>
              <w:pStyle w:val="Compact"/>
              <w:jc w:val="left"/>
            </w:pPr>
            <w:r>
              <w:rPr>
                <w:b w:val="0"/>
              </w:rPr>
              <w:t>0,1168</w:t>
            </w:r>
          </w:p>
        </w:tc>
        <w:tc>
          <w:tcPr>
            <w:tcW w:type="dxa" w:w="1882"/>
          </w:tcPr>
          <w:p>
            <w:pPr>
              <w:pStyle w:val="Compact"/>
              <w:jc w:val="center"/>
            </w:pPr>
            <w:r>
              <w:rPr>
                <w:b w:val="0"/>
              </w:rPr>
              <w:t>−0,1678</w:t>
            </w:r>
          </w:p>
        </w:tc>
      </w:tr>
    </w:tbl>
    <w:p>
      <w:pPr>
        <w:numPr>
          <w:ilvl w:val="0"/>
          <w:numId w:val="0"/>
        </w:numPr>
        <w:pStyle w:val="Normal"/>
      </w:pPr>
      <w:r>
        <w:t>El detalle íntegro, con más decimales, está en el propio artefacto JSON citado al inicio de este anexo.</w:t>
      </w:r>
    </w:p>
    <w:p>
      <w:pPr>
        <w:numPr>
          <w:ilvl w:val="0"/>
          <w:numId w:val="0"/>
        </w:numPr>
        <w:pStyle w:val="heading2"/>
      </w:pPr>
      <w:r>
        <w:t>Anexo K — Intervalo de confianza de la Tabla 7 por réplica de semilla (N=120, cinco semillas)</w:t>
      </w:r>
    </w:p>
    <w:p>
      <w:pPr>
        <w:numPr>
          <w:ilvl w:val="0"/>
          <w:numId w:val="0"/>
        </w:numPr>
        <w:pStyle w:val="p1a"/>
      </w:pPr>
      <w:r>
        <w:t>La Tabla 7 (§5.3.1) reporta un único punto por modelo, tomado de una corrida (</w:t>
      </w:r>
      <w:r>
        <w:t>recorrida_20260908</w:t>
      </w:r>
      <w:r>
        <w:t xml:space="preserve">, consolidada en </w:t>
      </w:r>
      <w:r>
        <w:t>results/ANALISIS_CONJUNTO_20260909_FIX/</w:t>
      </w:r>
      <w:r>
        <w:t xml:space="preserve">). Para acotar cuánto varía ese punto por el azar de la generación, se replicó el mismo protocolo sobre cinco semillas declaradas (42, 123, 456, 789, 1024) en once de los trece modelos de la Tabla 7, con 2 640 evaluaciones por semilla (13 200 en total, 0 fallidas), en </w:t>
      </w:r>
      <w:r>
        <w:t>repos/ner-llm-entity-benchmark/results/barras_error_n120_REMOTO/</w:t>
      </w:r>
      <w:r>
        <w:t xml:space="preserve">. Quedan fuera de esta réplica </w:t>
      </w:r>
      <w:r>
        <w:t>qwen2.5:14b</w:t>
      </w:r>
      <w:r>
        <w:t xml:space="preserve"> y </w:t>
      </w:r>
      <w:r>
        <w:t>gemma:latest</w:t>
      </w:r>
      <w:r>
        <w:t>, que no formaron parte de la corrida de barra de error.</w:t>
      </w:r>
    </w:p>
    <w:p>
      <w:pPr>
        <w:numPr>
          <w:ilvl w:val="0"/>
          <w:numId w:val="0"/>
        </w:numPr>
        <w:pStyle w:val="Normal"/>
      </w:pPr>
      <w:r>
        <w:t xml:space="preserve">El cálculo, en </w:t>
      </w:r>
      <w:r>
        <w:t>results/R2_CONSOLIDADO_5SEMILLAS_20260916/calcular_intervalos_confianza.py</w:t>
      </w:r>
      <w:r>
        <w:t xml:space="preserve">, promedia el F1 por artículo dentro de cada semilla sobre los mismos 113 artículos que usa la Tabla 17 (se excluyen los siete que contaminan el conjunto de prueba como ejemplares </w:t>
      </w:r>
      <w:r>
        <w:rPr>
          <w:i/>
        </w:rPr>
        <w:t>few-shot</w:t>
      </w:r>
      <w:r>
        <w:t xml:space="preserve">, Anexo D), y calcula el intervalo de confianza al 95 % con distribución t de Student sobre las cinco medias resultantes. Antes de aplicarlo a los once modelos se verificó que reproduce exactamente el punto ya publicado: la media de la semilla 42 para </w:t>
      </w:r>
      <w:r>
        <w:t>gemma4:31b-mlx</w:t>
      </w:r>
      <w:r>
        <w:t xml:space="preserve"> da 81,47 %, idéntica a la cifra de la Tabla 17.</w:t>
      </w:r>
    </w:p>
    <w:p>
      <w:pPr>
        <w:numPr>
          <w:ilvl w:val="0"/>
          <w:numId w:val="0"/>
        </w:numPr>
        <w:pStyle w:val="Normal"/>
      </w:pPr>
      <w:r>
        <w:t xml:space="preserve">El cálculo parte del CSV de resultados por artículo, no del resumen agregado que trae cada corrida: el de </w:t>
      </w:r>
      <w:r>
        <w:t>gemma4:31b-cloud</w:t>
      </w:r>
      <w:r>
        <w:t xml:space="preserve"> no se pudo usar directamente porque no reflejaba sus propios datos crudos en ninguna de las cinco semillas, un desajuste que no afecta al resto de los modelos ni a la fuente primaria por artículo.</w:t>
      </w:r>
    </w:p>
    <w:p>
      <w:pPr>
        <w:numPr>
          <w:ilvl w:val="0"/>
          <w:numId w:val="0"/>
        </w:numPr>
        <w:pStyle w:val="Normal"/>
      </w:pPr>
      <w:r>
        <w:t>La Tabla 17 recoge, para cada uno de los once modelos, la media y el intervalo de confianza al 95 % del F1 sobre las cinco semillas, en modo baseline y KB RAG.</w:t>
      </w:r>
    </w:p>
    <w:p>
      <w:pPr>
        <w:numPr>
          <w:ilvl w:val="0"/>
          <w:numId w:val="0"/>
        </w:numPr>
        <w:pStyle w:val="tablecaption"/>
      </w:pPr>
      <w:r>
        <w:t>Tabla 17. Media e intervalo de confianza al 95 % del F1 sobre cinco semillas (N=120, once modelos)</w:t>
      </w:r>
    </w:p>
    <w:tbl>
      <w:tblPr>
        <w:tblStyle w:val="Table"/>
        <w:tblW w:type="dxa" w:w="8838"/>
        <w:tblLayout w:type="fixed"/>
        <w:tblLook w:firstRow="1" w:lastRow="0" w:firstColumn="0" w:lastColumn="0" w:noHBand="0" w:noVBand="0" w:val="0020"/>
      </w:tblPr>
      <w:tblGrid>
        <w:gridCol w:w="2433"/>
        <w:gridCol w:w="3330"/>
        <w:gridCol w:w="3075"/>
      </w:tblGrid>
      <w:tr>
        <w:trPr>
          <w:tblHeader w:val="on"/>
        </w:trPr>
        <w:tc>
          <w:tcPr>
            <w:tcW w:type="dxa" w:w="2433"/>
          </w:tcPr>
          <w:p>
            <w:pPr>
              <w:pStyle w:val="Compact"/>
              <w:jc w:val="left"/>
            </w:pPr>
            <w:r>
              <w:rPr>
                <w:b/>
              </w:rPr>
              <w:t>Modelo</w:t>
            </w:r>
          </w:p>
        </w:tc>
        <w:tc>
          <w:tcPr>
            <w:tcW w:type="dxa" w:w="3330"/>
          </w:tcPr>
          <w:p>
            <w:pPr>
              <w:pStyle w:val="Compact"/>
              <w:jc w:val="left"/>
            </w:pPr>
            <w:r>
              <w:rPr>
                <w:b/>
              </w:rPr>
              <w:t>F1 baseline (media, IC95%)</w:t>
            </w:r>
          </w:p>
        </w:tc>
        <w:tc>
          <w:tcPr>
            <w:tcW w:type="dxa" w:w="3075"/>
          </w:tcPr>
          <w:p>
            <w:pPr>
              <w:pStyle w:val="Compact"/>
              <w:jc w:val="left"/>
            </w:pPr>
            <w:r>
              <w:rPr>
                <w:b/>
              </w:rPr>
              <w:t>F1 KB RAG (media, IC95%)</w:t>
            </w:r>
          </w:p>
        </w:tc>
      </w:tr>
      <w:tr>
        <w:tc>
          <w:tcPr>
            <w:tcW w:type="dxa" w:w="2433"/>
          </w:tcPr>
          <w:p>
            <w:pPr>
              <w:pStyle w:val="Compact"/>
              <w:jc w:val="left"/>
            </w:pPr>
            <w:r>
              <w:rPr>
                <w:b w:val="0"/>
              </w:rPr>
              <w:t>gemma4:31b-cloud</w:t>
            </w:r>
          </w:p>
        </w:tc>
        <w:tc>
          <w:tcPr>
            <w:tcW w:type="dxa" w:w="3330"/>
          </w:tcPr>
          <w:p>
            <w:pPr>
              <w:pStyle w:val="Compact"/>
              <w:jc w:val="left"/>
            </w:pPr>
            <w:r>
              <w:rPr>
                <w:b w:val="0"/>
              </w:rPr>
              <w:t>81,87 % [81,58, 82,16]</w:t>
            </w:r>
          </w:p>
        </w:tc>
        <w:tc>
          <w:tcPr>
            <w:tcW w:type="dxa" w:w="3075"/>
          </w:tcPr>
          <w:p>
            <w:pPr>
              <w:pStyle w:val="Compact"/>
              <w:jc w:val="left"/>
            </w:pPr>
            <w:r>
              <w:rPr>
                <w:b w:val="0"/>
              </w:rPr>
              <w:t>82,97 % [82,79, 83,16]</w:t>
            </w:r>
          </w:p>
        </w:tc>
      </w:tr>
      <w:tr>
        <w:tc>
          <w:tcPr>
            <w:tcW w:type="dxa" w:w="2433"/>
          </w:tcPr>
          <w:p>
            <w:pPr>
              <w:pStyle w:val="Compact"/>
              <w:jc w:val="left"/>
            </w:pPr>
            <w:r>
              <w:rPr>
                <w:b w:val="0"/>
              </w:rPr>
              <w:t>gemma4:31b-mlx</w:t>
            </w:r>
          </w:p>
        </w:tc>
        <w:tc>
          <w:tcPr>
            <w:tcW w:type="dxa" w:w="3330"/>
          </w:tcPr>
          <w:p>
            <w:pPr>
              <w:pStyle w:val="Compact"/>
              <w:jc w:val="left"/>
            </w:pPr>
            <w:r>
              <w:rPr>
                <w:b w:val="0"/>
              </w:rPr>
              <w:t>81,56 % [81,45, 81,67]</w:t>
            </w:r>
          </w:p>
        </w:tc>
        <w:tc>
          <w:tcPr>
            <w:tcW w:type="dxa" w:w="3075"/>
          </w:tcPr>
          <w:p>
            <w:pPr>
              <w:pStyle w:val="Compact"/>
              <w:jc w:val="left"/>
            </w:pPr>
            <w:r>
              <w:rPr>
                <w:b w:val="0"/>
              </w:rPr>
              <w:t>82,49 % [82,42, 82,55]</w:t>
            </w:r>
          </w:p>
        </w:tc>
      </w:tr>
      <w:tr>
        <w:tc>
          <w:tcPr>
            <w:tcW w:type="dxa" w:w="2433"/>
          </w:tcPr>
          <w:p>
            <w:pPr>
              <w:pStyle w:val="Compact"/>
              <w:jc w:val="left"/>
            </w:pPr>
            <w:r>
              <w:rPr>
                <w:b w:val="0"/>
              </w:rPr>
              <w:t>gemma4:12b-mlx</w:t>
            </w:r>
          </w:p>
        </w:tc>
        <w:tc>
          <w:tcPr>
            <w:tcW w:type="dxa" w:w="3330"/>
          </w:tcPr>
          <w:p>
            <w:pPr>
              <w:pStyle w:val="Compact"/>
              <w:jc w:val="left"/>
            </w:pPr>
            <w:r>
              <w:rPr>
                <w:b w:val="0"/>
              </w:rPr>
              <w:t>77,96 % [77,80, 78,13]</w:t>
            </w:r>
          </w:p>
        </w:tc>
        <w:tc>
          <w:tcPr>
            <w:tcW w:type="dxa" w:w="3075"/>
          </w:tcPr>
          <w:p>
            <w:pPr>
              <w:pStyle w:val="Compact"/>
              <w:jc w:val="left"/>
            </w:pPr>
            <w:r>
              <w:rPr>
                <w:b w:val="0"/>
              </w:rPr>
              <w:t>79,84 % [79,77, 79,90]</w:t>
            </w:r>
          </w:p>
        </w:tc>
      </w:tr>
      <w:tr>
        <w:tc>
          <w:tcPr>
            <w:tcW w:type="dxa" w:w="2433"/>
          </w:tcPr>
          <w:p>
            <w:pPr>
              <w:pStyle w:val="Compact"/>
              <w:jc w:val="left"/>
            </w:pPr>
            <w:r>
              <w:rPr>
                <w:b w:val="0"/>
              </w:rPr>
              <w:t>gpt-oss:20b</w:t>
            </w:r>
          </w:p>
        </w:tc>
        <w:tc>
          <w:tcPr>
            <w:tcW w:type="dxa" w:w="3330"/>
          </w:tcPr>
          <w:p>
            <w:pPr>
              <w:pStyle w:val="Compact"/>
              <w:jc w:val="left"/>
            </w:pPr>
            <w:r>
              <w:rPr>
                <w:b w:val="0"/>
              </w:rPr>
              <w:t>75,50 % [74,46, 76,54]</w:t>
            </w:r>
          </w:p>
        </w:tc>
        <w:tc>
          <w:tcPr>
            <w:tcW w:type="dxa" w:w="3075"/>
          </w:tcPr>
          <w:p>
            <w:pPr>
              <w:pStyle w:val="Compact"/>
              <w:jc w:val="left"/>
            </w:pPr>
            <w:r>
              <w:rPr>
                <w:b w:val="0"/>
              </w:rPr>
              <w:t>77,46 % [77,11, 77,81]</w:t>
            </w:r>
          </w:p>
        </w:tc>
      </w:tr>
      <w:tr>
        <w:tc>
          <w:tcPr>
            <w:tcW w:type="dxa" w:w="2433"/>
          </w:tcPr>
          <w:p>
            <w:pPr>
              <w:pStyle w:val="Compact"/>
              <w:jc w:val="left"/>
            </w:pPr>
            <w:r>
              <w:rPr>
                <w:b w:val="0"/>
              </w:rPr>
              <w:t>gemma4:latest</w:t>
            </w:r>
          </w:p>
        </w:tc>
        <w:tc>
          <w:tcPr>
            <w:tcW w:type="dxa" w:w="3330"/>
          </w:tcPr>
          <w:p>
            <w:pPr>
              <w:pStyle w:val="Compact"/>
              <w:jc w:val="left"/>
            </w:pPr>
            <w:r>
              <w:rPr>
                <w:b w:val="0"/>
              </w:rPr>
              <w:t>75,13 % [74,51, 75,74]</w:t>
            </w:r>
          </w:p>
        </w:tc>
        <w:tc>
          <w:tcPr>
            <w:tcW w:type="dxa" w:w="3075"/>
          </w:tcPr>
          <w:p>
            <w:pPr>
              <w:pStyle w:val="Compact"/>
              <w:jc w:val="left"/>
            </w:pPr>
            <w:r>
              <w:rPr>
                <w:b w:val="0"/>
              </w:rPr>
              <w:t>77,98 % [77,44, 78,53]</w:t>
            </w:r>
          </w:p>
        </w:tc>
      </w:tr>
      <w:tr>
        <w:tc>
          <w:tcPr>
            <w:tcW w:type="dxa" w:w="2433"/>
          </w:tcPr>
          <w:p>
            <w:pPr>
              <w:pStyle w:val="Compact"/>
              <w:jc w:val="left"/>
            </w:pPr>
            <w:r>
              <w:rPr>
                <w:b w:val="0"/>
              </w:rPr>
              <w:t>llama3.1:8b</w:t>
            </w:r>
          </w:p>
        </w:tc>
        <w:tc>
          <w:tcPr>
            <w:tcW w:type="dxa" w:w="3330"/>
          </w:tcPr>
          <w:p>
            <w:pPr>
              <w:pStyle w:val="Compact"/>
              <w:jc w:val="left"/>
            </w:pPr>
            <w:r>
              <w:rPr>
                <w:b w:val="0"/>
              </w:rPr>
              <w:t>69,66 % [69,28, 70,04]</w:t>
            </w:r>
          </w:p>
        </w:tc>
        <w:tc>
          <w:tcPr>
            <w:tcW w:type="dxa" w:w="3075"/>
          </w:tcPr>
          <w:p>
            <w:pPr>
              <w:pStyle w:val="Compact"/>
              <w:jc w:val="left"/>
            </w:pPr>
            <w:r>
              <w:rPr>
                <w:b w:val="0"/>
              </w:rPr>
              <w:t>71,43 % [71,00, 71,86]</w:t>
            </w:r>
          </w:p>
        </w:tc>
      </w:tr>
      <w:tr>
        <w:tc>
          <w:tcPr>
            <w:tcW w:type="dxa" w:w="2433"/>
          </w:tcPr>
          <w:p>
            <w:pPr>
              <w:pStyle w:val="Compact"/>
              <w:jc w:val="left"/>
            </w:pPr>
            <w:r>
              <w:rPr>
                <w:b w:val="0"/>
              </w:rPr>
              <w:t>qwen3:8b</w:t>
            </w:r>
          </w:p>
        </w:tc>
        <w:tc>
          <w:tcPr>
            <w:tcW w:type="dxa" w:w="3330"/>
          </w:tcPr>
          <w:p>
            <w:pPr>
              <w:pStyle w:val="Compact"/>
              <w:jc w:val="left"/>
            </w:pPr>
            <w:r>
              <w:rPr>
                <w:b w:val="0"/>
              </w:rPr>
              <w:t>68,92 % [68,77, 69,08]</w:t>
            </w:r>
          </w:p>
        </w:tc>
        <w:tc>
          <w:tcPr>
            <w:tcW w:type="dxa" w:w="3075"/>
          </w:tcPr>
          <w:p>
            <w:pPr>
              <w:pStyle w:val="Compact"/>
              <w:jc w:val="left"/>
            </w:pPr>
            <w:r>
              <w:rPr>
                <w:b w:val="0"/>
              </w:rPr>
              <w:t>69,13 % [69,01, 69,25]</w:t>
            </w:r>
          </w:p>
        </w:tc>
      </w:tr>
      <w:tr>
        <w:tc>
          <w:tcPr>
            <w:tcW w:type="dxa" w:w="2433"/>
          </w:tcPr>
          <w:p>
            <w:pPr>
              <w:pStyle w:val="Compact"/>
              <w:jc w:val="left"/>
            </w:pPr>
            <w:r>
              <w:rPr>
                <w:b w:val="0"/>
              </w:rPr>
              <w:t>llama3.2:latest</w:t>
            </w:r>
          </w:p>
        </w:tc>
        <w:tc>
          <w:tcPr>
            <w:tcW w:type="dxa" w:w="3330"/>
          </w:tcPr>
          <w:p>
            <w:pPr>
              <w:pStyle w:val="Compact"/>
              <w:jc w:val="left"/>
            </w:pPr>
            <w:r>
              <w:rPr>
                <w:b w:val="0"/>
              </w:rPr>
              <w:t>62,46 % [61,63, 63,29]</w:t>
            </w:r>
          </w:p>
        </w:tc>
        <w:tc>
          <w:tcPr>
            <w:tcW w:type="dxa" w:w="3075"/>
          </w:tcPr>
          <w:p>
            <w:pPr>
              <w:pStyle w:val="Compact"/>
              <w:jc w:val="left"/>
            </w:pPr>
            <w:r>
              <w:rPr>
                <w:b w:val="0"/>
              </w:rPr>
              <w:t>69,67 % [69,39, 69,95]</w:t>
            </w:r>
          </w:p>
        </w:tc>
      </w:tr>
      <w:tr>
        <w:tc>
          <w:tcPr>
            <w:tcW w:type="dxa" w:w="2433"/>
          </w:tcPr>
          <w:p>
            <w:pPr>
              <w:pStyle w:val="Compact"/>
              <w:jc w:val="left"/>
            </w:pPr>
            <w:r>
              <w:rPr>
                <w:b w:val="0"/>
              </w:rPr>
              <w:t>mistral-nemo:latest</w:t>
            </w:r>
          </w:p>
        </w:tc>
        <w:tc>
          <w:tcPr>
            <w:tcW w:type="dxa" w:w="3330"/>
          </w:tcPr>
          <w:p>
            <w:pPr>
              <w:pStyle w:val="Compact"/>
              <w:jc w:val="left"/>
            </w:pPr>
            <w:r>
              <w:rPr>
                <w:b w:val="0"/>
              </w:rPr>
              <w:t>60,39 % [59,80, 60,97]</w:t>
            </w:r>
          </w:p>
        </w:tc>
        <w:tc>
          <w:tcPr>
            <w:tcW w:type="dxa" w:w="3075"/>
          </w:tcPr>
          <w:p>
            <w:pPr>
              <w:pStyle w:val="Compact"/>
              <w:jc w:val="left"/>
            </w:pPr>
            <w:r>
              <w:rPr>
                <w:b w:val="0"/>
              </w:rPr>
              <w:t>56,93 % [55,77, 58,10]</w:t>
            </w:r>
          </w:p>
        </w:tc>
      </w:tr>
      <w:tr>
        <w:tc>
          <w:tcPr>
            <w:tcW w:type="dxa" w:w="2433"/>
          </w:tcPr>
          <w:p>
            <w:pPr>
              <w:pStyle w:val="Compact"/>
              <w:jc w:val="left"/>
            </w:pPr>
            <w:r>
              <w:rPr>
                <w:b w:val="0"/>
              </w:rPr>
              <w:t>deepseek-r1:1.5b</w:t>
            </w:r>
          </w:p>
        </w:tc>
        <w:tc>
          <w:tcPr>
            <w:tcW w:type="dxa" w:w="3330"/>
          </w:tcPr>
          <w:p>
            <w:pPr>
              <w:pStyle w:val="Compact"/>
              <w:jc w:val="left"/>
            </w:pPr>
            <w:r>
              <w:rPr>
                <w:b w:val="0"/>
              </w:rPr>
              <w:t>29,18 % [28,13, 30,23]</w:t>
            </w:r>
          </w:p>
        </w:tc>
        <w:tc>
          <w:tcPr>
            <w:tcW w:type="dxa" w:w="3075"/>
          </w:tcPr>
          <w:p>
            <w:pPr>
              <w:pStyle w:val="Compact"/>
              <w:jc w:val="left"/>
            </w:pPr>
            <w:r>
              <w:rPr>
                <w:b w:val="0"/>
              </w:rPr>
              <w:t>31,99 % [30,92, 33,06]</w:t>
            </w:r>
          </w:p>
        </w:tc>
      </w:tr>
      <w:tr>
        <w:tc>
          <w:tcPr>
            <w:tcW w:type="dxa" w:w="2433"/>
          </w:tcPr>
          <w:p>
            <w:pPr>
              <w:pStyle w:val="Compact"/>
              <w:jc w:val="left"/>
            </w:pPr>
            <w:r>
              <w:rPr>
                <w:b w:val="0"/>
              </w:rPr>
              <w:t>nemotron-mini:4b</w:t>
            </w:r>
          </w:p>
        </w:tc>
        <w:tc>
          <w:tcPr>
            <w:tcW w:type="dxa" w:w="3330"/>
          </w:tcPr>
          <w:p>
            <w:pPr>
              <w:pStyle w:val="Compact"/>
              <w:jc w:val="left"/>
            </w:pPr>
            <w:r>
              <w:rPr>
                <w:b w:val="0"/>
              </w:rPr>
              <w:t>27,68 % [26,90, 28,46]</w:t>
            </w:r>
          </w:p>
        </w:tc>
        <w:tc>
          <w:tcPr>
            <w:tcW w:type="dxa" w:w="3075"/>
          </w:tcPr>
          <w:p>
            <w:pPr>
              <w:pStyle w:val="Compact"/>
              <w:jc w:val="left"/>
            </w:pPr>
            <w:r>
              <w:rPr>
                <w:b w:val="0"/>
              </w:rPr>
              <w:t>41,13 % [40,23, 42,02]</w:t>
            </w:r>
          </w:p>
        </w:tc>
      </w:tr>
    </w:tbl>
    <w:p>
      <w:pPr>
        <w:numPr>
          <w:ilvl w:val="0"/>
          <w:numId w:val="0"/>
        </w:numPr>
        <w:pStyle w:val="Normal"/>
      </w:pPr>
      <w:r>
        <w:t>De los veintidós puntos que reporta la Tabla 7 para estos once modelos (baseline y KB RAG), quince caen dentro de su intervalo de confianza de cinco semillas. Los siete restantes quedan fuera por un margen mínimo, entre 0,03 y 0,13 puntos porcentuales (</w:t>
      </w:r>
      <w:r>
        <w:t>gemma4:12b-mlx</w:t>
      </w:r>
      <w:r>
        <w:t xml:space="preserve"> en ambos modos, </w:t>
      </w:r>
      <w:r>
        <w:t>gpt-oss:20b</w:t>
      </w:r>
      <w:r>
        <w:t xml:space="preserve">, </w:t>
      </w:r>
      <w:r>
        <w:t>llama3.1:8b</w:t>
      </w:r>
      <w:r>
        <w:t xml:space="preserve">, </w:t>
      </w:r>
      <w:r>
        <w:t>qwen3:8b</w:t>
      </w:r>
      <w:r>
        <w:t xml:space="preserve">, </w:t>
      </w:r>
      <w:r>
        <w:t>llama3.2:latest</w:t>
      </w:r>
      <w:r>
        <w:t xml:space="preserve"> y </w:t>
      </w:r>
      <w:r>
        <w:t>deepseek-r1:1.5b</w:t>
      </w:r>
      <w:r>
        <w:t xml:space="preserve"> en uno de los dos), consistente con que la corrida publicada no comparte semilla con ninguna de las cinco de esta réplica salvo, aparentemente, en </w:t>
      </w:r>
      <w:r>
        <w:t>gemma4:31b-mlx</w:t>
      </w:r>
      <w:r>
        <w:t>. El resultado de conjunto es el mismo: ningún modelo se desvía de su franja de cinco semillas más allá de un margen menor al 0,15 % absoluto, y la cifra ya publicada en la Tabla 7 queda acotada, no cuestionada, por este intervalo de confianza.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