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del corpus periodístico, y 30 artículos en inglés del corpus del dominio AML/KYC;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sin replicar sobre el corpus mayor. El mejor modelo local alcanza 81,47 % de F1 sobre el corpus periodístico y 90,16 % sobre el corpus del dominio AML/KYC, preservando la confidencialidad.</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and 30 English articles from the AML/KYC domain corpus;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without replicating on the larger corpus. The best local model reaches 81.47 % F1 on the news corpus and 90.16 % on the AML/KYC domain corpus, preserving confidentiality.</w:t>
      </w:r>
    </w:p>
    <w:p>
      <w:pPr>
        <w:numPr>
          <w:ilvl w:val="0"/>
          <w:numId w:val="0"/>
        </w:numPr>
        <w:pStyle w:val="keywords"/>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 de los resultados</w:t>
      </w:r>
    </w:p>
    <w:p>
      <w:pPr>
        <w:numPr>
          <w:ilvl w:val="0"/>
          <w:numId w:val="0"/>
        </w:numPr>
        <w:pStyle w:val="numbereditem"/>
      </w:pPr>
      <w:r>
        <w:t>Conclusiones y trabajo futuro</w:t>
      </w:r>
    </w:p>
    <w:p>
      <w:pPr>
        <w:numPr>
          <w:ilvl w:val="0"/>
          <w:numId w:val="0"/>
        </w:numPr>
        <w:pStyle w:val="bulletitem"/>
      </w:pPr>
      <w:r>
        <w:t>Referencias</w:t>
      </w:r>
    </w:p>
    <w:p>
      <w:pPr>
        <w:numPr>
          <w:ilvl w:val="0"/>
          <w:numId w:val="0"/>
        </w:numPr>
        <w:pStyle w:val="bullet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numbereditem"/>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p1a"/>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dxa" w:w="8838"/>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registros con los que se tomaron las medidas de este informe anotaban únicamente las dos primeras: el campo de localizaciones estaba vacío en los ciento veinte. Conviene precisar dónde se pierde, porque no es donde parece: CoNLL-2002, que aporta 105 de los 120 artículos, </w:t>
      </w:r>
      <w:r>
        <w:rPr>
          <w:b/>
        </w:rPr>
        <w:t>sí anota localizaciones</w:t>
      </w:r>
      <w:r>
        <w:t xml:space="preserve"> —etiqueta cuatro tipos, personas, organizaciones, lugares y misceláneos—, y es el conversor del proyecto el que las descarta, al filtrar las etiquetas por </w:t>
      </w:r>
      <w:r>
        <w:t>["PER", "ORG"]</w:t>
      </w:r>
      <w:r>
        <w:t xml:space="preserve"> durante el análisis y escribir después la lista de localizaciones como constante vacía. El defecto es de la cadena de preparación de datos, no de la anotación de origen. Como el evaluador puntúa las tres categorías, toda localización que el modelo devuelve se contabiliza como falso positivo, sin que exista ninguna forma de acertar en ella. El efecto no era menor: sobre el consolidado publicado, el </w:t>
      </w:r>
      <w:r>
        <w:rPr>
          <w:b/>
        </w:rPr>
        <w:t>66,0 %</w:t>
      </w:r>
      <w:r>
        <w:t xml:space="preserve"> de los falsos positivos del estudio, 12 852 de 19 464, procedían de esa categoría, según recoge la Figura 1. La cifra cubre los veintiséis grupos del consolidado publicado y está desglosada por grupo en </w:t>
      </w:r>
      <w:r>
        <w:t>results/COMPOSICION_FP_20260908/</w:t>
      </w:r>
      <w:r>
        <w:t>; no describe la Tabla 7 vigente, que viene del consolidado adoptado en §5.3.1, donde el defecto ya está corregido.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restringida a las categorías que el corpus efectivamente anota, que se obtiene reagregando los desgloses por tipo ya almacenados y no requiere repetir la inferencia. Las cifras originales se conservan íntegras junto a ella, de modo que el lector pueda juzgar el alcance de la corrección; la Tabla del Anexo I recoge ambas para las cuarenta y dos configuraciones medidas sobre el corpus N=120. El defecto está corregido en el corpus desde el 8 de septiembre de 2026: recuperadas de CoNLL-2002 las localizaciones que su anotación ya traía y anotados a mano los quince artículos restantes, el fichero pasa a tener 545 localizaciones en 119 de los 120 registros, y el único que queda sin ninguna no menciona ningún lugar. Las cifras de este apartado y de la Figura 1 son del consolidado publicado, anterior a esa corrección, y se conservan tal como se midieron entonces: sustituirlas exigía volver a inferir, y eso es exactamente lo que hizo la re-corrida completa del 8 de septiembre, adoptada en §5.3.1 como fuente de la Tabla 7 vigente.</w:t>
      </w:r>
    </w:p>
    <w:p>
      <w:pPr>
        <w:numPr>
          <w:ilvl w:val="0"/>
          <w:numId w:val="0"/>
        </w:numPr>
        <w:pStyle w:val="figurecaption"/>
        <w:jc w:val="center"/>
        <w:spacing w:lineRule="auto" w:line="240" w:before="120" w:after="60"/>
        <w:keepNext w:val="1"/>
      </w:pPr>
      <w:r>
        <w:drawing>
          <wp:inline xmlns:a="http://schemas.openxmlformats.org/drawingml/2006/main" xmlns:pic="http://schemas.openxmlformats.org/drawingml/2006/pictur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16"/>
                    <a:stretch>
                      <a:fillRect/>
                    </a:stretch>
                  </pic:blipFill>
                  <pic:spPr>
                    <a:xfrm>
                      <a:off x="0" y="0"/>
                      <a:ext cx="5612130" cy="1159663"/>
                    </a:xfrm>
                    <a:prstGeom prst="rect"/>
                  </pic:spPr>
                </pic:pic>
              </a:graphicData>
            </a:graphic>
          </wp:inline>
        </w:drawing>
      </w:r>
    </w:p>
    <w:p>
      <w:pPr>
        <w:numPr>
          <w:ilvl w:val="0"/>
          <w:numId w:val="0"/>
        </w:numPr>
        <w:pStyle w:val="figurecaption"/>
      </w:pPr>
      <w:r>
        <w:t xml:space="preserve">Figura 1. Composición de los falsos positivos sobre el consolidado publicado (N=120, veintiséis grupos), previo a la corrección del corpus. Dos de cada tres procedían de una categoría que ese corpus no anotaba y en la que, por tanto, ningún modelo podía acertar; corregido antes de la re-corrida que hoy sostiene la Tabla 7 (§5.3.1).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4.1.2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hasta el 8 de septiembre de 2026 por un defecto de la cadena de preparación de datos, no de la anotación de origen de CoNLL-2002. El efecto sobre la medición y su corrección se detallan en §3.3.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p1a"/>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dxa" w:w="8838"/>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la exhaustividad más alta entre los modelos locales la obtiene gemma4:latest con prompt few-shot en español (86.87%), por delante de gemma4:31b (86.80%) y de su compilación MLX (86.76%), pese a ser un modelo de un tercio del tamaño; la variante alojada alcanza un valor equivalente (86.88%). Es decir, las cuatro configuraciones se agrupan en menos de un décimo de punto, y lo que separa a gemma4:31b no es la exhaustividad sino su tasa de alucinación, de 0.16%.</w:t>
      </w:r>
    </w:p>
    <w:p>
      <w:pPr>
        <w:numPr>
          <w:ilvl w:val="0"/>
          <w:numId w:val="0"/>
        </w:numPr>
        <w:pStyle w:val="p1a"/>
      </w:pPr>
      <w:r>
        <w:rPr>
          <w:b/>
        </w:rPr>
        <w:t>Hallazgo 3:</w:t>
      </w:r>
      <w:r>
        <w:t xml:space="preserve"> deepseek-r1:1.5b debe descartarse para producción: F1 de 27.65% y Recall de solo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p1a"/>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dxa" w:w="8838"/>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p1a"/>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dxa" w:w="8838"/>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Normal"/>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la precisión coincide hasta el cuarto decimal (73,34 %) y el F1 difiere en menos de medio punto,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5.3.1 Validación Estadística sobre Corpus Real N=120 (estudio completo)</w:t>
      </w:r>
    </w:p>
    <w:p>
      <w:pPr>
        <w:numPr>
          <w:ilvl w:val="0"/>
          <w:numId w:val="0"/>
        </w:numPr>
        <w:pStyle w:val="p1a"/>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del 8 de septiembre de 2026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p1a"/>
      </w:pPr>
      <w:r>
        <w:rPr>
          <w:b/>
        </w:rPr>
        <w:t>Limitación histórica del corpus N=120, corregida en la re-corrida adoptada — codificación defectuosa de los nombres.</w:t>
      </w:r>
      <w:r>
        <w:t xml:space="preserve"> El corpus </w:t>
      </w:r>
      <w:r>
        <w:t>data/benchmark_balanced_120.json</w:t>
      </w:r>
      <w:r>
        <w:t xml:space="preserve"> que sostenía el consolidado publicado almacenaba los nombres con </w:t>
      </w:r>
      <w:r>
        <w:rPr>
          <w:i/>
        </w:rPr>
        <w:t>mojibake</w:t>
      </w:r>
      <w:r>
        <w:t xml:space="preserve"> (bytes UTF-8 reinterpretados como Latin-1): guardaba </w:t>
      </w:r>
      <w:r>
        <w:t>JosÃ© Bono</w:t>
      </w:r>
      <w:r>
        <w:t xml:space="preserve"> donde el nombre real es </w:t>
      </w:r>
      <w:r>
        <w:rPr>
          <w:b/>
        </w:rPr>
        <w:t>José Bono</w:t>
      </w:r>
      <w:r>
        <w:t xml:space="preserve">. Afectaba a </w:t>
      </w:r>
      <w:r>
        <w:rPr>
          <w:b/>
        </w:rPr>
        <w:t>283 de 1 406 entidades de referencia (20,1 %)</w:t>
      </w:r>
      <w:r>
        <w:t xml:space="preserve"> y, de forma relevante, </w:t>
      </w:r>
      <w:r>
        <w:rPr>
          <w:b/>
        </w:rPr>
        <w:t>también al texto de entrada</w:t>
      </w:r>
      <w:r>
        <w:t xml:space="preserve"> (87 % de los artículos), donde las mismas 283 entidades aparecían </w:t>
      </w:r>
      <w:r>
        <w:rPr>
          <w:b/>
        </w:rPr>
        <w:t>con la misma corrupción</w:t>
      </w:r>
      <w:r>
        <w:t xml:space="preserve">. El corpus era por tanto </w:t>
      </w:r>
      <w:r>
        <w:rPr>
          <w:b/>
        </w:rPr>
        <w:t>internamente coherente</w:t>
      </w:r>
      <w:r>
        <w:t xml:space="preserve">: un modelo que transcribía literalmente coincidía con la referencia, mientras que uno que normalizaba la ortografía al español correcto </w:t>
      </w:r>
      <w:r>
        <w:rPr>
          <w:b/>
        </w:rPr>
        <w:t>dejaba de coincidir</w:t>
      </w:r>
      <w:r>
        <w:t xml:space="preserve">. El efecto </w:t>
      </w:r>
      <w:r>
        <w:rPr>
          <w:b/>
        </w:rPr>
        <w:t>no era un sesgo uniforme</w:t>
      </w:r>
      <w:r>
        <w:t xml:space="preserve"> sino una interacción que dependía del comportamiento de cada modelo: la diferencia de F1 entre los artículos afectados y los no afectados oscilaba entre </w:t>
      </w:r>
      <w:r>
        <w:rPr>
          <w:b/>
        </w:rPr>
        <w:t>−0.070 y +0.025</w:t>
      </w:r>
      <w:r>
        <w:t xml:space="preserve"> según el modelo. Los corpus N=15 y N=30 nunca tuvieron este defecto (0 entidades afectadas), por lo que §5.1, §5.2 y §5.3 nunca se vieron comprometidos. </w:t>
      </w:r>
      <w:r>
        <w:rPr>
          <w:b/>
        </w:rPr>
        <w:t>La corrección se aplicó antes de la re-corrida completa</w:t>
      </w:r>
      <w:r>
        <w:t xml:space="preserve"> (normalizando la codificación en ambos lados de la comparación, verificado con </w:t>
      </w:r>
      <w:r>
        <w:t>tools/analisis_mojibake.py</w:t>
      </w:r>
      <w:r>
        <w:t xml:space="preserve">: 0 de 120 artículos afectados hoy), de modo que los resultados de esta sección ya no dependen de esta interacción. El detalle del defecto original y su efecto medido se conservan íntegros en el </w:t>
      </w:r>
      <w:r>
        <w:rPr>
          <w:b/>
        </w:rPr>
        <w:t>Anexo H</w:t>
      </w:r>
      <w:r>
        <w:t>, como registro de qué se encontró y cómo se corrigió.</w:t>
      </w:r>
    </w:p>
    <w:p>
      <w:pPr>
        <w:numPr>
          <w:ilvl w:val="0"/>
          <w:numId w:val="0"/>
        </w:numPr>
        <w:pStyle w:val="p1a"/>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modelos, pero la pregunta que importa es otra: cuántos modelos mejoran de forma significativa respecto de sí mismos al añadir RAG. Solo uno, </w:t>
      </w:r>
      <w:r>
        <w:t>nemotron-mini:4b</w:t>
      </w:r>
      <w:r>
        <w:t xml:space="preserve">, con +12,26 puntos. </w:t>
      </w:r>
      <w:r>
        <w:t>llama3.2:latest</w:t>
      </w:r>
      <w:r>
        <w:t>, significativo sobre el corpus publicado (+10,82 puntos), queda en +6,73 puntos (p=0,2334) y ya no se distingue del azar tras la corrección por comparaciones múltiples.</w:t>
      </w:r>
    </w:p>
    <w:p>
      <w:pPr>
        <w:numPr>
          <w:ilvl w:val="0"/>
          <w:numId w:val="0"/>
        </w:numPr>
        <w:pStyle w:val="Normal"/>
      </w:pPr>
      <w:r>
        <w:t>Una salvedad de diseño: los veintiséis grupos evalúan los mismos 113 artículos, de modo que las observaciones están apareadas, y el procedimiento estrictamente correcto sería un modelo de medidas repetidas, no este ANOVA. Tratarlas como independientes hace además el contraste conservador. La prueba de Levene sí detecta heterocedasticidad (p = 1,39 × 10⁻¹¹) —a diferencia de sobre el corpus publicado, ahora que el defecto de anotación de Locations está corregido—, lo que refuerza esa salvedad sin invalidar el ANOVA (el diseño está balanceado: 2 938 observaciones, 113 por grupo). Repetido con la prueba de Friedman, la que corresponde a un diseño de medidas repetidas,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2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a diferencia de sobre el corpus publicado, donde discrepaban, aquí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figurecaption"/>
        <w:jc w:val="center"/>
        <w:spacing w:lineRule="auto" w:line="240" w:before="120" w:after="60"/>
        <w:keepNext w:val="1"/>
      </w:pPr>
      <w:r>
        <w:drawing>
          <wp:inline xmlns:a="http://schemas.openxmlformats.org/drawingml/2006/main" xmlns:pic="http://schemas.openxmlformats.org/drawingml/2006/pictur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7"/>
                    <a:stretch>
                      <a:fillRect/>
                    </a:stretch>
                  </pic:blipFill>
                  <pic:spPr>
                    <a:xfrm>
                      <a:off x="0" y="0"/>
                      <a:ext cx="5612130" cy="2521179"/>
                    </a:xfrm>
                    <a:prstGeom prst="rect"/>
                  </pic:spPr>
                </pic:pic>
              </a:graphicData>
            </a:graphic>
          </wp:inline>
        </w:drawing>
      </w:r>
    </w:p>
    <w:p>
      <w:pPr>
        <w:numPr>
          <w:ilvl w:val="0"/>
          <w:numId w:val="0"/>
        </w:numPr>
        <w:pStyle w:val="figure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p1a"/>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dxa" w:w="8838"/>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numbereditem"/>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numbereditem"/>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numbereditem"/>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numbereditem"/>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numbereditem"/>
      </w:pPr>
      <w:r>
        <w:t xml:space="preserve">La codificación del corpus condicionó la medición sobre el consolidado publicado, y no de forma neutra: el corpus N=120 almacenaba entonces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corregido antes de la re-corrida que hoy sostiene la Tabla 7 (§5.3.1).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numbereditem"/>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numbereditem"/>
      </w:pPr>
      <w:r>
        <w:t>Expansión del corpus de evaluación (Fase 2): Ampliar el corpus de N=120 a N≥200 artículos reales del dominio AML/KYC chileno, incorporando fuentes como la UAF, CMF y bases de datos de OpenSanctions [38].</w:t>
      </w:r>
    </w:p>
    <w:p>
      <w:pPr>
        <w:numPr>
          <w:ilvl w:val="0"/>
          <w:numId w:val="0"/>
        </w:numPr>
        <w:pStyle w:val="numbereditem"/>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t>Evaluación en producción (Fase 4):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numbereditem"/>
      </w:pPr>
      <w:r>
        <w:rPr>
          <w:b/>
        </w:rPr>
        <w:t>Normalización de codificación del corpus y re-evaluación: ya realizada.</w:t>
      </w:r>
      <w:r>
        <w:t xml:space="preserve"> Sobre el consolidado publicado, el corpus N=120 almacenaba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favorecía a los modelos que transcribían literalmente y penalizaba a los que normalizaban la ortografía, con un efecto que, según el criterio de artículo afectado, iba de −0,082 a +0,155 de F1 cuando la corrupción estaba en la anotación de referencia y de −0,267 a +0,015 cuando estaba en el texto de entrada (Anexo H.3). La línea de trabajo que este punto proponía —normalizar la codificación en ambos lados de la comparación y re-ejecutar el estudio N=120— se completó el 8 de septiembre de 2026, antes de la re-corrida que hoy sostiene la Tabla 7 (§5.3.1): el corpus vigente tiene 0 artículos con este defecto, verificado con </w:t>
      </w:r>
      <w:r>
        <w:t>tools/analisis_mojibake.py</w:t>
      </w:r>
      <w:r>
        <w:t>.</w:t>
      </w:r>
    </w:p>
    <w:p>
      <w:pPr>
        <w:numPr>
          <w:ilvl w:val="0"/>
          <w:numId w:val="0"/>
        </w:numPr>
        <w:pStyle w:val="numbereditem"/>
      </w:pPr>
      <w:r>
        <w:rPr>
          <w:b/>
        </w:rPr>
        <w:t>Recuperación de las localizaciones que el conversor descartaba: ya realizada.</w:t>
      </w:r>
      <w:r>
        <w:t xml:space="preserve"> Los prompts del sistema solicitan tres categorías de entidad, personas, organizaciones y localizaciones, pero sobre el consolidado publicado ninguno de los tres corpus anotaba la tercera. Como se explica en §3.3, eso convertía toda localización correctamente identificada en un falso positivo, y de ahí procede el 66,0 % de los falsos positivos de ese consolidado. La solución resultó más barata de lo previsto: para 105 de los 120 artículos las localizaciones ya estaban anotadas en CoNLL-2002, y bastó con dejar de descartarlas al convertir, porque el conversor filtraba las etiquetas por personas y organizaciones y escribía la lista de localizaciones como constante vacía; los quince artículos de Kleptotrace se anotaron a mano. Aplicado antes de la re-corrida del 8 de septiembre de 2026, que mide ya las tres categorías (§5.3.1): el corpus vigente tiene 545 localizaciones en 119 de los 120 registros.</w:t>
      </w:r>
    </w:p>
    <w:p>
      <w:pPr>
        <w:numPr>
          <w:ilvl w:val="0"/>
          <w:numId w:val="0"/>
        </w:numPr>
        <w:pStyle w:val="numbereditem"/>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numbereditem"/>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numbereditem"/>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referenceitem"/>
      </w:pPr>
      <w:r>
        <w:t>[3] S. Wu et al., "BloombergGPT: A Large Language Model for Finance," 2023, arXiv:2303.17564. [Online]. Available: https://arxiv.org/abs/2303.17564</w:t>
      </w:r>
    </w:p>
    <w:p>
      <w:pPr>
        <w:numPr>
          <w:ilvl w:val="0"/>
          <w:numId w:val="0"/>
        </w:numPr>
        <w:pStyle w:val="referenceitem"/>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referenceitem"/>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referenceitem"/>
      </w:pPr>
      <w:r>
        <w:t>[6] Y. Gao et al., "Retrieval-Augmented Generation for Large Language Models: A Survey," 2024, arXiv:2312.10997. [Online]. Available: https://arxiv.org/abs/2312.10997</w:t>
      </w:r>
    </w:p>
    <w:p>
      <w:pPr>
        <w:numPr>
          <w:ilvl w:val="0"/>
          <w:numId w:val="0"/>
        </w:numPr>
        <w:pStyle w:val="referenceitem"/>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referenceitem"/>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referenceitem"/>
      </w:pPr>
      <w:r>
        <w:t>[9] P. Islam, A. Kannappan, D. Kiela, R. Qian, N. Scherrer, and B. Vidgen, "FinanceBench: A New Benchmark for Financial Question Answering," 2023, arXiv:2311.11944. [En línea]. Disponible: https://arxiv.org/abs/2311.11944</w:t>
      </w:r>
    </w:p>
    <w:p>
      <w:pPr>
        <w:numPr>
          <w:ilvl w:val="0"/>
          <w:numId w:val="0"/>
        </w:numPr>
        <w:pStyle w:val="referenceitem"/>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referenceitem"/>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referenceitem"/>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referenceitem"/>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referenceitem"/>
      </w:pPr>
      <w:r>
        <w:t xml:space="preserve">[16] R. Schwartz et al., "Green AI," </w:t>
      </w:r>
      <w:r>
        <w:rPr>
          <w:i/>
        </w:rPr>
        <w:t>Communications of the ACM</w:t>
      </w:r>
      <w:r>
        <w:t>, vol. 63, no. 12, pp. 54-63, 2020. [En línea]. Disponible: https://doi.org/10.1145/3381831</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referenceitem"/>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referenceitem"/>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referenceitem"/>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referenceitem"/>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referenceitem"/>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referenceitem"/>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referenceitem"/>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referenceitem"/>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referenceitem"/>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referenceitem"/>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referenceitem"/>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referenceitem"/>
      </w:pPr>
      <w:r>
        <w:t xml:space="preserve">[29] Ollama. </w:t>
      </w:r>
      <w:r>
        <w:rPr>
          <w:i/>
        </w:rPr>
        <w:t>Ollama</w:t>
      </w:r>
      <w:r>
        <w:t xml:space="preserve"> [Online]. Available: https://github.com/ollama/ollama (accedido: 8 sep. 2026).</w:t>
      </w:r>
    </w:p>
    <w:p>
      <w:pPr>
        <w:numPr>
          <w:ilvl w:val="0"/>
          <w:numId w:val="0"/>
        </w:numPr>
        <w:pStyle w:val="referenceitem"/>
      </w:pPr>
      <w:r>
        <w:t xml:space="preserve">[30] llama.cpp contributors. </w:t>
      </w:r>
      <w:r>
        <w:rPr>
          <w:i/>
        </w:rPr>
        <w:t>llama.cpp: LLM inference in C/C++</w:t>
      </w:r>
      <w:r>
        <w:t xml:space="preserve"> [Online]. Available: https://github.com/ggml-org/llama.cpp (accedido: 8 sep. 2026).</w:t>
      </w:r>
    </w:p>
    <w:p>
      <w:pPr>
        <w:numPr>
          <w:ilvl w:val="0"/>
          <w:numId w:val="0"/>
        </w:numPr>
        <w:pStyle w:val="referenceitem"/>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referenceitem"/>
      </w:pPr>
      <w:r>
        <w:t xml:space="preserve">[32] Chroma. </w:t>
      </w:r>
      <w:r>
        <w:rPr>
          <w:i/>
        </w:rPr>
        <w:t>chroma: search infrastructure for AI</w:t>
      </w:r>
      <w:r>
        <w:t xml:space="preserve"> [Online]. Available: https://github.com/chroma-core/chroma (accedido: 8 sep. 2026).</w:t>
      </w:r>
    </w:p>
    <w:p>
      <w:pPr>
        <w:numPr>
          <w:ilvl w:val="0"/>
          <w:numId w:val="0"/>
        </w:numPr>
        <w:pStyle w:val="referenceitem"/>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referenceitem"/>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referenceitem"/>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referenceitem"/>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referenceitem"/>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referenceitem"/>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referenceitem"/>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p1a"/>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dxa" w:w="8838"/>
        <w:tblLayout w:type="fixed"/>
        <w:tblLook w:firstRow="1" w:lastRow="0" w:firstColumn="0" w:lastColumn="0" w:noHBand="0" w:noVBand="0" w:val="0020"/>
      </w:tblPr>
      <w:tblGrid>
        <w:gridCol w:w="5892"/>
        <w:gridCol w:w="2946"/>
      </w:tblGrid>
      <w:tr>
        <w:trPr>
          <w:tblHeader w:val="on"/>
        </w:trPr>
        <w:tc>
          <w:tcPr>
            <w:tcW w:type="dxa" w:w="5892"/>
          </w:tcPr>
          <w:p>
            <w:pPr>
              <w:pStyle w:val="Compact"/>
              <w:jc w:val="left"/>
            </w:pPr>
            <w:r>
              <w:rPr>
                <w:b/>
              </w:rPr>
              <w:t>Ruta</w:t>
            </w:r>
          </w:p>
        </w:tc>
        <w:tc>
          <w:tcPr>
            <w:tcW w:type="dxa" w:w="2946"/>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program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program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p1a"/>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p1a"/>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p1a"/>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p1a"/>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p1a"/>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ulletitem"/>
      </w:pPr>
      <w:r>
        <w:rPr>
          <w:b/>
        </w:rPr>
        <w:t>Por entidad de referencia corrupta</w:t>
      </w:r>
      <w:r>
        <w:t>: 89 artículos afectados y 31 no.</w:t>
      </w:r>
    </w:p>
    <w:p>
      <w:pPr>
        <w:numPr>
          <w:ilvl w:val="0"/>
          <w:numId w:val="0"/>
        </w:numPr>
        <w:pStyle w:val="bulletitem"/>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dxa" w:w="8838"/>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p1a"/>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p1a"/>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dxa" w:w="8838"/>
        <w:tblLayout w:type="fixed"/>
        <w:tblLook w:firstRow="1" w:lastRow="0" w:firstColumn="0" w:lastColumn="0" w:noHBand="0" w:noVBand="0" w:val="0020"/>
      </w:tblPr>
      <w:tblGrid>
        <w:gridCol w:w="2322"/>
        <w:gridCol w:w="1116"/>
        <w:gridCol w:w="900"/>
        <w:gridCol w:w="900"/>
        <w:gridCol w:w="900"/>
        <w:gridCol w:w="900"/>
        <w:gridCol w:w="900"/>
        <w:gridCol w:w="900"/>
      </w:tblGrid>
      <w:tr>
        <w:trPr>
          <w:tblHeader w:val="on"/>
        </w:trPr>
        <w:tc>
          <w:tcPr>
            <w:tcW w:type="dxa" w:w="2322"/>
          </w:tcPr>
          <w:p>
            <w:pPr>
              <w:pStyle w:val="Compact"/>
              <w:jc w:val="left"/>
            </w:pPr>
            <w:r>
              <w:rPr>
                <w:b/>
              </w:rPr>
              <w:t>Configuración</w:t>
            </w:r>
          </w:p>
        </w:tc>
        <w:tc>
          <w:tcPr>
            <w:tcW w:type="dxa" w:w="1116"/>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3"/>
      </w:pPr>
      <w:r>
        <w:t>Corridas múltiples del mismo modelo, y cuál se toma como referencia</w:t>
      </w:r>
    </w:p>
    <w:p>
      <w:pPr>
        <w:numPr>
          <w:ilvl w:val="0"/>
          <w:numId w:val="0"/>
        </w:numPr>
        <w:pStyle w:val="p1a"/>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La columna «Corrida» de la tabla anterior indica cuál sostiene cada fila. Antes de la re-corrida completa, requirieron una re-ejecución parcial por motivos operativos, hoy resueltos: </w:t>
      </w:r>
      <w:r>
        <w:t>gemma4:12b-mlx</w:t>
      </w:r>
      <w:r>
        <w:t xml:space="preserve"> y </w:t>
      </w:r>
      <w:r>
        <w:t>qwen3:8b</w:t>
      </w:r>
      <w:r>
        <w:t xml:space="preserve"> sufrían un fallo del </w:t>
      </w:r>
      <w:r>
        <w:rPr>
          <w:b/>
        </w:rPr>
        <w:t>modo de razonamiento activo</w:t>
      </w:r>
      <w:r>
        <w:t xml:space="preserve">, que consumía el presupuesto de salida deliberando y devolvía una respuesta vacía —precisión y exhaustividad caían a cero a la vez, la firma de no haber contestado y no la de haberse equivocado—; en </w:t>
      </w:r>
      <w:r>
        <w:t>gemma4:12b-mlx</w:t>
      </w:r>
      <w:r>
        <w:t xml:space="preserve"> con KB RAG eso ocurrió en 98 de los 120 artículos de aquella corrida parcial. </w:t>
      </w:r>
      <w:r>
        <w:t>gpt-oss:20b</w:t>
      </w:r>
      <w:r>
        <w:t xml:space="preserve">, también un modelo de razonamiento, agotaba con 2048 tokens el presupuesto de salida antes de emitir el JSON. </w:t>
      </w:r>
      <w:r>
        <w:t>nemotron-mini:4b</w:t>
      </w:r>
      <w:r>
        <w:t xml:space="preserve"> requirió repetir el diagnóstico de un lote de respuestas vacías para confirmar que el defecto era del arnés y no del modelo; el criterio para preferir una corrida sobre otra fue siempre la validez de la medición y no su resultado, incluso cuando la corrida elegida dio una décima menos que la descartada.</w:t>
      </w:r>
    </w:p>
    <w:p>
      <w:pPr>
        <w:numPr>
          <w:ilvl w:val="0"/>
          <w:numId w:val="0"/>
        </w:numPr>
        <w:pStyle w:val="Normal"/>
      </w:pPr>
      <w:r>
        <w:t>Esas corridas parciales no describían el desempeño del modelo sino el de un arnés mal configurado, y sus cifras no se publican en ninguna parte de este informe: un número que no mide lo que dice medir no es un resultado, y ofrecerlo junto al vigente invitaría a leerlos como dos estimaciones entre las que se ha elegido. La re-corrida completa del 8 de septiembre de 2026, adoptada en §5.3.1, ejecutó los trece modelos de una sola vez con un presupuesto de salida uniforme de 4096 tokens, sin ninguno de estos tres defectos: las cifras vigentes de los cuatro modelos son las que publica la Tabla 7, sin reserva de comparabilidad pendiente.</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28"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220" w:after="11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160" w:after="80"/>
      <w:outlineLvl w:val="1"/>
    </w:pPr>
    <w:rPr>
      <w:b/>
    </w:rPr>
  </w:style>
  <w:style w:type="paragraph" w:styleId="Ttulo3">
    <w:name w:val="heading 3"/>
    <w:basedOn w:val="Normal"/>
    <w:next w:val="Normal"/>
    <w:qFormat/>
    <w:rsid w:val="002B66F5"/>
    <w:pPr>
      <w:keepNext/>
      <w:keepLines/>
      <w:numPr>
        <w:ilvl w:val="2"/>
        <w:numId w:val="38"/>
      </w:numPr>
      <w:suppressAutoHyphens/>
      <w:spacing w:before="140" w:after="7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00" w:after="6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184"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