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del 8 de septiembre, adoptada en §5.3.1 como fuente de la Tabla 7 vigente.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hasta el 8 de septiembre de 2026 por un defecto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el 8 de septiembre de 2026,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del 8 de septiembre de 2026,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