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141"/>
        <w:gridCol w:w="2570"/>
        <w:gridCol w:w="1427"/>
        <w:gridCol w:w="900"/>
        <w:gridCol w:w="900"/>
        <w:gridCol w:w="900"/>
      </w:tblGrid>
      <w:tr>
        <w:trPr>
          <w:tblHeader w:val="on"/>
        </w:trPr>
        <w:tc>
          <w:tcPr>
            <w:tcW w:type="dxa" w:w="2141"/>
          </w:tcPr>
          <w:p>
            <w:pPr>
              <w:pStyle w:val="Compact"/>
              <w:jc w:val="left"/>
            </w:pPr>
            <w:r>
              <w:rPr>
                <w:b/>
              </w:rPr>
              <w:t>Trabajo</w:t>
            </w:r>
          </w:p>
        </w:tc>
        <w:tc>
          <w:tcPr>
            <w:tcW w:type="dxa" w:w="2570"/>
          </w:tcPr>
          <w:p>
            <w:pPr>
              <w:pStyle w:val="Compact"/>
              <w:jc w:val="left"/>
            </w:pPr>
            <w:r>
              <w:rPr>
                <w:b/>
              </w:rPr>
              <w:t>Dataset</w:t>
            </w:r>
          </w:p>
        </w:tc>
        <w:tc>
          <w:tcPr>
            <w:tcW w:type="dxa" w:w="1427"/>
          </w:tcPr>
          <w:p>
            <w:pPr>
              <w:pStyle w:val="Compact"/>
              <w:jc w:val="left"/>
            </w:pPr>
            <w:r>
              <w:rPr>
                <w:b/>
              </w:rPr>
              <w:t>Modelo</w:t>
            </w:r>
          </w:p>
        </w:tc>
        <w:tc>
          <w:tcPr>
            <w:tcW w:type="dxa" w:w="900"/>
          </w:tcPr>
          <w:p>
            <w:pPr>
              <w:pStyle w:val="Compact"/>
              <w:jc w:val="center"/>
            </w:pPr>
            <w:r>
              <w:rPr>
                <w:b/>
              </w:rPr>
              <w:t>F1</w:t>
            </w:r>
          </w:p>
        </w:tc>
        <w:tc>
          <w:tcPr>
            <w:tcW w:type="dxa" w:w="900"/>
          </w:tcPr>
          <w:p>
            <w:pPr>
              <w:pStyle w:val="Compact"/>
              <w:jc w:val="center"/>
            </w:pPr>
            <w:r>
              <w:rPr>
                <w:b/>
              </w:rPr>
              <w:t>Privacidad</w:t>
            </w:r>
          </w:p>
        </w:tc>
        <w:tc>
          <w:tcPr>
            <w:tcW w:type="dxa" w:w="900"/>
          </w:tcPr>
          <w:p>
            <w:pPr>
              <w:pStyle w:val="Compact"/>
              <w:jc w:val="left"/>
            </w:pPr>
            <w:r>
              <w:rPr>
                <w:b/>
              </w:rPr>
              <w:t>Idioma</w:t>
            </w:r>
          </w:p>
        </w:tc>
      </w:tr>
      <w:tr>
        <w:tc>
          <w:tcPr>
            <w:tcW w:type="dxa" w:w="2141"/>
          </w:tcPr>
          <w:p>
            <w:pPr>
              <w:pStyle w:val="Compact"/>
              <w:jc w:val="left"/>
            </w:pPr>
            <w:r>
              <w:rPr>
                <w:b w:val="0"/>
              </w:rPr>
              <w:t>BloombergGPT [3]</w:t>
            </w:r>
          </w:p>
        </w:tc>
        <w:tc>
          <w:tcPr>
            <w:tcW w:type="dxa" w:w="2570"/>
          </w:tcPr>
          <w:p>
            <w:pPr>
              <w:pStyle w:val="Compact"/>
              <w:jc w:val="left"/>
            </w:pPr>
            <w:r>
              <w:rPr>
                <w:b w:val="0"/>
              </w:rPr>
              <w:t>Bloomberg corpus</w:t>
            </w:r>
          </w:p>
        </w:tc>
        <w:tc>
          <w:tcPr>
            <w:tcW w:type="dxa" w:w="1427"/>
          </w:tcPr>
          <w:p>
            <w:pPr>
              <w:pStyle w:val="Compact"/>
              <w:jc w:val="left"/>
            </w:pPr>
            <w:r>
              <w:rPr>
                <w:b w:val="0"/>
              </w:rPr>
              <w:t>GPT-J + dominio</w:t>
            </w:r>
          </w:p>
        </w:tc>
        <w:tc>
          <w:tcPr>
            <w:tcW w:type="dxa" w:w="900"/>
          </w:tcPr>
          <w:p>
            <w:pPr>
              <w:pStyle w:val="Compact"/>
              <w:jc w:val="center"/>
            </w:pPr>
            <w:r>
              <w:rPr>
                <w:b w:val="0"/>
              </w:rPr>
              <w:t>85%+</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val="0"/>
              </w:rPr>
              <w:t>FiNER-139 Benchmark [15]</w:t>
            </w:r>
          </w:p>
        </w:tc>
        <w:tc>
          <w:tcPr>
            <w:tcW w:type="dxa" w:w="2570"/>
          </w:tcPr>
          <w:p>
            <w:pPr>
              <w:pStyle w:val="Compact"/>
              <w:jc w:val="left"/>
            </w:pPr>
            <w:r>
              <w:rPr>
                <w:b w:val="0"/>
              </w:rPr>
              <w:t>SEC 10-K/10-Q</w:t>
            </w:r>
          </w:p>
        </w:tc>
        <w:tc>
          <w:tcPr>
            <w:tcW w:type="dxa" w:w="1427"/>
          </w:tcPr>
          <w:p>
            <w:pPr>
              <w:pStyle w:val="Compact"/>
              <w:jc w:val="left"/>
            </w:pPr>
            <w:r>
              <w:rPr>
                <w:b w:val="0"/>
              </w:rPr>
              <w:t>BERT fine-tuned</w:t>
            </w:r>
          </w:p>
        </w:tc>
        <w:tc>
          <w:tcPr>
            <w:tcW w:type="dxa" w:w="900"/>
          </w:tcPr>
          <w:p>
            <w:pPr>
              <w:pStyle w:val="Compact"/>
              <w:jc w:val="center"/>
            </w:pPr>
            <w:r>
              <w:rPr>
                <w:b w:val="0"/>
              </w:rPr>
              <w:t>91%</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val="0"/>
              </w:rPr>
              <w:t>García &amp; López [7]</w:t>
            </w:r>
          </w:p>
        </w:tc>
        <w:tc>
          <w:tcPr>
            <w:tcW w:type="dxa" w:w="2570"/>
          </w:tcPr>
          <w:p>
            <w:pPr>
              <w:pStyle w:val="Compact"/>
              <w:jc w:val="left"/>
            </w:pPr>
            <w:r>
              <w:rPr>
                <w:b w:val="0"/>
              </w:rPr>
              <w:t>CoNLL-ES</w:t>
            </w:r>
          </w:p>
        </w:tc>
        <w:tc>
          <w:tcPr>
            <w:tcW w:type="dxa" w:w="1427"/>
          </w:tcPr>
          <w:p>
            <w:pPr>
              <w:pStyle w:val="Compact"/>
              <w:jc w:val="left"/>
            </w:pPr>
            <w:r>
              <w:rPr>
                <w:b w:val="0"/>
              </w:rPr>
              <w:t>XLM-R</w:t>
            </w:r>
          </w:p>
        </w:tc>
        <w:tc>
          <w:tcPr>
            <w:tcW w:type="dxa" w:w="900"/>
          </w:tcPr>
          <w:p>
            <w:pPr>
              <w:pStyle w:val="Compact"/>
              <w:jc w:val="center"/>
            </w:pPr>
            <w:r>
              <w:rPr>
                <w:b w:val="0"/>
              </w:rPr>
              <w:t>88%</w:t>
            </w:r>
          </w:p>
        </w:tc>
        <w:tc>
          <w:tcPr>
            <w:tcW w:type="dxa" w:w="900"/>
          </w:tcPr>
          <w:p>
            <w:pPr>
              <w:pStyle w:val="Compact"/>
              <w:jc w:val="center"/>
            </w:pPr>
            <w:r>
              <w:rPr>
                <w:b w:val="0"/>
              </w:rPr>
              <w:t>Local</w:t>
            </w:r>
          </w:p>
        </w:tc>
        <w:tc>
          <w:tcPr>
            <w:tcW w:type="dxa" w:w="900"/>
          </w:tcPr>
          <w:p>
            <w:pPr>
              <w:pStyle w:val="Compact"/>
              <w:jc w:val="left"/>
            </w:pPr>
            <w:r>
              <w:rPr>
                <w:b w:val="0"/>
              </w:rPr>
              <w:t>Español</w:t>
            </w:r>
          </w:p>
        </w:tc>
      </w:tr>
      <w:tr>
        <w:tc>
          <w:tcPr>
            <w:tcW w:type="dxa" w:w="2141"/>
          </w:tcPr>
          <w:p>
            <w:pPr>
              <w:pStyle w:val="Compact"/>
              <w:jc w:val="left"/>
            </w:pPr>
            <w:r>
              <w:rPr>
                <w:b w:val="0"/>
              </w:rPr>
              <w:t>Chang et al. [9]</w:t>
            </w:r>
          </w:p>
        </w:tc>
        <w:tc>
          <w:tcPr>
            <w:tcW w:type="dxa" w:w="2570"/>
          </w:tcPr>
          <w:p>
            <w:pPr>
              <w:pStyle w:val="Compact"/>
              <w:jc w:val="left"/>
            </w:pPr>
            <w:r>
              <w:rPr>
                <w:b w:val="0"/>
              </w:rPr>
              <w:t>Docs bancarios</w:t>
            </w:r>
          </w:p>
        </w:tc>
        <w:tc>
          <w:tcPr>
            <w:tcW w:type="dxa" w:w="1427"/>
          </w:tcPr>
          <w:p>
            <w:pPr>
              <w:pStyle w:val="Compact"/>
              <w:jc w:val="left"/>
            </w:pPr>
            <w:r>
              <w:rPr>
                <w:b w:val="0"/>
              </w:rPr>
              <w:t>GPT-4 + RAG</w:t>
            </w:r>
          </w:p>
        </w:tc>
        <w:tc>
          <w:tcPr>
            <w:tcW w:type="dxa" w:w="900"/>
          </w:tcPr>
          <w:p>
            <w:pPr>
              <w:pStyle w:val="Compact"/>
              <w:jc w:val="center"/>
            </w:pPr>
            <w:r>
              <w:rPr>
                <w:b w:val="0"/>
              </w:rPr>
              <w:t>83%</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rPr>
              <w:t>Este trabajo</w:t>
            </w:r>
          </w:p>
        </w:tc>
        <w:tc>
          <w:tcPr>
            <w:tcW w:type="dxa" w:w="2570"/>
          </w:tcPr>
          <w:p>
            <w:pPr>
              <w:pStyle w:val="Compact"/>
              <w:jc w:val="left"/>
            </w:pPr>
            <w:r>
              <w:rPr>
                <w:b/>
              </w:rPr>
              <w:t>Kleptotrace/CoNLL-2002 (AML), corpus sintético N=30</w:t>
            </w:r>
          </w:p>
        </w:tc>
        <w:tc>
          <w:tcPr>
            <w:tcW w:type="dxa" w:w="1427"/>
          </w:tcPr>
          <w:p>
            <w:pPr>
              <w:pStyle w:val="Compact"/>
              <w:jc w:val="left"/>
            </w:pPr>
            <w:r>
              <w:rPr>
                <w:b/>
              </w:rPr>
              <w:t>gemma4:31b local</w:t>
            </w:r>
          </w:p>
        </w:tc>
        <w:tc>
          <w:tcPr>
            <w:tcW w:type="dxa" w:w="900"/>
          </w:tcPr>
          <w:p>
            <w:pPr>
              <w:pStyle w:val="Compact"/>
              <w:jc w:val="center"/>
            </w:pPr>
            <w:r>
              <w:rPr>
                <w:b/>
              </w:rPr>
              <w:t>79%</w:t>
            </w:r>
          </w:p>
        </w:tc>
        <w:tc>
          <w:tcPr>
            <w:tcW w:type="dxa" w:w="900"/>
          </w:tcPr>
          <w:p>
            <w:pPr>
              <w:pStyle w:val="Compact"/>
              <w:jc w:val="center"/>
            </w:pPr>
            <w:r>
              <w:rPr>
                <w:b/>
              </w:rPr>
              <w:t>100% Local</w:t>
            </w:r>
          </w:p>
        </w:tc>
        <w:tc>
          <w:tcPr>
            <w:tcW w:type="dxa" w:w="900"/>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Ahora bien, ese parámetro evita retener varios modelos a la vez, pero no reduce el footprint de uno solo,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Corpus 1 — Kleptotrace/CoNLL-2002 (N=15, Gold Standard):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t>Corpus 2 — Kleptotrace/CoNLL-2002 Augmented (N=30, Corpus de Validación Estadística):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con 105 artículos reales del corpus público CoNLL-2002 en español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t xml:space="preserve">Localización lingüística como factor crítico: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t>Soberanía de datos sin costo de rendimiento: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que oscila entre −0.070 y +0.025 de F1 según el modelo. La implicación metodológica excede a este trabajo: en una evaluación de NER, un defecto de codificación no es ruido de fondo sino una variable que interactúa con el comportamiento del modelo,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 xml:space="preserve">Δ F1 (con </w:t>
            </w:r>
            <w:r>
              <w:rPr>
                <w:b/>
                <w:i/>
              </w:rPr>
              <w:t>mojibake</w:t>
            </w:r>
            <w:r>
              <w:rPr>
                <w:b/>
              </w:rPr>
              <w:t xml:space="preserv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