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ejecutados en local mediante Ollama sobre Apple Silicon, sobre una arquitectura pub/sub multihilo con concurrencia adaptativa (AIMD) y capa Factory/Facade. La validación comparó trece modelos sobre 120 artículos reales en español y 30 del dominio; contrastó la extracción directa con la generación aumentada por recuperación (RAG) contextual y midió las diferencias con ANOVA y Tukey HSD. El beneficio del RAG resulta inversamente proporcional a la capacidad del modelo: solo es significativo en los dos más débiles (+14,5 y +10,8 puntos de F1) y es nulo o adverso en los mayores. Redactar el prompt en español e incorporar ejemplos </w:t>
      </w:r>
      <w:r>
        <w:rPr>
          <w:i/>
        </w:rPr>
        <w:t>few-shot</w:t>
      </w:r>
      <w:r>
        <w:t xml:space="preserve"> aporta +10,4 puntos sobre el baseline en inglés, mejora que ninguno de ambos factores logra por separado. El mejor modelo alcanza 80,57 % de F1 sin extracciones fallidas en el corpus del dominio, reduce el costo unitario de revisión y preserva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executed locally through Ollama on Apple Silicon hardware, on a multithreaded pub/sub architecture with adaptive concurrency control (AIMD) and a Factory/Facade layer. Validation compared thirteen models on 120 real Spanish-language articles and 30 domain ones; contrasted direct extraction with contextual retrieval-augmented generation (RAG) and measured the differences with ANOVA and Tukey HSD. The benefit of RAG is inversely proportional to model capacity: it is significant only in the two weakest models (+14.5 and +10.8 F1 points) and is null or adverse in the larger ones. Writing the prompt in Spanish and adding </w:t>
      </w:r>
      <w:r>
        <w:rPr>
          <w:i/>
        </w:rPr>
        <w:t>few-shot</w:t>
      </w:r>
      <w:r>
        <w:t xml:space="preserve"> examples yields +10.4 points over the English baseline, an improvement neither factor achieves alone. The best model reaches 80.57 % F1 with no failed extractions on the domain corpus, lowers the unit cost of review and preserves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se estima en USD 8.75 por artículo analizado. A nivel global, según Verified Market Research el mercado de RegTech se valoró en USD 15,68 mil millones en 2020 y se proyecta que alcance USD 87,17 mil millones hacia 2028, con una CAGR del 23,92 % durante 2021-2028, evidenciando la urgencia de soluciones automatizadas y escalables (Verified Market Research, 2022).</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alcanzan el mejor desempeño publicado,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reales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que la literatura anglosajona de aprendizaje automático denomina </w:t>
      </w:r>
      <w:r>
        <w:rPr>
          <w:i/>
        </w:rPr>
        <w:t>ablation study</w:t>
      </w:r>
      <w:r>
        <w:t>)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[17], [10]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constituyen el estado del arte académico. Partiendo de un modelo pre-entrenado, un ajuste fino sobre el dominio alcanza entre 88 % y 91 % de F1 en español [7],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El problema y las familias de técnicas disponibles</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[9], [5],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ofrece el motor de inferencia cuantizada de referencia pero exige gestión manual de modelos; </w:t>
      </w:r>
      <w:r>
        <w:rPr>
          <w:b/>
        </w:rPr>
        <w:t>vLLM</w:t>
      </w:r>
      <w:r>
        <w:t xml:space="preserve">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aprovecha específicamente la memoria unificada de Apple Silicon; y </w:t>
      </w:r>
      <w:r>
        <w:rPr>
          <w:b/>
        </w:rPr>
        <w:t>Ollama</w:t>
      </w:r>
      <w:r>
        <w:t xml:space="preserve">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1 posiciona este trabajo respecto de investigaciones recientes en NER para dominios financieros y regulatorios.</w:t>
      </w:r>
    </w:p>
    <w:p>
      <w:pPr>
        <w:numPr>
          <w:ilvl w:val="0"/>
          <w:numId w:val="0"/>
        </w:numPr>
        <w:pStyle w:val="TableCaption"/>
      </w:pPr>
      <w:r>
        <w:t>Tabla 2. Estado del arte y criterios de selección</w:t>
      </w:r>
    </w:p>
    <w:tbl>
      <w:tblPr>
        <w:tblStyle w:val="Table"/>
        <w:tblW w:type="pct" w:w="5000.0"/>
        <w:tblLook w:firstRow="1"/>
      </w:tblPr>
      <w:tblGrid>
        <w:gridCol w:w="2141"/>
        <w:gridCol w:w="2570"/>
        <w:gridCol w:w="1427"/>
        <w:gridCol w:w="900"/>
        <w:gridCol w:w="900"/>
        <w:gridCol w:w="900"/>
      </w:tblGrid>
      <w:tr>
        <w:trPr>
          <w:cnfStyle w:firstRow="1"/>
        </w:trPr>
        <w:tc>
          <w:tcPr>
            <w:tcW w:type="dxa" w:w="2141"/>
            <w:tcBorders>
              <w:bottom w:val="single"/>
            </w:tcBorders>
            <w:vAlign w:val="bottom"/>
          </w:tcPr>
          <w:p>
            <w:pPr>
              <w:pStyle w:val="Compact"/>
              <w:jc w:val="left"/>
            </w:pPr>
            <w:r>
              <w:rPr>
                <w:b/>
              </w:rPr>
              <w:t>Trabajo</w:t>
            </w:r>
          </w:p>
        </w:tc>
        <w:tc>
          <w:tcPr>
            <w:tcW w:type="dxa" w:w="2570"/>
            <w:tcBorders>
              <w:bottom w:val="single"/>
            </w:tcBorders>
            <w:vAlign w:val="bottom"/>
          </w:tcPr>
          <w:p>
            <w:pPr>
              <w:pStyle w:val="Compact"/>
              <w:jc w:val="left"/>
            </w:pPr>
            <w:r>
              <w:rPr>
                <w:b/>
              </w:rPr>
              <w:t>Dataset</w:t>
            </w:r>
          </w:p>
        </w:tc>
        <w:tc>
          <w:tcPr>
            <w:tcW w:type="dxa" w:w="1427"/>
            <w:tcBorders>
              <w:bottom w:val="single"/>
            </w:tcBorders>
            <w:vAlign w:val="bottom"/>
          </w:tcPr>
          <w:p>
            <w:pPr>
              <w:pStyle w:val="Compact"/>
              <w:jc w:val="left"/>
            </w:pPr>
            <w:r>
              <w:rPr>
                <w:b/>
              </w:rPr>
              <w:t>Modelo</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center"/>
            </w:pPr>
            <w:r>
              <w:rPr>
                <w:b/>
              </w:rPr>
              <w:t>Privacidad</w:t>
            </w:r>
          </w:p>
        </w:tc>
        <w:tc>
          <w:tcPr>
            <w:tcW w:type="dxa" w:w="900"/>
            <w:tcBorders>
              <w:bottom w:val="single"/>
            </w:tcBorders>
            <w:vAlign w:val="bottom"/>
          </w:tcPr>
          <w:p>
            <w:pPr>
              <w:pStyle w:val="Compact"/>
              <w:jc w:val="left"/>
            </w:pPr>
            <w:r>
              <w:rPr>
                <w:b/>
              </w:rPr>
              <w:t>Idioma</w:t>
            </w:r>
          </w:p>
        </w:tc>
      </w:tr>
      <w:tr>
        <w:tc>
          <w:tcPr>
            <w:tcW w:type="dxa" w:w="2141"/>
          </w:tcPr>
          <w:p>
            <w:pPr>
              <w:pStyle w:val="Compact"/>
              <w:jc w:val="left"/>
            </w:pPr>
            <w:r>
              <w:rPr>
                <w:b w:val="0"/>
              </w:rPr>
              <w:t>BloombergGPT [3]</w:t>
            </w:r>
          </w:p>
        </w:tc>
        <w:tc>
          <w:tcPr>
            <w:tcW w:type="dxa" w:w="2570"/>
          </w:tcPr>
          <w:p>
            <w:pPr>
              <w:pStyle w:val="Compact"/>
              <w:jc w:val="left"/>
            </w:pPr>
            <w:r>
              <w:rPr>
                <w:b w:val="0"/>
              </w:rPr>
              <w:t>Bloomberg corpus</w:t>
            </w:r>
          </w:p>
        </w:tc>
        <w:tc>
          <w:tcPr>
            <w:tcW w:type="dxa" w:w="1427"/>
          </w:tcPr>
          <w:p>
            <w:pPr>
              <w:pStyle w:val="Compact"/>
              <w:jc w:val="left"/>
            </w:pPr>
            <w:r>
              <w:rPr>
                <w:b w:val="0"/>
              </w:rPr>
              <w:t>GPT-J + dominio</w:t>
            </w:r>
          </w:p>
        </w:tc>
        <w:tc>
          <w:tcPr>
            <w:tcW w:type="dxa" w:w="900"/>
          </w:tcPr>
          <w:p>
            <w:pPr>
              <w:pStyle w:val="Compact"/>
              <w:jc w:val="center"/>
            </w:pPr>
            <w:r>
              <w:rPr>
                <w:b w:val="0"/>
              </w:rPr>
              <w:t>85%+</w:t>
            </w:r>
          </w:p>
        </w:tc>
        <w:tc>
          <w:tcPr>
            <w:tcW w:type="dxa" w:w="900"/>
          </w:tcPr>
          <w:p>
            <w:pPr>
              <w:pStyle w:val="Compact"/>
              <w:jc w:val="center"/>
            </w:pPr>
            <w:r>
              <w:rPr>
                <w:b w:val="0"/>
              </w:rPr>
              <w:t>Cloud</w:t>
            </w:r>
          </w:p>
        </w:tc>
        <w:tc>
          <w:tcPr>
            <w:tcW w:type="dxa" w:w="900"/>
          </w:tcPr>
          <w:p>
            <w:pPr>
              <w:pStyle w:val="Compact"/>
              <w:jc w:val="left"/>
            </w:pPr>
            <w:r>
              <w:rPr>
                <w:b w:val="0"/>
              </w:rPr>
              <w:t>Inglés</w:t>
            </w:r>
          </w:p>
        </w:tc>
      </w:tr>
      <w:tr>
        <w:tc>
          <w:tcPr>
            <w:tcW w:type="dxa" w:w="2141"/>
          </w:tcPr>
          <w:p>
            <w:pPr>
              <w:pStyle w:val="Compact"/>
              <w:jc w:val="left"/>
            </w:pPr>
            <w:r>
              <w:rPr>
                <w:b w:val="0"/>
              </w:rPr>
              <w:t>FiNER-139 Benchmark [15]</w:t>
            </w:r>
          </w:p>
        </w:tc>
        <w:tc>
          <w:tcPr>
            <w:tcW w:type="dxa" w:w="2570"/>
          </w:tcPr>
          <w:p>
            <w:pPr>
              <w:pStyle w:val="Compact"/>
              <w:jc w:val="left"/>
            </w:pPr>
            <w:r>
              <w:rPr>
                <w:b w:val="0"/>
              </w:rPr>
              <w:t>SEC 10-K/10-Q</w:t>
            </w:r>
          </w:p>
        </w:tc>
        <w:tc>
          <w:tcPr>
            <w:tcW w:type="dxa" w:w="1427"/>
          </w:tcPr>
          <w:p>
            <w:pPr>
              <w:pStyle w:val="Compact"/>
              <w:jc w:val="left"/>
            </w:pPr>
            <w:r>
              <w:rPr>
                <w:b w:val="0"/>
              </w:rPr>
              <w:t>BERT fine-tuned</w:t>
            </w:r>
          </w:p>
        </w:tc>
        <w:tc>
          <w:tcPr>
            <w:tcW w:type="dxa" w:w="900"/>
          </w:tcPr>
          <w:p>
            <w:pPr>
              <w:pStyle w:val="Compact"/>
              <w:jc w:val="center"/>
            </w:pPr>
            <w:r>
              <w:rPr>
                <w:b w:val="0"/>
              </w:rPr>
              <w:t>91%</w:t>
            </w:r>
          </w:p>
        </w:tc>
        <w:tc>
          <w:tcPr>
            <w:tcW w:type="dxa" w:w="900"/>
          </w:tcPr>
          <w:p>
            <w:pPr>
              <w:pStyle w:val="Compact"/>
              <w:jc w:val="center"/>
            </w:pPr>
            <w:r>
              <w:rPr>
                <w:b w:val="0"/>
              </w:rPr>
              <w:t>Cloud</w:t>
            </w:r>
          </w:p>
        </w:tc>
        <w:tc>
          <w:tcPr>
            <w:tcW w:type="dxa" w:w="900"/>
          </w:tcPr>
          <w:p>
            <w:pPr>
              <w:pStyle w:val="Compact"/>
              <w:jc w:val="left"/>
            </w:pPr>
            <w:r>
              <w:rPr>
                <w:b w:val="0"/>
              </w:rPr>
              <w:t>Inglés</w:t>
            </w:r>
          </w:p>
        </w:tc>
      </w:tr>
      <w:tr>
        <w:tc>
          <w:tcPr>
            <w:tcW w:type="dxa" w:w="2141"/>
          </w:tcPr>
          <w:p>
            <w:pPr>
              <w:pStyle w:val="Compact"/>
              <w:jc w:val="left"/>
            </w:pPr>
            <w:r>
              <w:rPr>
                <w:b w:val="0"/>
              </w:rPr>
              <w:t>García &amp; López [7]</w:t>
            </w:r>
          </w:p>
        </w:tc>
        <w:tc>
          <w:tcPr>
            <w:tcW w:type="dxa" w:w="2570"/>
          </w:tcPr>
          <w:p>
            <w:pPr>
              <w:pStyle w:val="Compact"/>
              <w:jc w:val="left"/>
            </w:pPr>
            <w:r>
              <w:rPr>
                <w:b w:val="0"/>
              </w:rPr>
              <w:t>CoNLL-ES</w:t>
            </w:r>
          </w:p>
        </w:tc>
        <w:tc>
          <w:tcPr>
            <w:tcW w:type="dxa" w:w="1427"/>
          </w:tcPr>
          <w:p>
            <w:pPr>
              <w:pStyle w:val="Compact"/>
              <w:jc w:val="left"/>
            </w:pPr>
            <w:r>
              <w:rPr>
                <w:b w:val="0"/>
              </w:rPr>
              <w:t>XLM-R</w:t>
            </w:r>
          </w:p>
        </w:tc>
        <w:tc>
          <w:tcPr>
            <w:tcW w:type="dxa" w:w="900"/>
          </w:tcPr>
          <w:p>
            <w:pPr>
              <w:pStyle w:val="Compact"/>
              <w:jc w:val="center"/>
            </w:pPr>
            <w:r>
              <w:rPr>
                <w:b w:val="0"/>
              </w:rPr>
              <w:t>88%</w:t>
            </w:r>
          </w:p>
        </w:tc>
        <w:tc>
          <w:tcPr>
            <w:tcW w:type="dxa" w:w="900"/>
          </w:tcPr>
          <w:p>
            <w:pPr>
              <w:pStyle w:val="Compact"/>
              <w:jc w:val="center"/>
            </w:pPr>
            <w:r>
              <w:rPr>
                <w:b w:val="0"/>
              </w:rPr>
              <w:t>Local</w:t>
            </w:r>
          </w:p>
        </w:tc>
        <w:tc>
          <w:tcPr>
            <w:tcW w:type="dxa" w:w="900"/>
          </w:tcPr>
          <w:p>
            <w:pPr>
              <w:pStyle w:val="Compact"/>
              <w:jc w:val="left"/>
            </w:pPr>
            <w:r>
              <w:rPr>
                <w:b w:val="0"/>
              </w:rPr>
              <w:t>Español</w:t>
            </w:r>
          </w:p>
        </w:tc>
      </w:tr>
      <w:tr>
        <w:tc>
          <w:tcPr>
            <w:tcW w:type="dxa" w:w="2141"/>
          </w:tcPr>
          <w:p>
            <w:pPr>
              <w:pStyle w:val="Compact"/>
              <w:jc w:val="left"/>
            </w:pPr>
            <w:r>
              <w:rPr>
                <w:b w:val="0"/>
              </w:rPr>
              <w:t>Chang et al. [9]</w:t>
            </w:r>
          </w:p>
        </w:tc>
        <w:tc>
          <w:tcPr>
            <w:tcW w:type="dxa" w:w="2570"/>
          </w:tcPr>
          <w:p>
            <w:pPr>
              <w:pStyle w:val="Compact"/>
              <w:jc w:val="left"/>
            </w:pPr>
            <w:r>
              <w:rPr>
                <w:b w:val="0"/>
              </w:rPr>
              <w:t>Docs bancarios</w:t>
            </w:r>
          </w:p>
        </w:tc>
        <w:tc>
          <w:tcPr>
            <w:tcW w:type="dxa" w:w="1427"/>
          </w:tcPr>
          <w:p>
            <w:pPr>
              <w:pStyle w:val="Compact"/>
              <w:jc w:val="left"/>
            </w:pPr>
            <w:r>
              <w:rPr>
                <w:b w:val="0"/>
              </w:rPr>
              <w:t>GPT-4 + RAG</w:t>
            </w:r>
          </w:p>
        </w:tc>
        <w:tc>
          <w:tcPr>
            <w:tcW w:type="dxa" w:w="900"/>
          </w:tcPr>
          <w:p>
            <w:pPr>
              <w:pStyle w:val="Compact"/>
              <w:jc w:val="center"/>
            </w:pPr>
            <w:r>
              <w:rPr>
                <w:b w:val="0"/>
              </w:rPr>
              <w:t>83%</w:t>
            </w:r>
          </w:p>
        </w:tc>
        <w:tc>
          <w:tcPr>
            <w:tcW w:type="dxa" w:w="900"/>
          </w:tcPr>
          <w:p>
            <w:pPr>
              <w:pStyle w:val="Compact"/>
              <w:jc w:val="center"/>
            </w:pPr>
            <w:r>
              <w:rPr>
                <w:b w:val="0"/>
              </w:rPr>
              <w:t>Cloud</w:t>
            </w:r>
          </w:p>
        </w:tc>
        <w:tc>
          <w:tcPr>
            <w:tcW w:type="dxa" w:w="900"/>
          </w:tcPr>
          <w:p>
            <w:pPr>
              <w:pStyle w:val="Compact"/>
              <w:jc w:val="left"/>
            </w:pPr>
            <w:r>
              <w:rPr>
                <w:b w:val="0"/>
              </w:rPr>
              <w:t>Inglés</w:t>
            </w:r>
          </w:p>
        </w:tc>
      </w:tr>
      <w:tr>
        <w:tc>
          <w:tcPr>
            <w:tcW w:type="dxa" w:w="2141"/>
          </w:tcPr>
          <w:p>
            <w:pPr>
              <w:pStyle w:val="Compact"/>
              <w:jc w:val="left"/>
            </w:pPr>
            <w:r>
              <w:rPr>
                <w:b/>
              </w:rPr>
              <w:t>Este trabajo</w:t>
            </w:r>
          </w:p>
        </w:tc>
        <w:tc>
          <w:tcPr>
            <w:tcW w:type="dxa" w:w="2570"/>
          </w:tcPr>
          <w:p>
            <w:pPr>
              <w:pStyle w:val="Compact"/>
              <w:jc w:val="left"/>
            </w:pPr>
            <w:r>
              <w:rPr>
                <w:b/>
              </w:rPr>
              <w:t>Kleptotrace/CoNLL-2002 (AML), corpus sintético N=30</w:t>
            </w:r>
          </w:p>
        </w:tc>
        <w:tc>
          <w:tcPr>
            <w:tcW w:type="dxa" w:w="1427"/>
          </w:tcPr>
          <w:p>
            <w:pPr>
              <w:pStyle w:val="Compact"/>
              <w:jc w:val="left"/>
            </w:pPr>
            <w:r>
              <w:rPr>
                <w:b/>
              </w:rPr>
              <w:t>gemma4:31b local</w:t>
            </w:r>
          </w:p>
        </w:tc>
        <w:tc>
          <w:tcPr>
            <w:tcW w:type="dxa" w:w="900"/>
          </w:tcPr>
          <w:p>
            <w:pPr>
              <w:pStyle w:val="Compact"/>
              <w:jc w:val="center"/>
            </w:pPr>
            <w:r>
              <w:rPr>
                <w:b/>
              </w:rPr>
              <w:t>79%</w:t>
            </w:r>
          </w:p>
        </w:tc>
        <w:tc>
          <w:tcPr>
            <w:tcW w:type="dxa" w:w="900"/>
          </w:tcPr>
          <w:p>
            <w:pPr>
              <w:pStyle w:val="Compact"/>
              <w:jc w:val="center"/>
            </w:pPr>
            <w:r>
              <w:rPr>
                <w:b/>
              </w:rPr>
              <w:t>100% Local</w:t>
            </w:r>
          </w:p>
        </w:tc>
        <w:tc>
          <w:tcPr>
            <w:tcW w:type="dxa" w:w="900"/>
          </w:tcPr>
          <w:p>
            <w:pPr>
              <w:pStyle w:val="Compact"/>
              <w:jc w:val="left"/>
            </w:pPr>
            <w:r>
              <w:rPr>
                <w:b/>
              </w:rPr>
              <w:t>Español</w:t>
            </w:r>
          </w:p>
        </w:tc>
      </w:tr>
    </w:tbl>
    <w:p>
      <w:pPr>
        <w:numPr>
          <w:ilvl w:val="0"/>
          <w:numId w:val="0"/>
        </w:numPr>
        <w:pStyle w:val="Normal"/>
      </w:pPr>
      <w:r>
        <w:t>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proveedores y orquestación</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Ahora bien, ese parámetro evita retener varios modelos a la vez, pero no reduce el footprint de uno solo, y esa distinción resultó decisiva. macOS asigna a la GPU un techo de memoria equivalente al 75 % de la memoria unificada del equipo (</w:t>
      </w:r>
      <w:r>
        <w:t>recommendedMaxWorkingSetSize</w:t>
      </w:r>
      <w:r>
        <w:t xml:space="preserve">):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Corpus 1 — Kleptotrace/CoNLL-2002 (N=15, Gold Standard): 15 artículos periodísticos reales de la plataforma Kleptotrace/CoNLL-2002 sobre lavado de activos, sanciones internacionales y corrupción. Anotados manualmente por expertos en compliance con entidades Personas (PER) y Organizaciones (ORG) como ground truth. Longitud promedio: ~4.833 caracteres por artículo (mediana 5.280; rango 725–8.813).</w:t>
      </w:r>
    </w:p>
    <w:p>
      <w:pPr>
        <w:numPr>
          <w:ilvl w:val="0"/>
          <w:numId w:val="0"/>
        </w:numPr>
        <w:pStyle w:val="Normal"/>
      </w:pPr>
      <w:r>
        <w:t>Corpus 2 — Kleptotrace/CoNLL-2002 Augmented (N=30, Corpus de Validación Estadística): 30 artículos breves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a partir de treinta observaciones independientes, la media muestral se aproxima a una distribución normal,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con 105 artículos reales del corpus público CoNLL-2002 en español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2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2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procedimiento que la literatura anglosajona denomina </w:t>
      </w:r>
      <w:r>
        <w:rPr>
          <w:i/>
        </w:rPr>
        <w:t>ablation study</w:t>
      </w:r>
      <w:r>
        <w:t>.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scikit-learn, statsmodels,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2 presenta los resultados consolidados del benchmark completo agrupados por familia y tamaño de modelo:</w:t>
      </w:r>
    </w:p>
    <w:p>
      <w:pPr>
        <w:numPr>
          <w:ilvl w:val="0"/>
          <w:numId w:val="0"/>
        </w:numPr>
        <w:pStyle w:val="TableCaption"/>
      </w:pPr>
      <w:r>
        <w:t>Tabla 4. Benchmark General — 12 Modelos en 13 Configuraciones sobre Kleptotrace/CoNLL-2002 (N=15)</w:t>
      </w:r>
    </w:p>
    <w:tbl>
      <w:tblPr>
        <w:tblStyle w:val="Table"/>
        <w:tblW w:type="pct" w:w="5000.0"/>
        <w:tblLook w:firstRow="1"/>
      </w:tblPr>
      <w:tblGrid>
        <w:gridCol w:w="1021"/>
        <w:gridCol w:w="900"/>
        <w:gridCol w:w="948"/>
        <w:gridCol w:w="900"/>
        <w:gridCol w:w="900"/>
        <w:gridCol w:w="900"/>
        <w:gridCol w:w="1232"/>
        <w:gridCol w:w="1137"/>
        <w:gridCol w:w="900"/>
      </w:tblGrid>
      <w:tr>
        <w:trPr>
          <w:cnfStyle w:firstRow="1"/>
        </w:trPr>
        <w:tc>
          <w:tcPr>
            <w:tcW w:type="dxa" w:w="1021"/>
            <w:tcBorders>
              <w:bottom w:val="single"/>
            </w:tcBorders>
            <w:vAlign w:val="bottom"/>
          </w:tcPr>
          <w:p>
            <w:pPr>
              <w:pStyle w:val="Compact"/>
              <w:jc w:val="left"/>
            </w:pPr>
            <w:r>
              <w:rPr>
                <w:b/>
              </w:rPr>
              <w:t>Modelo</w:t>
            </w:r>
          </w:p>
        </w:tc>
        <w:tc>
          <w:tcPr>
            <w:tcW w:type="dxa" w:w="900"/>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center"/>
            </w:pPr>
            <w:r>
              <w:rPr>
                <w:b/>
              </w:rPr>
              <w:t>Precisión</w:t>
            </w:r>
          </w:p>
        </w:tc>
        <w:tc>
          <w:tcPr>
            <w:tcW w:type="dxa" w:w="900"/>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900"/>
            <w:tcBorders>
              <w:bottom w:val="single"/>
            </w:tcBorders>
            <w:vAlign w:val="bottom"/>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5.33</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5.33</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 xml:space="preserve">). La columna «Parámetros» recoge la denominación nominal de la etiqueta del modelo, que no siempre coincide con el recuento del manifiesto —1,8B en </w:t>
      </w:r>
      <w:r>
        <w:t>deepseek-r1:1.5b</w:t>
      </w:r>
      <w:r>
        <w:t xml:space="preserve">, 4,2B en </w:t>
      </w:r>
      <w:r>
        <w:t>nemotron-mini:4b</w:t>
      </w:r>
      <w:r>
        <w:t xml:space="preserve">, 8,2B en </w:t>
      </w:r>
      <w:r>
        <w:t>qwen3:8b</w:t>
      </w:r>
      <w:r>
        <w:t xml:space="preserve">, 12,2B en </w:t>
      </w:r>
      <w:r>
        <w:t>mistral-nemo</w:t>
      </w:r>
      <w:r>
        <w:t xml:space="preserve">, 31,3B en </w:t>
      </w:r>
      <w:r>
        <w:t>gemma4:31b</w:t>
      </w:r>
      <w:r>
        <w:t xml:space="preserve">—, y el índice Tok/s/B se calcula sobre la nominal. </w:t>
      </w:r>
      <w:r>
        <w:t>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Tabla 5. Análisis de Variantes de Prompts (gemma4:latest, N=15)</w:t>
      </w:r>
    </w:p>
    <w:tbl>
      <w:tblPr>
        <w:tblStyle w:val="Table"/>
        <w:tblW w:type="pct" w:w="5000.0"/>
        <w:tblLook w:firstRow="1"/>
      </w:tblPr>
      <w:tblGrid>
        <w:gridCol w:w="2254"/>
        <w:gridCol w:w="900"/>
        <w:gridCol w:w="900"/>
        <w:gridCol w:w="900"/>
        <w:gridCol w:w="1293"/>
        <w:gridCol w:w="1194"/>
        <w:gridCol w:w="1397"/>
      </w:tblGrid>
      <w:tr>
        <w:trPr>
          <w:cnfStyle w:firstRow="1"/>
        </w:trPr>
        <w:tc>
          <w:tcPr>
            <w:tcW w:type="dxa" w:w="2254"/>
            <w:tcBorders>
              <w:bottom w:val="single"/>
            </w:tcBorders>
            <w:vAlign w:val="bottom"/>
          </w:tcPr>
          <w:p>
            <w:pPr>
              <w:pStyle w:val="Compact"/>
              <w:jc w:val="left"/>
            </w:pPr>
            <w:r>
              <w:rPr>
                <w:b/>
              </w:rPr>
              <w:t>Configuración</w:t>
            </w:r>
          </w:p>
        </w:tc>
        <w:tc>
          <w:tcPr>
            <w:tcW w:type="dxa" w:w="900"/>
            <w:tcBorders>
              <w:bottom w:val="single"/>
            </w:tcBorders>
            <w:vAlign w:val="bottom"/>
          </w:tcPr>
          <w:p>
            <w:pPr>
              <w:pStyle w:val="Compact"/>
              <w:jc w:val="left"/>
            </w:pPr>
            <w:r>
              <w:rPr>
                <w:b/>
              </w:rPr>
              <w:t>F1</w:t>
            </w:r>
          </w:p>
        </w:tc>
        <w:tc>
          <w:tcPr>
            <w:tcW w:type="dxa" w:w="900"/>
            <w:tcBorders>
              <w:bottom w:val="single"/>
            </w:tcBorders>
            <w:vAlign w:val="bottom"/>
          </w:tcPr>
          <w:p>
            <w:pPr>
              <w:pStyle w:val="Compact"/>
              <w:jc w:val="left"/>
            </w:pPr>
            <w:r>
              <w:rPr>
                <w:b/>
              </w:rPr>
              <w:t>Precisión</w:t>
            </w:r>
          </w:p>
        </w:tc>
        <w:tc>
          <w:tcPr>
            <w:tcW w:type="dxa" w:w="900"/>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4:</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w:t>
      </w:r>
    </w:p>
    <w:tbl>
      <w:tblPr>
        <w:tblStyle w:val="Table"/>
        <w:tblW w:type="pct" w:w="5000.0"/>
        <w:tblLook w:firstRow="1"/>
      </w:tblPr>
      <w:tblGrid>
        <w:gridCol w:w="2028"/>
        <w:gridCol w:w="1014"/>
        <w:gridCol w:w="1303"/>
        <w:gridCol w:w="1014"/>
        <w:gridCol w:w="2579"/>
        <w:gridCol w:w="900"/>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579"/>
            <w:tcBorders>
              <w:bottom w:val="single"/>
            </w:tcBorders>
            <w:vAlign w:val="bottom"/>
          </w:tcPr>
          <w:p>
            <w:pPr>
              <w:pStyle w:val="Compact"/>
              <w:jc w:val="center"/>
            </w:pPr>
            <w:r>
              <w:rPr>
                <w:b/>
              </w:rPr>
              <w:t>IC 95 % del F1</w:t>
            </w:r>
          </w:p>
        </w:tc>
        <w:tc>
          <w:tcPr>
            <w:tcW w:type="dxa" w:w="900"/>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Validación Estadística sobre Corpus Real N=120 (estudio completo)</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Análisis de Eficiencia en Hardware Soberano</w:t>
      </w:r>
    </w:p>
    <w:tbl>
      <w:tblPr>
        <w:tblStyle w:val="Table"/>
        <w:tblW w:type="pct" w:w="5000.0"/>
        <w:tblLook w:firstRow="1"/>
      </w:tblPr>
      <w:tblGrid>
        <w:gridCol w:w="1753"/>
        <w:gridCol w:w="1127"/>
        <w:gridCol w:w="900"/>
        <w:gridCol w:w="1753"/>
        <w:gridCol w:w="1753"/>
        <w:gridCol w:w="1552"/>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900"/>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552"/>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interacción respalda la interpretación de que el modelo procesa con mayor fluidez la estructura sintáctica de una noticia en español cuando la instrucción y las demostraciones comparten ese idioma, en línea con lo observado para codificadores en español [7] y con el sobrecoste de tokenización documentado para lenguas distintas del inglés [11].</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F1=80.57% sin extracciones fallidas sobre el corpus AML N=30 (59.25% sobre el corpus real N=120).</w:t>
      </w:r>
    </w:p>
    <w:p>
      <w:pPr>
        <w:numPr>
          <w:ilvl w:val="0"/>
          <w:numId w:val="0"/>
        </w:numPr>
        <w:pStyle w:val="BodyText"/>
      </w:pPr>
      <w:r>
        <w:t xml:space="preserve">Localización lingüística como factor crítico: el idioma del prompt y los ejemplos </w:t>
      </w:r>
      <w:r>
        <w:rPr>
          <w:i/>
        </w:rPr>
        <w:t>few-shot</w:t>
      </w:r>
      <w:r>
        <w:t xml:space="preserve"> </w:t>
      </w:r>
      <w:r>
        <w:rPr>
          <w:b/>
        </w:rPr>
        <w:t>interactúan</w:t>
      </w:r>
      <w:r>
        <w:t xml:space="preserve">: por separado aportan +4.38 pp y −0.72 pp de F1 respectivamente, pero combinados alcanzan </w:t>
      </w:r>
      <w:r>
        <w:rPr>
          <w:b/>
        </w:rPr>
        <w:t>+10.40 pp</w:t>
      </w:r>
      <w:r>
        <w:t>. Los ejemplos solo resultan productivos redactados en el idioma del corpus, lo que tiene implicaciones directas para despliegues en mercados hispanohablantes.</w:t>
      </w:r>
    </w:p>
    <w:p>
      <w:pPr>
        <w:numPr>
          <w:ilvl w:val="0"/>
          <w:numId w:val="0"/>
        </w:numPr>
        <w:pStyle w:val="BodyText"/>
      </w:pPr>
      <w:r>
        <w:t>Soberanía de datos sin costo de rendimiento: El sistema local iguala o supera el rendimiento de la variante cloud (69.12% vs. 66.99% F1 sobre N=15) mientras garantiza privacidad total.</w:t>
      </w:r>
    </w:p>
    <w:p>
      <w:pPr>
        <w:numPr>
          <w:ilvl w:val="0"/>
          <w:numId w:val="0"/>
        </w:numPr>
        <w:pStyle w:val="BodyText"/>
      </w:pPr>
      <w:r>
        <w:rPr>
          <w:b/>
        </w:rPr>
        <w:t>Reducción de costos operativos:</w:t>
      </w:r>
      <w:r>
        <w:t xml:space="preserve"> El costo unitario del sistema soberano ($0.052/artículo) versus revisión manual ($8.75/artículo) representa una reducción del 99.4% en el costo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w:t>
      </w:r>
      <w:r>
        <w:t xml:space="preserve"> El controlador AIMD previene desbordamientos de VRAM y gestiona errores de rate-limiting de forma autónoma. El checkpointing garantiza recuperación sin pérdida de datos ante interrupciones.</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los dos modelos más débiles (</w:t>
      </w:r>
      <w:r>
        <w:t>nemotron-mini:4b</w:t>
      </w:r>
      <w:r>
        <w:t xml:space="preserve"> </w:t>
      </w:r>
      <w:r>
        <w:rPr>
          <w:b/>
        </w:rPr>
        <w:t>+14.52 pp</w:t>
      </w:r>
      <w:r>
        <w:t xml:space="preserve"> (p&lt;0.001) y </w:t>
      </w:r>
      <w:r>
        <w:t>llama3.2:latest</w:t>
      </w:r>
      <w:r>
        <w:t xml:space="preserve"> </w:t>
      </w:r>
      <w:r>
        <w:rPr>
          <w:b/>
        </w:rPr>
        <w:t>+10.82 pp</w:t>
      </w:r>
      <w:r>
        <w:t xml:space="preserve"> (p=0.007)), con ganancias positivas pero no concluyentes en la franja intermedia y efecto nulo en los modelos de 31B, versus el dict-RAG (v1.0), que en un sondeo exploratorio N=5 sobre el mismo modelo, no persistido en </w:t>
      </w:r>
      <w:r>
        <w:t>results/</w:t>
      </w:r>
      <w:r>
        <w:t>, degradó el F1 hasta 0.2367 (−57.8% respecto de su propio baseline), degradación confirmada después en la corrida reproducible N=120, donde ese mismo modelo cae de 0.3611 a 0.3113. Su efectividad está modulada por la capacidad paramétrica: beneficia sobre todo a los modelos de 3–14B, donde actúa como memoria externa de conocimiento lingüístico sin costo adicional de hardware.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que oscila entre −0.070 y +0.025 de F1 según el modelo. La implicación metodológica excede a este trabajo: en una evaluación de NER, un defecto de codificación no es ruido de fondo sino una variable que interactúa con el comportamiento del modelo, y verificar la codificación de la entrada (no solo la de la referencia) debe formar parte del protocolo antes de dar por válida cualquier cifra. El detalle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inglés y portugués, considerando el alcance latinoamericano del problema de compliance.</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w:t>
      </w:r>
    </w:p>
    <w:p>
      <w:pPr>
        <w:numPr>
          <w:ilvl w:val="0"/>
          <w:numId w:val="0"/>
        </w:numPr>
        <w:pStyle w:val="BodyText"/>
      </w:pPr>
      <w:r>
        <w:t xml:space="preserve">[3] S. Wu et al., "BloombergGPT: A Large Language Model for Finance," </w:t>
      </w:r>
      <w:r>
        <w:rPr>
          <w:i/>
        </w:rPr>
        <w:t>arXiv preprint arXiv:2303.17564</w:t>
      </w:r>
      <w:r>
        <w:t>, 2023.</w:t>
      </w:r>
    </w:p>
    <w:p>
      <w:pPr>
        <w:numPr>
          <w:ilvl w:val="0"/>
          <w:numId w:val="0"/>
        </w:numPr>
        <w:pStyle w:val="BodyText"/>
      </w:pPr>
      <w:r>
        <w:t xml:space="preserve">[4] A. Vaswani et al., "Attention Is All You Need," </w:t>
      </w:r>
      <w:r>
        <w:rPr>
          <w:i/>
        </w:rPr>
        <w:t>Advances in Neural Information Processing Systems</w:t>
      </w:r>
      <w:r>
        <w:t>, 2017.</w:t>
      </w:r>
    </w:p>
    <w:p>
      <w:pPr>
        <w:numPr>
          <w:ilvl w:val="0"/>
          <w:numId w:val="0"/>
        </w:numPr>
        <w:pStyle w:val="BodyText"/>
      </w:pPr>
      <w:r>
        <w:t xml:space="preserve">[5] K. Bourne, </w:t>
      </w:r>
      <w:r>
        <w:rPr>
          <w:i/>
        </w:rPr>
        <w:t>Unlocking Data with Generative AI and RAG</w:t>
      </w:r>
      <w:r>
        <w:t>. O'Reilly Media, 2024.</w:t>
      </w:r>
    </w:p>
    <w:p>
      <w:pPr>
        <w:numPr>
          <w:ilvl w:val="0"/>
          <w:numId w:val="0"/>
        </w:numPr>
        <w:pStyle w:val="BodyText"/>
      </w:pPr>
      <w:r>
        <w:t xml:space="preserve">[6] X. Gao et al., "Retrieval-Augmented Generation for Large Language Models: A Survey," </w:t>
      </w:r>
      <w:r>
        <w:rPr>
          <w:i/>
        </w:rPr>
        <w:t>arXiv preprint arXiv:2312.10997</w:t>
      </w:r>
      <w:r>
        <w:t>, 2024.</w:t>
      </w:r>
    </w:p>
    <w:p>
      <w:pPr>
        <w:numPr>
          <w:ilvl w:val="0"/>
          <w:numId w:val="0"/>
        </w:numPr>
        <w:pStyle w:val="BodyText"/>
      </w:pPr>
      <w:r>
        <w:t xml:space="preserve">[7] A. García and M. López, "Evaluating BERT and Transformers for Named Entity Recognition in Spanish," </w:t>
      </w:r>
      <w:r>
        <w:rPr>
          <w:i/>
        </w:rPr>
        <w:t>Proceedings of IberLEF</w:t>
      </w:r>
      <w:r>
        <w:t>, 2021.</w:t>
      </w:r>
    </w:p>
    <w:p>
      <w:pPr>
        <w:numPr>
          <w:ilvl w:val="0"/>
          <w:numId w:val="0"/>
        </w:numPr>
        <w:pStyle w:val="BodyText"/>
      </w:pPr>
      <w:r>
        <w:t xml:space="preserve">[8] T. Brown et al., "Language Models are Few-Shot Learners," </w:t>
      </w:r>
      <w:r>
        <w:rPr>
          <w:i/>
        </w:rPr>
        <w:t>Advances in Neural Information Processing Systems</w:t>
      </w:r>
      <w:r>
        <w:t>, vol. 33, pp. 1877-1901, 2020.</w:t>
      </w:r>
    </w:p>
    <w:p>
      <w:pPr>
        <w:numPr>
          <w:ilvl w:val="0"/>
          <w:numId w:val="0"/>
        </w:numPr>
        <w:pStyle w:val="BodyText"/>
      </w:pPr>
      <w:r>
        <w:t xml:space="preserve">[9] M. Chang, J. Kim, and S. Park, "RAG for Financial Document Analysis: A Practical Framework," </w:t>
      </w:r>
      <w:r>
        <w:rPr>
          <w:i/>
        </w:rPr>
        <w:t>Journal of Financial Data Science</w:t>
      </w:r>
      <w:r>
        <w:t>, vol. 6, no. 2, pp. 45-62, 2024.</w:t>
      </w:r>
    </w:p>
    <w:p>
      <w:pPr>
        <w:numPr>
          <w:ilvl w:val="0"/>
          <w:numId w:val="0"/>
        </w:numPr>
        <w:pStyle w:val="BodyText"/>
      </w:pPr>
      <w:r>
        <w:t xml:space="preserve">[10] J. Smith, L. Johnson, and R. Davis, "Conditional Random Fields for Named Entity Recognition in Financial Texts," </w:t>
      </w:r>
      <w:r>
        <w:rPr>
          <w:i/>
        </w:rPr>
        <w:t>ACM Transactions on Intelligent Systems</w:t>
      </w:r>
      <w:r>
        <w:t>, vol. 10, no. 3, pp. 1-25, 2019.</w:t>
      </w:r>
    </w:p>
    <w:p>
      <w:pPr>
        <w:numPr>
          <w:ilvl w:val="0"/>
          <w:numId w:val="0"/>
        </w:numPr>
        <w:pStyle w:val="BodyText"/>
      </w:pPr>
      <w:r>
        <w:t xml:space="preserve">[11] T. Ahia et al., "Do All Languages Cost the Same? Tokenization in the Era of Commercial Language Models," </w:t>
      </w:r>
      <w:r>
        <w:rPr>
          <w:i/>
        </w:rPr>
        <w:t>Proceedings of EMNLP</w:t>
      </w:r>
      <w:r>
        <w:t>, 2023.</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https://www.clips.uantwerpen.be/conll2002/ner/</w:t>
      </w:r>
    </w:p>
    <w:p>
      <w:pPr>
        <w:numPr>
          <w:ilvl w:val="0"/>
          <w:numId w:val="0"/>
        </w:numPr>
        <w:pStyle w:val="BodyText"/>
      </w:pPr>
      <w:r>
        <w:t xml:space="preserve">[13] J. Wei et al., "Chain-of-Thought Prompting Elicits Reasoning in Large Language Models," </w:t>
      </w:r>
      <w:r>
        <w:rPr>
          <w:i/>
        </w:rPr>
        <w:t>Advances in Neural Information Processing Systems</w:t>
      </w:r>
      <w:r>
        <w:t>, vol. 35, 2022.</w:t>
      </w:r>
    </w:p>
    <w:p>
      <w:pPr>
        <w:numPr>
          <w:ilvl w:val="0"/>
          <w:numId w:val="0"/>
        </w:numPr>
        <w:pStyle w:val="BodyText"/>
      </w:pPr>
      <w:r>
        <w:t xml:space="preserve">[14] A. Zhao et al., "Calibrate Before Use: Improving Few-Shot Performance of Language Models," </w:t>
      </w:r>
      <w:r>
        <w:rPr>
          <w:i/>
        </w:rPr>
        <w:t>Proceedings of ICML</w:t>
      </w:r>
      <w:r>
        <w:t>, 2021.</w:t>
      </w:r>
    </w:p>
    <w:p>
      <w:pPr>
        <w:numPr>
          <w:ilvl w:val="0"/>
          <w:numId w:val="0"/>
        </w:numPr>
        <w:pStyle w:val="BodyText"/>
      </w:pPr>
      <w:r>
        <w:t xml:space="preserve">[15] M. Min et al., "FiNER: Financial Named Entity Recognition Dataset and Benchmark," </w:t>
      </w:r>
      <w:r>
        <w:rPr>
          <w:i/>
        </w:rPr>
        <w:t>Proceedings of ACL</w:t>
      </w:r>
      <w:r>
        <w:t>, 2023.</w:t>
      </w:r>
    </w:p>
    <w:p>
      <w:pPr>
        <w:numPr>
          <w:ilvl w:val="0"/>
          <w:numId w:val="0"/>
        </w:numPr>
        <w:pStyle w:val="BodyText"/>
      </w:pPr>
      <w:r>
        <w:t xml:space="preserve">[16] R. Schwartz et al., "Green AI," </w:t>
      </w:r>
      <w:r>
        <w:rPr>
          <w:i/>
        </w:rPr>
        <w:t>Communications of the ACM</w:t>
      </w:r>
      <w:r>
        <w:t>, vol. 63, no. 12, pp. 54-63, 2020.</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w:t>
      </w:r>
    </w:p>
    <w:p>
      <w:pPr>
        <w:numPr>
          <w:ilvl w:val="0"/>
          <w:numId w:val="0"/>
        </w:numPr>
        <w:pStyle w:val="BodyText"/>
      </w:pPr>
      <w:r>
        <w:t>[18] Kleptotrace Project, "Kleptotrace corpus: Financial Sanctions and Money Laundering News Corpus," conjunto de datos del proyecto (15 artículos anotados por expertos), 2024.</w:t>
      </w:r>
    </w:p>
    <w:p>
      <w:pPr>
        <w:numPr>
          <w:ilvl w:val="0"/>
          <w:numId w:val="0"/>
        </w:numPr>
        <w:pStyle w:val="BodyText"/>
      </w:pPr>
      <w:r>
        <w:t>[19] OpenSanctions, "OpenSanctions: Open Data on Sanctions Lists and Politically Exposed Persons," [Online]. Available: https://www.opensanctions.org, 2024.</w:t>
      </w:r>
    </w:p>
    <w:p>
      <w:pPr>
        <w:numPr>
          <w:ilvl w:val="0"/>
          <w:numId w:val="0"/>
        </w:numPr>
        <w:pStyle w:val="BodyText"/>
      </w:pPr>
      <w:r>
        <w:t xml:space="preserve">[20] T. Dettmers et al., "QLoRA: Efficient Finetuning of Quantized LLMs," </w:t>
      </w:r>
      <w:r>
        <w:rPr>
          <w:i/>
        </w:rPr>
        <w:t>Advances in Neural Information Processing Systems</w:t>
      </w:r>
      <w:r>
        <w:t>, vol. 36, 2023.</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 xml:space="preserve">El código, los corpus, los resultados por corrida y los documentos de trabajo están publicados en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Anexo A — Estructura del Repositorio de Código</w:t>
      </w:r>
    </w:p>
    <w:tbl>
      <w:tblPr>
        <w:tblStyle w:val="Table"/>
        <w:tblW w:type="pct" w:w="5000.0"/>
        <w:tblLook w:firstRow="1"/>
      </w:tblPr>
      <w:tblGrid>
        <w:gridCol w:w="5461"/>
        <w:gridCol w:w="3377"/>
      </w:tblGrid>
      <w:tr>
        <w:trPr>
          <w:cnfStyle w:firstRow="1"/>
        </w:trPr>
        <w:tc>
          <w:tcPr>
            <w:tcW w:type="dxa" w:w="5461"/>
            <w:tcBorders>
              <w:bottom w:val="single"/>
            </w:tcBorders>
            <w:vAlign w:val="bottom"/>
          </w:tcPr>
          <w:p>
            <w:pPr>
              <w:pStyle w:val="Compact"/>
              <w:jc w:val="left"/>
            </w:pPr>
            <w:r>
              <w:rPr>
                <w:b/>
              </w:rPr>
              <w:t>Ruta</w:t>
            </w:r>
          </w:p>
        </w:tc>
        <w:tc>
          <w:tcPr>
            <w:tcW w:type="dxa" w:w="3377"/>
            <w:tcBorders>
              <w:bottom w:val="single"/>
            </w:tcBorders>
            <w:vAlign w:val="bottom"/>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Anexo C —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0"/>
        <w:tblLook w:firstRow="1"/>
      </w:tblPr>
      <w:tblGrid>
        <w:gridCol w:w="2513"/>
        <w:gridCol w:w="2211"/>
        <w:gridCol w:w="900"/>
        <w:gridCol w:w="3214"/>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900"/>
            <w:tcBorders>
              <w:bottom w:val="single"/>
            </w:tcBorders>
            <w:vAlign w:val="bottom"/>
          </w:tcPr>
          <w:p>
            <w:pPr>
              <w:pStyle w:val="Compact"/>
              <w:jc w:val="left"/>
            </w:pPr>
            <w:r>
              <w:rPr>
                <w:b/>
              </w:rPr>
              <w:t>Idioma</w:t>
            </w:r>
          </w:p>
        </w:tc>
        <w:tc>
          <w:tcPr>
            <w:tcW w:type="dxa" w:w="3214"/>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Resultados Completos del Benchmark General (13 Configuraciones, N=15)</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5</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(20 commits entre el 29 de junio y el 1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que la validación complementaria sobre el corpus real N=120 (§5.3.5) cubre un subconjunto de cinco modelos y que la re-evaluación de los modelos restantes queda como trabajo futuro (§7.2).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H.1 Naturaleza y alcance del defecto</w:t>
      </w:r>
    </w:p>
    <w:tbl>
      <w:tblPr>
        <w:tblStyle w:val="Table"/>
        <w:tblW w:type="pct" w:w="5000.0"/>
        <w:tblLook w:firstRow="1"/>
      </w:tblPr>
      <w:tblGrid>
        <w:gridCol w:w="5077"/>
        <w:gridCol w:w="3761"/>
      </w:tblGrid>
      <w:tr>
        <w:trPr>
          <w:cnfStyle w:firstRow="1"/>
        </w:trPr>
        <w:tc>
          <w:tcPr>
            <w:tcW w:type="dxa" w:w="5077"/>
            <w:tcBorders>
              <w:bottom w:val="single"/>
            </w:tcBorders>
            <w:vAlign w:val="bottom"/>
          </w:tcPr>
          <w:p>
            <w:pPr>
              <w:pStyle w:val="Compact"/>
              <w:jc w:val="left"/>
            </w:pPr>
            <w:r>
              <w:rPr>
                <w:b/>
              </w:rPr>
              <w:t>Forma almacenada (corrupta)</w:t>
            </w:r>
          </w:p>
        </w:tc>
        <w:tc>
          <w:tcPr>
            <w:tcW w:type="dxa" w:w="3761"/>
            <w:tcBorders>
              <w:bottom w:val="single"/>
            </w:tcBorders>
            <w:vAlign w:val="bottom"/>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H.2 Alcance medido y consecuencia sobre la comparación</w:t>
      </w:r>
    </w:p>
    <w:tbl>
      <w:tblPr>
        <w:tblStyle w:val="Table"/>
        <w:tblW w:type="pct" w:w="5000.0"/>
        <w:tblLook w:firstRow="1"/>
      </w:tblPr>
      <w:tblGrid>
        <w:gridCol w:w="5564"/>
        <w:gridCol w:w="3274"/>
      </w:tblGrid>
      <w:tr>
        <w:trPr>
          <w:cnfStyle w:firstRow="1"/>
        </w:trPr>
        <w:tc>
          <w:tcPr>
            <w:tcW w:type="dxa" w:w="5564"/>
            <w:tcBorders>
              <w:bottom w:val="single"/>
            </w:tcBorders>
            <w:vAlign w:val="bottom"/>
          </w:tcPr>
          <w:p>
            <w:pPr>
              <w:pStyle w:val="Compact"/>
              <w:jc w:val="left"/>
            </w:pPr>
            <w:r>
              <w:rPr>
                <w:b/>
              </w:rPr>
              <w:t>Comprobación sobre data/benchmark_balanced_120.json</w:t>
            </w:r>
          </w:p>
        </w:tc>
        <w:tc>
          <w:tcPr>
            <w:tcW w:type="dxa" w:w="3274"/>
            <w:tcBorders>
              <w:bottom w:val="single"/>
            </w:tcBorders>
            <w:vAlign w:val="bottom"/>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Diferencia de F1 entre los 88 artículos afectados y los 31 no afectados, sobre los mismos registros para todos los modelos:</w:t>
      </w:r>
    </w:p>
    <w:p>
      <w:pPr>
        <w:numPr>
          <w:ilvl w:val="0"/>
          <w:numId w:val="0"/>
        </w:numPr>
        <w:pStyle w:val="TableCaption"/>
      </w:pPr>
      <w:r>
        <w:t>Tabla 18. H.3 Evidencia empírica del efecto diferencial</w:t>
      </w:r>
    </w:p>
    <w:tbl>
      <w:tblPr>
        <w:tblStyle w:val="Table"/>
        <w:tblW w:type="pct" w:w="5000.0"/>
        <w:tblLook w:firstRow="1"/>
      </w:tblPr>
      <w:tblGrid>
        <w:gridCol w:w="4499"/>
        <w:gridCol w:w="4339"/>
      </w:tblGrid>
      <w:tr>
        <w:trPr>
          <w:cnfStyle w:firstRow="1"/>
        </w:trPr>
        <w:tc>
          <w:tcPr>
            <w:tcW w:type="dxa" w:w="4499"/>
            <w:tcBorders>
              <w:bottom w:val="single"/>
            </w:tcBorders>
            <w:vAlign w:val="bottom"/>
          </w:tcPr>
          <w:p>
            <w:pPr>
              <w:pStyle w:val="Compact"/>
              <w:jc w:val="left"/>
            </w:pPr>
            <w:r>
              <w:rPr>
                <w:b/>
              </w:rPr>
              <w:t>Modelo</w:t>
            </w:r>
          </w:p>
        </w:tc>
        <w:tc>
          <w:tcPr>
            <w:tcW w:type="dxa" w:w="4339"/>
            <w:tcBorders>
              <w:bottom w:val="single"/>
            </w:tcBorders>
            <w:vAlign w:val="bottom"/>
          </w:tcPr>
          <w:p>
            <w:pPr>
              <w:pStyle w:val="Compact"/>
              <w:jc w:val="left"/>
            </w:pPr>
            <w:r>
              <w:rPr>
                <w:b/>
              </w:rPr>
              <w:t xml:space="preserve">Δ F1 (con </w:t>
            </w:r>
            <w:r>
              <w:rPr>
                <w:b/>
                <w:i/>
              </w:rPr>
              <w:t>mojibake</w:t>
            </w:r>
            <w:r>
              <w:rPr>
                <w:b/>
              </w:rPr>
              <w:t xml:space="preserve"> − sin)</w:t>
            </w:r>
          </w:p>
        </w:tc>
      </w:tr>
      <w:tr>
        <w:tc>
          <w:tcPr>
            <w:tcW w:type="dxa" w:w="4499"/>
          </w:tcPr>
          <w:p>
            <w:pPr>
              <w:pStyle w:val="Compact"/>
              <w:jc w:val="left"/>
            </w:pPr>
            <w:r>
              <w:rPr>
                <w:b w:val="0"/>
              </w:rPr>
              <w:t>gemma4:latest (baseline)</w:t>
            </w:r>
          </w:p>
        </w:tc>
        <w:tc>
          <w:tcPr>
            <w:tcW w:type="dxa" w:w="4339"/>
          </w:tcPr>
          <w:p>
            <w:pPr>
              <w:pStyle w:val="Compact"/>
              <w:jc w:val="left"/>
            </w:pPr>
            <w:r>
              <w:rPr>
                <w:b/>
              </w:rPr>
              <w:t>−0.0695</w:t>
            </w:r>
          </w:p>
        </w:tc>
      </w:tr>
      <w:tr>
        <w:tc>
          <w:tcPr>
            <w:tcW w:type="dxa" w:w="4499"/>
          </w:tcPr>
          <w:p>
            <w:pPr>
              <w:pStyle w:val="Compact"/>
              <w:jc w:val="left"/>
            </w:pPr>
            <w:r>
              <w:rPr>
                <w:b w:val="0"/>
              </w:rPr>
              <w:t>gemma4:12b-mlx (baseline)</w:t>
            </w:r>
          </w:p>
        </w:tc>
        <w:tc>
          <w:tcPr>
            <w:tcW w:type="dxa" w:w="4339"/>
          </w:tcPr>
          <w:p>
            <w:pPr>
              <w:pStyle w:val="Compact"/>
              <w:jc w:val="left"/>
            </w:pPr>
            <w:r>
              <w:rPr>
                <w:b w:val="0"/>
              </w:rPr>
              <w:t>−0.0422</w:t>
            </w:r>
          </w:p>
        </w:tc>
      </w:tr>
      <w:tr>
        <w:tc>
          <w:tcPr>
            <w:tcW w:type="dxa" w:w="4499"/>
          </w:tcPr>
          <w:p>
            <w:pPr>
              <w:pStyle w:val="Compact"/>
              <w:jc w:val="left"/>
            </w:pPr>
            <w:r>
              <w:rPr>
                <w:b w:val="0"/>
              </w:rPr>
              <w:t>gemma4:31b-mlx (baseline)</w:t>
            </w:r>
          </w:p>
        </w:tc>
        <w:tc>
          <w:tcPr>
            <w:tcW w:type="dxa" w:w="4339"/>
          </w:tcPr>
          <w:p>
            <w:pPr>
              <w:pStyle w:val="Compact"/>
              <w:jc w:val="left"/>
            </w:pPr>
            <w:r>
              <w:rPr>
                <w:b w:val="0"/>
              </w:rPr>
              <w:t>−0.0395</w:t>
            </w:r>
          </w:p>
        </w:tc>
      </w:tr>
      <w:tr>
        <w:tc>
          <w:tcPr>
            <w:tcW w:type="dxa" w:w="4499"/>
          </w:tcPr>
          <w:p>
            <w:pPr>
              <w:pStyle w:val="Compact"/>
              <w:jc w:val="left"/>
            </w:pPr>
            <w:r>
              <w:rPr>
                <w:b w:val="0"/>
              </w:rPr>
              <w:t>llama3.1:8b (KB RAG)</w:t>
            </w:r>
          </w:p>
        </w:tc>
        <w:tc>
          <w:tcPr>
            <w:tcW w:type="dxa" w:w="4339"/>
          </w:tcPr>
          <w:p>
            <w:pPr>
              <w:pStyle w:val="Compact"/>
              <w:jc w:val="left"/>
            </w:pPr>
            <w:r>
              <w:rPr>
                <w:b w:val="0"/>
              </w:rPr>
              <w:t>−0.0004</w:t>
            </w:r>
          </w:p>
        </w:tc>
      </w:tr>
      <w:tr>
        <w:tc>
          <w:tcPr>
            <w:tcW w:type="dxa" w:w="4499"/>
          </w:tcPr>
          <w:p>
            <w:pPr>
              <w:pStyle w:val="Compact"/>
              <w:jc w:val="left"/>
            </w:pPr>
            <w:r>
              <w:rPr>
                <w:b w:val="0"/>
              </w:rPr>
              <w:t>mistral-nemo:latest (KB RAG)</w:t>
            </w:r>
          </w:p>
        </w:tc>
        <w:tc>
          <w:tcPr>
            <w:tcW w:type="dxa" w:w="4339"/>
          </w:tcPr>
          <w:p>
            <w:pPr>
              <w:pStyle w:val="Compact"/>
              <w:jc w:val="left"/>
            </w:pPr>
            <w:r>
              <w:rPr>
                <w:b w:val="0"/>
              </w:rPr>
              <w:t>+0.0122</w:t>
            </w:r>
          </w:p>
        </w:tc>
      </w:tr>
      <w:tr>
        <w:tc>
          <w:tcPr>
            <w:tcW w:type="dxa" w:w="4499"/>
          </w:tcPr>
          <w:p>
            <w:pPr>
              <w:pStyle w:val="Compact"/>
              <w:jc w:val="left"/>
            </w:pPr>
            <w:r>
              <w:rPr>
                <w:b w:val="0"/>
              </w:rPr>
              <w:t>deepseek-r1:1.5b (baseline)</w:t>
            </w:r>
          </w:p>
        </w:tc>
        <w:tc>
          <w:tcPr>
            <w:tcW w:type="dxa" w:w="4339"/>
          </w:tcPr>
          <w:p>
            <w:pPr>
              <w:pStyle w:val="Compact"/>
              <w:jc w:val="left"/>
            </w:pPr>
            <w:r>
              <w:rPr>
                <w:b w:val="0"/>
              </w:rPr>
              <w:t>+0.0199</w:t>
            </w:r>
          </w:p>
        </w:tc>
      </w:tr>
      <w:tr>
        <w:tc>
          <w:tcPr>
            <w:tcW w:type="dxa" w:w="4499"/>
          </w:tcPr>
          <w:p>
            <w:pPr>
              <w:pStyle w:val="Compact"/>
              <w:jc w:val="left"/>
            </w:pPr>
            <w:r>
              <w:rPr>
                <w:b w:val="0"/>
              </w:rPr>
              <w:t>gemma:latest (KB RAG)</w:t>
            </w:r>
          </w:p>
        </w:tc>
        <w:tc>
          <w:tcPr>
            <w:tcW w:type="dxa" w:w="4339"/>
          </w:tcPr>
          <w:p>
            <w:pPr>
              <w:pStyle w:val="Compact"/>
              <w:jc w:val="left"/>
            </w:pPr>
            <w:r>
              <w:rPr>
                <w:b/>
              </w:rPr>
              <w:t>+0.0249</w:t>
            </w:r>
          </w:p>
        </w:tc>
      </w:tr>
    </w:tbl>
    <w:p>
      <w:pPr>
        <w:numPr>
          <w:ilvl w:val="0"/>
          <w:numId w:val="0"/>
        </w:numPr>
        <w:pStyle w:val="Normal"/>
      </w:pPr>
      <w:r>
        <w:t xml:space="preserve">El rango entre extremos alcanza </w:t>
      </w:r>
      <w:r>
        <w:rPr>
          <w:b/>
        </w:rPr>
        <w:t>9,4 puntos porcentuales</w:t>
      </w:r>
      <w:r>
        <w:t>.</w:t>
      </w:r>
    </w:p>
    <w:p>
      <w:pPr>
        <w:numPr>
          <w:ilvl w:val="0"/>
          <w:numId w:val="0"/>
        </w:numPr>
        <w:pStyle w:val="BodyText"/>
      </w:pPr>
      <w:r>
        <w:rPr>
          <w:b/>
        </w:rPr>
        <w:t>Cautela metodológica.</w:t>
      </w:r>
      <w:r>
        <w:t xml:space="preserve"> Los artículos afectados podrían ser además más largos o intrínsecamente más difíciles, lo que confundiría la magnitud absoluta de cada Δ. Sin embargo, la dificultad desplazaría a todos los modelos en la misma dirección; </w:t>
      </w:r>
      <w:r>
        <w:rPr>
          <w:b/>
        </w:rPr>
        <w:t>la dispersión entre modelos sobre registros idénticos</w:t>
      </w:r>
      <w:r>
        <w:t xml:space="preserve"> es lo que acredita una interacción específica de cada modelo. Una versión previa de esta tabla situaba a </w:t>
      </w:r>
      <w:r>
        <w:t>gpt-oss:20b</w:t>
      </w:r>
      <w:r>
        <w:t xml:space="preserve"> en el extremo positivo con +0,091, y se advirtió entonces que esa fila era la menos fiable por estar dominada por un artefacto del arnés. Corregido el artefacto y repetida la medición, su valor real es </w:t>
      </w:r>
      <w:r>
        <w:rPr>
          <w:b/>
        </w:rPr>
        <w:t>−0,034</w:t>
      </w:r>
      <w:r>
        <w:t>, dentro del rango del resto. El episodio ilustra la necesidad de descartar defectos de ejecución antes de interpretar un valor extremo.</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