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ejecutados en local mediante Ollama sobre Apple Silicon, sobre una arquitectura pub/sub multihilo con concurrencia adaptativa (AIMD) y capa Factory/Facade. La validación comparó trece modelos sobre 120 artículos reales en español y 30 del dominio; contrastó la extracción directa con la generación aumentada por recuperación (RAG) contextual y midió las diferencias con ANOVA y Tukey HSD. El beneficio del RAG resulta inversamente proporcional a la capacidad del modelo: solo es significativo en los dos más débiles (+14,5 y +10,8 puntos de F1) y es nulo o adverso en los mayores. Redactar el prompt en español e incorporar ejemplos </w:t>
      </w:r>
      <w:r>
        <w:rPr>
          <w:i/>
        </w:rPr>
        <w:t>few-shot</w:t>
      </w:r>
      <w:r>
        <w:t xml:space="preserve"> aporta +10,4 puntos sobre el baseline en inglés, mejora que ninguno de ambos factores logra por separado. El mejor modelo alcanza 80,57 % de F1 sin extracciones fallidas en el corpus del dominio, reduce el costo unitario de revisión y preserva la confidencialidad.</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executed locally through Ollama on Apple Silicon hardware, on a multithreaded pub/sub architecture with adaptive concurrency control (AIMD) and a Factory/Facade layer. Validation compared thirteen models on 120 real Spanish-language articles and 30 domain ones; contrasted direct extraction with contextual retrieval-augmented generation (RAG) and measured the differences with ANOVA and Tukey HSD. The benefit of RAG is inversely proportional to model capacity: it is significant only in the two weakest models (+14.5 and +10.8 F1 points) and is null or adverse in the larger ones. Writing the prompt in Spanish and adding </w:t>
      </w:r>
      <w:r>
        <w:rPr>
          <w:i/>
        </w:rPr>
        <w:t>few-shot</w:t>
      </w:r>
      <w:r>
        <w:t xml:space="preserve"> examples yields +10.4 points over the English baseline, an improvement neither factor achieves alone. The best model reaches 80.57 % F1 with no failed extractions on the domain corpus, lowers the unit cost of review and preserves confidentiality.</w:t>
      </w:r>
    </w:p>
    <w:p>
      <w:pPr>
        <w:numPr>
          <w:ilvl w:val="0"/>
          <w:numId w:val="0"/>
        </w:numPr>
        <w:pStyle w:val="keywords"/>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w:t>
      </w:r>
    </w:p>
    <w:p>
      <w:pPr>
        <w:numPr>
          <w:ilvl w:val="0"/>
          <w:numId w:val="0"/>
        </w:numPr>
        <w:pStyle w:val="numbereditem"/>
      </w:pPr>
      <w:r>
        <w:t>Conclusiones y Trabajo Futuro</w:t>
      </w:r>
    </w:p>
    <w:p>
      <w:pPr>
        <w:numPr>
          <w:ilvl w:val="0"/>
          <w:numId w:val="0"/>
        </w:numPr>
        <w:pStyle w:val="numbereditem"/>
      </w:pPr>
      <w:r>
        <w:t>Referencias Bibliográficas</w:t>
      </w:r>
    </w:p>
    <w:p>
      <w:pPr>
        <w:numPr>
          <w:ilvl w:val="0"/>
          <w:numId w:val="0"/>
        </w:numPr>
        <w:pStyle w:val="numbered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se estima en USD 8.75 por artículo analizado. A nivel global, según Verified Market Research el mercado de RegTech se valoró en USD 15,68 mil millones en 2020 y se proyecta que alcance USD 87,17 mil millones hacia 2028, con una CAGR del 23,92 % durante 2021-2028, evidenciando la urgencia de soluciones automatizadas y escalables (Verified Market Research, 2022).</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alcanzan el mejor desempeño publicado, pero requieren miles de ejemplos etiquetados en el dominio objetivo, inexistentes en español para cumplimiento financiero.</w:t>
      </w:r>
    </w:p>
    <w:p>
      <w:pPr>
        <w:numPr>
          <w:ilvl w:val="0"/>
          <w:numId w:val="0"/>
        </w:numPr>
        <w:pStyle w:val="Normal"/>
      </w:pPr>
      <w:r>
        <w:t>La brecha que este trabajo aborda se sitúa precisamente en esa intersección vacía: obtener un desempeño aprovechable sin datos etiquetados del dominio y sin ceder los datos a un tercero.</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reales en español: </w:t>
      </w:r>
      <w:r>
        <w:rPr>
          <w:b/>
        </w:rPr>
        <w:t>12 modelos</w:t>
      </w:r>
      <w:r>
        <w:t xml:space="preserve"> en el benchmark exploratorio N=15 (§5.1) y </w:t>
      </w:r>
      <w:r>
        <w:rPr>
          <w:b/>
        </w:rPr>
        <w:t>13 modelos</w:t>
      </w:r>
      <w:r>
        <w:t xml:space="preserve"> en el estudio principal N=120 con KB RAG (§5.3.5).</w:t>
      </w:r>
    </w:p>
    <w:p>
      <w:pPr>
        <w:numPr>
          <w:ilvl w:val="0"/>
          <w:numId w:val="0"/>
        </w:numPr>
        <w:pStyle w:val="numbereditem"/>
      </w:pPr>
      <w:r>
        <w:t xml:space="preserve">Ejecutar una comparación sistemática de cuatro configuraciones de prompt (zero-shot/few-shot × inglés/español) (un diseño factorial 2×2, que la literatura anglosajona de aprendizaje automático denomina </w:t>
      </w:r>
      <w:r>
        <w:rPr>
          <w:i/>
        </w:rPr>
        <w:t>ablation study</w:t>
      </w:r>
      <w:r>
        <w:t>)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y de personas expuestas políticamente [19].</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[17], [10]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constituyen el estado del arte académico. Partiendo de un modelo pre-entrenado, un ajuste fino sobre el dominio alcanza entre 88 % y 91 % de F1 en español [7],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w:t>
      </w:r>
    </w:p>
    <w:p>
      <w:pPr>
        <w:numPr>
          <w:ilvl w:val="0"/>
          <w:numId w:val="0"/>
        </w:numPr>
        <w:pStyle w:val="tablecaption"/>
      </w:pPr>
      <w:r>
        <w:t>Tabla 1. El problema y las familias de técnicas disponibles</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[5],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ofrece el motor de inferencia cuantizada de referencia pero exige gestión manual de modelos; </w:t>
      </w:r>
      <w:r>
        <w:rPr>
          <w:b/>
        </w:rPr>
        <w:t>vLLM</w:t>
      </w:r>
      <w:r>
        <w:t xml:space="preserve">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aprovecha específicamente la memoria unificada de Apple Silicon; y </w:t>
      </w:r>
      <w:r>
        <w:rPr>
          <w:b/>
        </w:rPr>
        <w:t>Ollama</w:t>
      </w:r>
      <w:r>
        <w:t xml:space="preserve">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p1a"/>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y criterios de selección</w:t>
      </w:r>
    </w:p>
    <w:tbl>
      <w:tblPr>
        <w:tblStyle w:val="Table"/>
        <w:tblW w:type="dxa" w:w="8838"/>
        <w:tblLayout w:type="fixed"/>
        <w:tblLook w:firstRow="1" w:lastRow="0" w:firstColumn="0" w:lastColumn="0" w:noHBand="0" w:noVBand="0" w:val="0020"/>
      </w:tblPr>
      <w:tblGrid>
        <w:gridCol w:w="2141"/>
        <w:gridCol w:w="2570"/>
        <w:gridCol w:w="1427"/>
        <w:gridCol w:w="900"/>
        <w:gridCol w:w="900"/>
        <w:gridCol w:w="900"/>
      </w:tblGrid>
      <w:tr>
        <w:trPr>
          <w:tblHeader w:val="on"/>
        </w:trPr>
        <w:tc>
          <w:tcPr>
            <w:tcW w:type="dxa" w:w="2141"/>
          </w:tcPr>
          <w:p>
            <w:pPr>
              <w:pStyle w:val="Compact"/>
              <w:jc w:val="left"/>
            </w:pPr>
            <w:r>
              <w:rPr>
                <w:b/>
              </w:rPr>
              <w:t>Trabajo</w:t>
            </w:r>
          </w:p>
        </w:tc>
        <w:tc>
          <w:tcPr>
            <w:tcW w:type="dxa" w:w="2570"/>
          </w:tcPr>
          <w:p>
            <w:pPr>
              <w:pStyle w:val="Compact"/>
              <w:jc w:val="left"/>
            </w:pPr>
            <w:r>
              <w:rPr>
                <w:b/>
              </w:rPr>
              <w:t>Dataset</w:t>
            </w:r>
          </w:p>
        </w:tc>
        <w:tc>
          <w:tcPr>
            <w:tcW w:type="dxa" w:w="1427"/>
          </w:tcPr>
          <w:p>
            <w:pPr>
              <w:pStyle w:val="Compact"/>
              <w:jc w:val="left"/>
            </w:pPr>
            <w:r>
              <w:rPr>
                <w:b/>
              </w:rPr>
              <w:t>Modelo</w:t>
            </w:r>
          </w:p>
        </w:tc>
        <w:tc>
          <w:tcPr>
            <w:tcW w:type="dxa" w:w="900"/>
          </w:tcPr>
          <w:p>
            <w:pPr>
              <w:pStyle w:val="Compact"/>
              <w:jc w:val="center"/>
            </w:pPr>
            <w:r>
              <w:rPr>
                <w:b/>
              </w:rPr>
              <w:t>F1</w:t>
            </w:r>
          </w:p>
        </w:tc>
        <w:tc>
          <w:tcPr>
            <w:tcW w:type="dxa" w:w="900"/>
          </w:tcPr>
          <w:p>
            <w:pPr>
              <w:pStyle w:val="Compact"/>
              <w:jc w:val="center"/>
            </w:pPr>
            <w:r>
              <w:rPr>
                <w:b/>
              </w:rPr>
              <w:t>Privacidad</w:t>
            </w:r>
          </w:p>
        </w:tc>
        <w:tc>
          <w:tcPr>
            <w:tcW w:type="dxa" w:w="900"/>
          </w:tcPr>
          <w:p>
            <w:pPr>
              <w:pStyle w:val="Compact"/>
              <w:jc w:val="left"/>
            </w:pPr>
            <w:r>
              <w:rPr>
                <w:b/>
              </w:rPr>
              <w:t>Idioma</w:t>
            </w:r>
          </w:p>
        </w:tc>
      </w:tr>
      <w:tr>
        <w:tc>
          <w:tcPr>
            <w:tcW w:type="dxa" w:w="2141"/>
          </w:tcPr>
          <w:p>
            <w:pPr>
              <w:pStyle w:val="Compact"/>
              <w:jc w:val="left"/>
            </w:pPr>
            <w:r>
              <w:rPr>
                <w:b w:val="0"/>
              </w:rPr>
              <w:t>BloombergGPT [3]</w:t>
            </w:r>
          </w:p>
        </w:tc>
        <w:tc>
          <w:tcPr>
            <w:tcW w:type="dxa" w:w="2570"/>
          </w:tcPr>
          <w:p>
            <w:pPr>
              <w:pStyle w:val="Compact"/>
              <w:jc w:val="left"/>
            </w:pPr>
            <w:r>
              <w:rPr>
                <w:b w:val="0"/>
              </w:rPr>
              <w:t>Bloomberg corpus</w:t>
            </w:r>
          </w:p>
        </w:tc>
        <w:tc>
          <w:tcPr>
            <w:tcW w:type="dxa" w:w="1427"/>
          </w:tcPr>
          <w:p>
            <w:pPr>
              <w:pStyle w:val="Compact"/>
              <w:jc w:val="left"/>
            </w:pPr>
            <w:r>
              <w:rPr>
                <w:b w:val="0"/>
              </w:rPr>
              <w:t>GPT-J + dominio</w:t>
            </w:r>
          </w:p>
        </w:tc>
        <w:tc>
          <w:tcPr>
            <w:tcW w:type="dxa" w:w="900"/>
          </w:tcPr>
          <w:p>
            <w:pPr>
              <w:pStyle w:val="Compact"/>
              <w:jc w:val="center"/>
            </w:pPr>
            <w:r>
              <w:rPr>
                <w:b w:val="0"/>
              </w:rPr>
              <w:t>85%+</w:t>
            </w:r>
          </w:p>
        </w:tc>
        <w:tc>
          <w:tcPr>
            <w:tcW w:type="dxa" w:w="900"/>
          </w:tcPr>
          <w:p>
            <w:pPr>
              <w:pStyle w:val="Compact"/>
              <w:jc w:val="center"/>
            </w:pPr>
            <w:r>
              <w:rPr>
                <w:b w:val="0"/>
              </w:rPr>
              <w:t>Cloud</w:t>
            </w:r>
          </w:p>
        </w:tc>
        <w:tc>
          <w:tcPr>
            <w:tcW w:type="dxa" w:w="900"/>
          </w:tcPr>
          <w:p>
            <w:pPr>
              <w:pStyle w:val="Compact"/>
              <w:jc w:val="left"/>
            </w:pPr>
            <w:r>
              <w:rPr>
                <w:b w:val="0"/>
              </w:rPr>
              <w:t>Inglés</w:t>
            </w:r>
          </w:p>
        </w:tc>
      </w:tr>
      <w:tr>
        <w:tc>
          <w:tcPr>
            <w:tcW w:type="dxa" w:w="2141"/>
          </w:tcPr>
          <w:p>
            <w:pPr>
              <w:pStyle w:val="Compact"/>
              <w:jc w:val="left"/>
            </w:pPr>
            <w:r>
              <w:rPr>
                <w:b w:val="0"/>
              </w:rPr>
              <w:t>FiNER-139 Benchmark [15]</w:t>
            </w:r>
          </w:p>
        </w:tc>
        <w:tc>
          <w:tcPr>
            <w:tcW w:type="dxa" w:w="2570"/>
          </w:tcPr>
          <w:p>
            <w:pPr>
              <w:pStyle w:val="Compact"/>
              <w:jc w:val="left"/>
            </w:pPr>
            <w:r>
              <w:rPr>
                <w:b w:val="0"/>
              </w:rPr>
              <w:t>SEC 10-K/10-Q</w:t>
            </w:r>
          </w:p>
        </w:tc>
        <w:tc>
          <w:tcPr>
            <w:tcW w:type="dxa" w:w="1427"/>
          </w:tcPr>
          <w:p>
            <w:pPr>
              <w:pStyle w:val="Compact"/>
              <w:jc w:val="left"/>
            </w:pPr>
            <w:r>
              <w:rPr>
                <w:b w:val="0"/>
              </w:rPr>
              <w:t>BERT fine-tuned</w:t>
            </w:r>
          </w:p>
        </w:tc>
        <w:tc>
          <w:tcPr>
            <w:tcW w:type="dxa" w:w="900"/>
          </w:tcPr>
          <w:p>
            <w:pPr>
              <w:pStyle w:val="Compact"/>
              <w:jc w:val="center"/>
            </w:pPr>
            <w:r>
              <w:rPr>
                <w:b w:val="0"/>
              </w:rPr>
              <w:t>91%</w:t>
            </w:r>
          </w:p>
        </w:tc>
        <w:tc>
          <w:tcPr>
            <w:tcW w:type="dxa" w:w="900"/>
          </w:tcPr>
          <w:p>
            <w:pPr>
              <w:pStyle w:val="Compact"/>
              <w:jc w:val="center"/>
            </w:pPr>
            <w:r>
              <w:rPr>
                <w:b w:val="0"/>
              </w:rPr>
              <w:t>Cloud</w:t>
            </w:r>
          </w:p>
        </w:tc>
        <w:tc>
          <w:tcPr>
            <w:tcW w:type="dxa" w:w="900"/>
          </w:tcPr>
          <w:p>
            <w:pPr>
              <w:pStyle w:val="Compact"/>
              <w:jc w:val="left"/>
            </w:pPr>
            <w:r>
              <w:rPr>
                <w:b w:val="0"/>
              </w:rPr>
              <w:t>Inglés</w:t>
            </w:r>
          </w:p>
        </w:tc>
      </w:tr>
      <w:tr>
        <w:tc>
          <w:tcPr>
            <w:tcW w:type="dxa" w:w="2141"/>
          </w:tcPr>
          <w:p>
            <w:pPr>
              <w:pStyle w:val="Compact"/>
              <w:jc w:val="left"/>
            </w:pPr>
            <w:r>
              <w:rPr>
                <w:b w:val="0"/>
              </w:rPr>
              <w:t>García &amp; López [7]</w:t>
            </w:r>
          </w:p>
        </w:tc>
        <w:tc>
          <w:tcPr>
            <w:tcW w:type="dxa" w:w="2570"/>
          </w:tcPr>
          <w:p>
            <w:pPr>
              <w:pStyle w:val="Compact"/>
              <w:jc w:val="left"/>
            </w:pPr>
            <w:r>
              <w:rPr>
                <w:b w:val="0"/>
              </w:rPr>
              <w:t>CoNLL-ES</w:t>
            </w:r>
          </w:p>
        </w:tc>
        <w:tc>
          <w:tcPr>
            <w:tcW w:type="dxa" w:w="1427"/>
          </w:tcPr>
          <w:p>
            <w:pPr>
              <w:pStyle w:val="Compact"/>
              <w:jc w:val="left"/>
            </w:pPr>
            <w:r>
              <w:rPr>
                <w:b w:val="0"/>
              </w:rPr>
              <w:t>XLM-R</w:t>
            </w:r>
          </w:p>
        </w:tc>
        <w:tc>
          <w:tcPr>
            <w:tcW w:type="dxa" w:w="900"/>
          </w:tcPr>
          <w:p>
            <w:pPr>
              <w:pStyle w:val="Compact"/>
              <w:jc w:val="center"/>
            </w:pPr>
            <w:r>
              <w:rPr>
                <w:b w:val="0"/>
              </w:rPr>
              <w:t>88%</w:t>
            </w:r>
          </w:p>
        </w:tc>
        <w:tc>
          <w:tcPr>
            <w:tcW w:type="dxa" w:w="900"/>
          </w:tcPr>
          <w:p>
            <w:pPr>
              <w:pStyle w:val="Compact"/>
              <w:jc w:val="center"/>
            </w:pPr>
            <w:r>
              <w:rPr>
                <w:b w:val="0"/>
              </w:rPr>
              <w:t>Local</w:t>
            </w:r>
          </w:p>
        </w:tc>
        <w:tc>
          <w:tcPr>
            <w:tcW w:type="dxa" w:w="900"/>
          </w:tcPr>
          <w:p>
            <w:pPr>
              <w:pStyle w:val="Compact"/>
              <w:jc w:val="left"/>
            </w:pPr>
            <w:r>
              <w:rPr>
                <w:b w:val="0"/>
              </w:rPr>
              <w:t>Español</w:t>
            </w:r>
          </w:p>
        </w:tc>
      </w:tr>
      <w:tr>
        <w:tc>
          <w:tcPr>
            <w:tcW w:type="dxa" w:w="2141"/>
          </w:tcPr>
          <w:p>
            <w:pPr>
              <w:pStyle w:val="Compact"/>
              <w:jc w:val="left"/>
            </w:pPr>
            <w:r>
              <w:rPr>
                <w:b w:val="0"/>
              </w:rPr>
              <w:t>Chang et al. [9]</w:t>
            </w:r>
          </w:p>
        </w:tc>
        <w:tc>
          <w:tcPr>
            <w:tcW w:type="dxa" w:w="2570"/>
          </w:tcPr>
          <w:p>
            <w:pPr>
              <w:pStyle w:val="Compact"/>
              <w:jc w:val="left"/>
            </w:pPr>
            <w:r>
              <w:rPr>
                <w:b w:val="0"/>
              </w:rPr>
              <w:t>Docs bancarios</w:t>
            </w:r>
          </w:p>
        </w:tc>
        <w:tc>
          <w:tcPr>
            <w:tcW w:type="dxa" w:w="1427"/>
          </w:tcPr>
          <w:p>
            <w:pPr>
              <w:pStyle w:val="Compact"/>
              <w:jc w:val="left"/>
            </w:pPr>
            <w:r>
              <w:rPr>
                <w:b w:val="0"/>
              </w:rPr>
              <w:t>GPT-4 + RAG</w:t>
            </w:r>
          </w:p>
        </w:tc>
        <w:tc>
          <w:tcPr>
            <w:tcW w:type="dxa" w:w="900"/>
          </w:tcPr>
          <w:p>
            <w:pPr>
              <w:pStyle w:val="Compact"/>
              <w:jc w:val="center"/>
            </w:pPr>
            <w:r>
              <w:rPr>
                <w:b w:val="0"/>
              </w:rPr>
              <w:t>83%</w:t>
            </w:r>
          </w:p>
        </w:tc>
        <w:tc>
          <w:tcPr>
            <w:tcW w:type="dxa" w:w="900"/>
          </w:tcPr>
          <w:p>
            <w:pPr>
              <w:pStyle w:val="Compact"/>
              <w:jc w:val="center"/>
            </w:pPr>
            <w:r>
              <w:rPr>
                <w:b w:val="0"/>
              </w:rPr>
              <w:t>Cloud</w:t>
            </w:r>
          </w:p>
        </w:tc>
        <w:tc>
          <w:tcPr>
            <w:tcW w:type="dxa" w:w="900"/>
          </w:tcPr>
          <w:p>
            <w:pPr>
              <w:pStyle w:val="Compact"/>
              <w:jc w:val="left"/>
            </w:pPr>
            <w:r>
              <w:rPr>
                <w:b w:val="0"/>
              </w:rPr>
              <w:t>Inglés</w:t>
            </w:r>
          </w:p>
        </w:tc>
      </w:tr>
      <w:tr>
        <w:tc>
          <w:tcPr>
            <w:tcW w:type="dxa" w:w="2141"/>
          </w:tcPr>
          <w:p>
            <w:pPr>
              <w:pStyle w:val="Compact"/>
              <w:jc w:val="left"/>
            </w:pPr>
            <w:r>
              <w:rPr>
                <w:b/>
              </w:rPr>
              <w:t>Este trabajo</w:t>
            </w:r>
          </w:p>
        </w:tc>
        <w:tc>
          <w:tcPr>
            <w:tcW w:type="dxa" w:w="2570"/>
          </w:tcPr>
          <w:p>
            <w:pPr>
              <w:pStyle w:val="Compact"/>
              <w:jc w:val="left"/>
            </w:pPr>
            <w:r>
              <w:rPr>
                <w:b/>
              </w:rPr>
              <w:t>Kleptotrace/CoNLL-2002 (AML), corpus sintético N=30</w:t>
            </w:r>
          </w:p>
        </w:tc>
        <w:tc>
          <w:tcPr>
            <w:tcW w:type="dxa" w:w="1427"/>
          </w:tcPr>
          <w:p>
            <w:pPr>
              <w:pStyle w:val="Compact"/>
              <w:jc w:val="left"/>
            </w:pPr>
            <w:r>
              <w:rPr>
                <w:b/>
              </w:rPr>
              <w:t>gemma4:31b local</w:t>
            </w:r>
          </w:p>
        </w:tc>
        <w:tc>
          <w:tcPr>
            <w:tcW w:type="dxa" w:w="900"/>
          </w:tcPr>
          <w:p>
            <w:pPr>
              <w:pStyle w:val="Compact"/>
              <w:jc w:val="center"/>
            </w:pPr>
            <w:r>
              <w:rPr>
                <w:b/>
              </w:rPr>
              <w:t>79%</w:t>
            </w:r>
          </w:p>
        </w:tc>
        <w:tc>
          <w:tcPr>
            <w:tcW w:type="dxa" w:w="900"/>
          </w:tcPr>
          <w:p>
            <w:pPr>
              <w:pStyle w:val="Compact"/>
              <w:jc w:val="center"/>
            </w:pPr>
            <w:r>
              <w:rPr>
                <w:b/>
              </w:rPr>
              <w:t>100% Local</w:t>
            </w:r>
          </w:p>
        </w:tc>
        <w:tc>
          <w:tcPr>
            <w:tcW w:type="dxa" w:w="900"/>
          </w:tcPr>
          <w:p>
            <w:pPr>
              <w:pStyle w:val="Compact"/>
              <w:jc w:val="left"/>
            </w:pPr>
            <w:r>
              <w:rPr>
                <w:b/>
              </w:rPr>
              <w:t>Español</w:t>
            </w:r>
          </w:p>
        </w:tc>
      </w:tr>
    </w:tbl>
    <w:p>
      <w:pPr>
        <w:numPr>
          <w:ilvl w:val="0"/>
          <w:numId w:val="0"/>
        </w:numPr>
        <w:pStyle w:val="Normal"/>
      </w:pPr>
      <w:r>
        <w:t>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w:t>
      </w:r>
    </w:p>
    <w:p>
      <w:pPr>
        <w:numPr>
          <w:ilvl w:val="0"/>
          <w:numId w:val="0"/>
        </w:numPr>
        <w:pStyle w:val="tablecaption"/>
      </w:pPr>
      <w:r>
        <w:t>Tabla 3. Arquitectura, proveedores y orquestación</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de esquema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Ahora bien, ese parámetro evita retener varios modelos a la vez, pero no reduce el footprint de uno solo, y esa distinción resultó decisiva. macOS asigna a la GPU un techo de memoria equivalente al 75 % de la memoria unificada del equipo (</w:t>
      </w:r>
      <w:r>
        <w:t>recommendedMaxWorkingSetSize</w:t>
      </w:r>
      <w:r>
        <w:t xml:space="preserve">):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dos corpus complementarios:</w:t>
      </w:r>
    </w:p>
    <w:p>
      <w:pPr>
        <w:numPr>
          <w:ilvl w:val="0"/>
          <w:numId w:val="0"/>
        </w:numPr>
        <w:pStyle w:val="Normal"/>
      </w:pPr>
      <w:r>
        <w:t>Corpus 1 — Kleptotrace/CoNLL-2002 (N=15, Gold Standard): 15 artículos periodísticos reales de la plataforma Kleptotrace/CoNLL-2002 sobre lavado de activos, sanciones internacionales y corrupción. Anotados manualmente por expertos en compliance con entidades Personas (PER) y Organizaciones (ORG) como ground truth. Longitud promedio: ~4.833 caracteres por artículo (mediana 5.280; rango 725–8.813).</w:t>
      </w:r>
    </w:p>
    <w:p>
      <w:pPr>
        <w:numPr>
          <w:ilvl w:val="0"/>
          <w:numId w:val="0"/>
        </w:numPr>
        <w:pStyle w:val="Normal"/>
      </w:pPr>
      <w:r>
        <w:t>Corpus 2 — Kleptotrace/CoNLL-2002 Augmented (N=30, Corpus de Validación Estadística): 30 artículos breves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Generación y validez del corpus sintético N=30</w:t>
      </w:r>
    </w:p>
    <w:p>
      <w:pPr>
        <w:numPr>
          <w:ilvl w:val="0"/>
          <w:numId w:val="0"/>
        </w:numPr>
        <w:pStyle w:val="p1a"/>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a partir de treinta observaciones independientes, la media muestral se aproxima a una distribución normal,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4.1.3 Extensión a Corpus Real N=120 (Dataset Conmutable)</w:t>
      </w:r>
    </w:p>
    <w:p>
      <w:pPr>
        <w:numPr>
          <w:ilvl w:val="0"/>
          <w:numId w:val="0"/>
        </w:numPr>
        <w:pStyle w:val="p1a"/>
      </w:pPr>
      <w:r>
        <w:t xml:space="preserve">Tras la validación sobre el corpus sintético N=30 (§4.1.1–4.1.2), y como parte del cierre del proyecto (1 de septiembre de 2026,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con 105 artículos reales del corpus público CoNLL-2002 en español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2 (§5.1) cubre doce modelos en trece configuraciones sobre N=15 en modo </w:t>
      </w:r>
      <w:r>
        <w:t>entities</w:t>
      </w:r>
      <w:r>
        <w:t xml:space="preserve"> (</w:t>
      </w:r>
      <w:r>
        <w:t>gemma4:latest</w:t>
      </w:r>
      <w:r>
        <w:t xml:space="preserve"> aparece dos veces, en sus variantes ZS-ES y FS-ES), mientras que el estudio principal (§5.3.5)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2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procedimiento que la literatura anglosajona denomina </w:t>
      </w:r>
      <w:r>
        <w:rPr>
          <w:i/>
        </w:rPr>
        <w:t>ablation study</w:t>
      </w:r>
      <w:r>
        <w:t>. Las cuatro celdas son zero-shot en inglés, que actúa como referencia, zero-shot en español, few-shot en inglés y few-shot en español, empleando en los dos últimos tres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tres ejemplos empleados en la configuración few-shot en español cubren un caso de persona sancionada, uno de organización y uno de mención ambigua;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p1a"/>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los segundos que tarda el sistema en procesar un artículo, pero no permite comparar modelos entre sí cuando las corridas usaron distinta concurrencia o distinto hardware, como ocurre en este estudio.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a nivel micro por artículo antes de promediarse entre artículos.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scikit-learn, statsmodels,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4 presenta los resultados consolidados del benchmark completo agrupados por familia y tamaño de modelo:</w:t>
      </w:r>
    </w:p>
    <w:p>
      <w:pPr>
        <w:numPr>
          <w:ilvl w:val="0"/>
          <w:numId w:val="0"/>
        </w:numPr>
        <w:pStyle w:val="tablecaption"/>
      </w:pPr>
      <w:r>
        <w:t>Tabla 4. Benchmark General — 12 Modelos en 13 Configuraciones sobre Kleptotrace/CoNLL-2002 (N=15)</w:t>
      </w:r>
    </w:p>
    <w:tbl>
      <w:tblPr>
        <w:tblStyle w:val="Table"/>
        <w:tblW w:type="dxa" w:w="8838"/>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5.33</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5.33</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el índice Tok/s/B sí lo es. Quedan fuera de la tabla los modelos excluidos del estudio (</w:t>
      </w:r>
      <w:r>
        <w:t>nuextract:latest</w:t>
      </w:r>
      <w:r>
        <w:t xml:space="preserve">, </w:t>
      </w:r>
      <w:r>
        <w:t>gemini-3.1-flash-lite</w:t>
      </w:r>
      <w:r>
        <w:t xml:space="preserve">, </w:t>
      </w:r>
      <w:r>
        <w:t>minimax-m3</w:t>
      </w:r>
      <w:r>
        <w:t xml:space="preserve">).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gemma4:31b lidera en Recall entre los locales (86.80%) con una tasa de alucinación de 0.16%, y su contraparte cloud alcanza un Recall equivalente (86.88%).</w:t>
      </w:r>
    </w:p>
    <w:p>
      <w:pPr>
        <w:numPr>
          <w:ilvl w:val="0"/>
          <w:numId w:val="0"/>
        </w:numPr>
        <w:pStyle w:val="p1a"/>
      </w:pPr>
      <w:r>
        <w:rPr>
          <w:b/>
        </w:rPr>
        <w:t>Hallazgo 3:</w:t>
      </w:r>
      <w:r>
        <w:t xml:space="preserve"> deepseek-r1:1.5b debe descartarse para producción: F1 de 27.65% y Recall de sólo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tablecaption"/>
      </w:pPr>
      <w:r>
        <w:t>Tabla 5. Análisis de Variantes de Prompts (gemma4:latest, N=15)</w:t>
      </w:r>
    </w:p>
    <w:tbl>
      <w:tblPr>
        <w:tblStyle w:val="Table"/>
        <w:tblW w:type="dxa" w:w="8838"/>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p1a"/>
      </w:pPr>
      <w:r>
        <w:rPr>
          <w:b/>
        </w:rPr>
        <w:t>Hallazgo 4:</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w:t>
      </w:r>
    </w:p>
    <w:p>
      <w:pPr>
        <w:numPr>
          <w:ilvl w:val="0"/>
          <w:numId w:val="0"/>
        </w:numPr>
        <w:pStyle w:val="tablecaption"/>
      </w:pPr>
      <w:r>
        <w:t>Tabla 6. Validación Estadística sobre el Corpus del Dominio (N=30)</w:t>
      </w:r>
    </w:p>
    <w:tbl>
      <w:tblPr>
        <w:tblStyle w:val="Table"/>
        <w:tblW w:type="dxa" w:w="8838"/>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y la diferencia entre ambos debe atribuirse a la variabilidad entre artículos y no a una superioridad real de una compilación sobre la otra. Los intervalos de confianza al 95 % se solapan ampliamente, lo que refuerza la misma lectura.</w:t>
      </w:r>
    </w:p>
    <w:p>
      <w:pPr>
        <w:numPr>
          <w:ilvl w:val="0"/>
          <w:numId w:val="0"/>
        </w:numPr>
        <w:pStyle w:val="Normal"/>
      </w:pPr>
      <w:r>
        <w:t xml:space="preserve">El </w:t>
      </w:r>
      <w:r>
        <w:rPr>
          <w:b/>
        </w:rPr>
        <w:t>análisis de sensibilidad</w:t>
      </w:r>
      <w:r>
        <w:t xml:space="preserve"> completa la validación. Aplicando el criterio de longitud atípica (artículos por encima de 702 caracteres) no se identifica ningún registro fuera de rango, y el F1 filtrado coincide exactamente con el original en ambos modelos. El resultado no depende, por tanto, de unos pocos textos extremos.</w:t>
      </w:r>
    </w:p>
    <w:p>
      <w:pPr>
        <w:numPr>
          <w:ilvl w:val="0"/>
          <w:numId w:val="0"/>
        </w:numPr>
        <w:pStyle w:val="Normal"/>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la precisión coincide hasta el cuarto decimal (73,34 %) y el F1 difiere en menos de medio punto,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5.3.5 Validación Estadística sobre Corpus Real N=120 (estudio completo)</w:t>
      </w:r>
    </w:p>
    <w:p>
      <w:pPr>
        <w:numPr>
          <w:ilvl w:val="0"/>
          <w:numId w:val="0"/>
        </w:numPr>
        <w:pStyle w:val="p1a"/>
      </w:pPr>
      <w:r>
        <w:t xml:space="preserve">Sobre el corpus real N=120 descrito en §4.1.3 se ejecutó el mismo protocolo (ANOVA de una vía + Tukey HSD) para el estudio completo de 13 modelos, cada uno en modo </w:t>
      </w:r>
      <w:r>
        <w:rPr>
          <w:i/>
        </w:rPr>
        <w:t>baseline</w:t>
      </w:r>
      <w:r>
        <w:t xml:space="preserve"> y </w:t>
      </w:r>
      <w:r>
        <w:rPr>
          <w:i/>
        </w:rPr>
        <w:t>KB RAG</w:t>
      </w:r>
      <w:r>
        <w:t xml:space="preserve">, con N=120 observaciones por grupo (26 grupos, 3 120 observaciones). Resultados consolidados en </w:t>
      </w:r>
      <w:r>
        <w:t>results/ANALISIS_CONJUNTO_20260907/</w:t>
      </w:r>
      <w:r>
        <w:t>.</w:t>
      </w:r>
    </w:p>
    <w:p>
      <w:pPr>
        <w:numPr>
          <w:ilvl w:val="0"/>
          <w:numId w:val="0"/>
        </w:numPr>
        <w:pStyle w:val="tablecaption"/>
      </w:pPr>
      <w:r>
        <w:t>Tabla 7. Validación Estadística sobre Corpus Real N=120 (estudio completo)</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62.38%</w:t>
            </w:r>
          </w:p>
        </w:tc>
        <w:tc>
          <w:tcPr>
            <w:tcW w:type="dxa" w:w="1262"/>
          </w:tcPr>
          <w:p>
            <w:pPr>
              <w:pStyle w:val="Compact"/>
              <w:jc w:val="left"/>
            </w:pPr>
            <w:r>
              <w:rPr>
                <w:b w:val="0"/>
              </w:rPr>
              <w:t>61.85%</w:t>
            </w:r>
          </w:p>
        </w:tc>
        <w:tc>
          <w:tcPr>
            <w:tcW w:type="dxa" w:w="1262"/>
          </w:tcPr>
          <w:p>
            <w:pPr>
              <w:pStyle w:val="Compact"/>
              <w:jc w:val="center"/>
            </w:pPr>
            <w:r>
              <w:rPr>
                <w:b w:val="0"/>
              </w:rPr>
              <w:t>−0.54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59.25%</w:t>
            </w:r>
          </w:p>
        </w:tc>
        <w:tc>
          <w:tcPr>
            <w:tcW w:type="dxa" w:w="1262"/>
          </w:tcPr>
          <w:p>
            <w:pPr>
              <w:pStyle w:val="Compact"/>
              <w:jc w:val="left"/>
            </w:pPr>
            <w:r>
              <w:rPr>
                <w:b w:val="0"/>
              </w:rPr>
              <w:t>59.07%</w:t>
            </w:r>
          </w:p>
        </w:tc>
        <w:tc>
          <w:tcPr>
            <w:tcW w:type="dxa" w:w="1262"/>
          </w:tcPr>
          <w:p>
            <w:pPr>
              <w:pStyle w:val="Compact"/>
              <w:jc w:val="center"/>
            </w:pPr>
            <w:r>
              <w:rPr>
                <w:b w:val="0"/>
              </w:rPr>
              <w:t>−0.18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56.18%</w:t>
            </w:r>
          </w:p>
        </w:tc>
        <w:tc>
          <w:tcPr>
            <w:tcW w:type="dxa" w:w="1262"/>
          </w:tcPr>
          <w:p>
            <w:pPr>
              <w:pStyle w:val="Compact"/>
              <w:jc w:val="left"/>
            </w:pPr>
            <w:r>
              <w:rPr>
                <w:b w:val="0"/>
              </w:rPr>
              <w:t>58.46%</w:t>
            </w:r>
          </w:p>
        </w:tc>
        <w:tc>
          <w:tcPr>
            <w:tcW w:type="dxa" w:w="1262"/>
          </w:tcPr>
          <w:p>
            <w:pPr>
              <w:pStyle w:val="Compact"/>
              <w:jc w:val="center"/>
            </w:pPr>
            <w:r>
              <w:rPr>
                <w:b w:val="0"/>
              </w:rPr>
              <w:t>+2.28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55.91%</w:t>
            </w:r>
          </w:p>
        </w:tc>
        <w:tc>
          <w:tcPr>
            <w:tcW w:type="dxa" w:w="1262"/>
          </w:tcPr>
          <w:p>
            <w:pPr>
              <w:pStyle w:val="Compact"/>
              <w:jc w:val="left"/>
            </w:pPr>
            <w:r>
              <w:rPr>
                <w:b w:val="0"/>
              </w:rPr>
              <w:t>54.74%</w:t>
            </w:r>
          </w:p>
        </w:tc>
        <w:tc>
          <w:tcPr>
            <w:tcW w:type="dxa" w:w="1262"/>
          </w:tcPr>
          <w:p>
            <w:pPr>
              <w:pStyle w:val="Compact"/>
              <w:jc w:val="center"/>
            </w:pPr>
            <w:r>
              <w:rPr>
                <w:b w:val="0"/>
              </w:rPr>
              <w:t>−1.17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52.39%</w:t>
            </w:r>
          </w:p>
        </w:tc>
        <w:tc>
          <w:tcPr>
            <w:tcW w:type="dxa" w:w="1262"/>
          </w:tcPr>
          <w:p>
            <w:pPr>
              <w:pStyle w:val="Compact"/>
              <w:jc w:val="left"/>
            </w:pPr>
            <w:r>
              <w:rPr>
                <w:b w:val="0"/>
              </w:rPr>
              <w:t>55.67%</w:t>
            </w:r>
          </w:p>
        </w:tc>
        <w:tc>
          <w:tcPr>
            <w:tcW w:type="dxa" w:w="1262"/>
          </w:tcPr>
          <w:p>
            <w:pPr>
              <w:pStyle w:val="Compact"/>
              <w:jc w:val="center"/>
            </w:pPr>
            <w:r>
              <w:rPr>
                <w:b w:val="0"/>
              </w:rPr>
              <w:t>+3.28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50.22%</w:t>
            </w:r>
          </w:p>
        </w:tc>
        <w:tc>
          <w:tcPr>
            <w:tcW w:type="dxa" w:w="1262"/>
          </w:tcPr>
          <w:p>
            <w:pPr>
              <w:pStyle w:val="Compact"/>
              <w:jc w:val="left"/>
            </w:pPr>
            <w:r>
              <w:rPr>
                <w:b w:val="0"/>
              </w:rPr>
              <w:t>54.84%</w:t>
            </w:r>
          </w:p>
        </w:tc>
        <w:tc>
          <w:tcPr>
            <w:tcW w:type="dxa" w:w="1262"/>
          </w:tcPr>
          <w:p>
            <w:pPr>
              <w:pStyle w:val="Compact"/>
              <w:jc w:val="center"/>
            </w:pPr>
            <w:r>
              <w:rPr>
                <w:b w:val="0"/>
              </w:rPr>
              <w:t>+4.62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48.76%</w:t>
            </w:r>
          </w:p>
        </w:tc>
        <w:tc>
          <w:tcPr>
            <w:tcW w:type="dxa" w:w="1262"/>
          </w:tcPr>
          <w:p>
            <w:pPr>
              <w:pStyle w:val="Compact"/>
              <w:jc w:val="left"/>
            </w:pPr>
            <w:r>
              <w:rPr>
                <w:b w:val="0"/>
              </w:rPr>
              <w:t>50.75%</w:t>
            </w:r>
          </w:p>
        </w:tc>
        <w:tc>
          <w:tcPr>
            <w:tcW w:type="dxa" w:w="1262"/>
          </w:tcPr>
          <w:p>
            <w:pPr>
              <w:pStyle w:val="Compact"/>
              <w:jc w:val="center"/>
            </w:pPr>
            <w:r>
              <w:rPr>
                <w:b w:val="0"/>
              </w:rPr>
              <w:t>+1.99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48.21%</w:t>
            </w:r>
          </w:p>
        </w:tc>
        <w:tc>
          <w:tcPr>
            <w:tcW w:type="dxa" w:w="1262"/>
          </w:tcPr>
          <w:p>
            <w:pPr>
              <w:pStyle w:val="Compact"/>
              <w:jc w:val="left"/>
            </w:pPr>
            <w:r>
              <w:rPr>
                <w:b w:val="0"/>
              </w:rPr>
              <w:t>51.46%</w:t>
            </w:r>
          </w:p>
        </w:tc>
        <w:tc>
          <w:tcPr>
            <w:tcW w:type="dxa" w:w="1262"/>
          </w:tcPr>
          <w:p>
            <w:pPr>
              <w:pStyle w:val="Compact"/>
              <w:jc w:val="center"/>
            </w:pPr>
            <w:r>
              <w:rPr>
                <w:b w:val="0"/>
              </w:rPr>
              <w:t>+3.25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44.00%</w:t>
            </w:r>
          </w:p>
        </w:tc>
        <w:tc>
          <w:tcPr>
            <w:tcW w:type="dxa" w:w="1262"/>
          </w:tcPr>
          <w:p>
            <w:pPr>
              <w:pStyle w:val="Compact"/>
              <w:jc w:val="left"/>
            </w:pPr>
            <w:r>
              <w:rPr>
                <w:b w:val="0"/>
              </w:rPr>
              <w:t>51.36%</w:t>
            </w:r>
          </w:p>
        </w:tc>
        <w:tc>
          <w:tcPr>
            <w:tcW w:type="dxa" w:w="1262"/>
          </w:tcPr>
          <w:p>
            <w:pPr>
              <w:pStyle w:val="Compact"/>
              <w:jc w:val="center"/>
            </w:pPr>
            <w:r>
              <w:rPr>
                <w:b w:val="0"/>
              </w:rPr>
              <w:t>+7.36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43.38%</w:t>
            </w:r>
          </w:p>
        </w:tc>
        <w:tc>
          <w:tcPr>
            <w:tcW w:type="dxa" w:w="1262"/>
          </w:tcPr>
          <w:p>
            <w:pPr>
              <w:pStyle w:val="Compact"/>
              <w:jc w:val="left"/>
            </w:pPr>
            <w:r>
              <w:rPr>
                <w:b w:val="0"/>
              </w:rPr>
              <w:t>45.76%</w:t>
            </w:r>
          </w:p>
        </w:tc>
        <w:tc>
          <w:tcPr>
            <w:tcW w:type="dxa" w:w="1262"/>
          </w:tcPr>
          <w:p>
            <w:pPr>
              <w:pStyle w:val="Compact"/>
              <w:jc w:val="center"/>
            </w:pPr>
            <w:r>
              <w:rPr>
                <w:b w:val="0"/>
              </w:rPr>
              <w:t>+2.37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36.11%</w:t>
            </w:r>
          </w:p>
        </w:tc>
        <w:tc>
          <w:tcPr>
            <w:tcW w:type="dxa" w:w="1262"/>
          </w:tcPr>
          <w:p>
            <w:pPr>
              <w:pStyle w:val="Compact"/>
              <w:jc w:val="left"/>
            </w:pPr>
            <w:r>
              <w:rPr>
                <w:b w:val="0"/>
              </w:rPr>
              <w:t>46.93%</w:t>
            </w:r>
          </w:p>
        </w:tc>
        <w:tc>
          <w:tcPr>
            <w:tcW w:type="dxa" w:w="1262"/>
          </w:tcPr>
          <w:p>
            <w:pPr>
              <w:pStyle w:val="Compact"/>
              <w:jc w:val="center"/>
            </w:pPr>
            <w:r>
              <w:rPr>
                <w:b/>
              </w:rPr>
              <w:t>+10.82 pp</w:t>
            </w:r>
          </w:p>
        </w:tc>
        <w:tc>
          <w:tcPr>
            <w:tcW w:type="dxa" w:w="2106"/>
          </w:tcPr>
          <w:p>
            <w:pPr>
              <w:pStyle w:val="Compact"/>
              <w:jc w:val="center"/>
            </w:pPr>
            <w:r>
              <w:rPr>
                <w:b w:val="0"/>
              </w:rPr>
              <w:t>sí (p=0.007)</w:t>
            </w:r>
          </w:p>
        </w:tc>
      </w:tr>
      <w:tr>
        <w:tc>
          <w:tcPr>
            <w:tcW w:type="dxa" w:w="2665"/>
          </w:tcPr>
          <w:p>
            <w:pPr>
              <w:pStyle w:val="Compact"/>
              <w:jc w:val="left"/>
            </w:pPr>
            <w:r>
              <w:rPr>
                <w:b w:val="0"/>
              </w:rPr>
              <w:t>deepseek-r1:1.5b</w:t>
            </w:r>
          </w:p>
        </w:tc>
        <w:tc>
          <w:tcPr>
            <w:tcW w:type="dxa" w:w="1543"/>
          </w:tcPr>
          <w:p>
            <w:pPr>
              <w:pStyle w:val="Compact"/>
              <w:jc w:val="left"/>
            </w:pPr>
            <w:r>
              <w:rPr>
                <w:b w:val="0"/>
              </w:rPr>
              <w:t>24.83%</w:t>
            </w:r>
          </w:p>
        </w:tc>
        <w:tc>
          <w:tcPr>
            <w:tcW w:type="dxa" w:w="1262"/>
          </w:tcPr>
          <w:p>
            <w:pPr>
              <w:pStyle w:val="Compact"/>
              <w:jc w:val="left"/>
            </w:pPr>
            <w:r>
              <w:rPr>
                <w:b w:val="0"/>
              </w:rPr>
              <w:t>23.94%</w:t>
            </w:r>
          </w:p>
        </w:tc>
        <w:tc>
          <w:tcPr>
            <w:tcW w:type="dxa" w:w="1262"/>
          </w:tcPr>
          <w:p>
            <w:pPr>
              <w:pStyle w:val="Compact"/>
              <w:jc w:val="center"/>
            </w:pPr>
            <w:r>
              <w:rPr>
                <w:b w:val="0"/>
              </w:rPr>
              <w:t>−0.90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22.59%</w:t>
            </w:r>
          </w:p>
        </w:tc>
        <w:tc>
          <w:tcPr>
            <w:tcW w:type="dxa" w:w="1262"/>
          </w:tcPr>
          <w:p>
            <w:pPr>
              <w:pStyle w:val="Compact"/>
              <w:jc w:val="left"/>
            </w:pPr>
            <w:r>
              <w:rPr>
                <w:b w:val="0"/>
              </w:rPr>
              <w:t>37.12%</w:t>
            </w:r>
          </w:p>
        </w:tc>
        <w:tc>
          <w:tcPr>
            <w:tcW w:type="dxa" w:w="1262"/>
          </w:tcPr>
          <w:p>
            <w:pPr>
              <w:pStyle w:val="Compact"/>
              <w:jc w:val="center"/>
            </w:pPr>
            <w:r>
              <w:rPr>
                <w:b/>
              </w:rPr>
              <w:t>+14.52 pp</w:t>
            </w:r>
          </w:p>
        </w:tc>
        <w:tc>
          <w:tcPr>
            <w:tcW w:type="dxa" w:w="2106"/>
          </w:tcPr>
          <w:p>
            <w:pPr>
              <w:pStyle w:val="Compact"/>
              <w:jc w:val="center"/>
            </w:pPr>
            <w:r>
              <w:rPr>
                <w:b w:val="0"/>
              </w:rPr>
              <w:t>sí (p&lt;0.001)</w:t>
            </w:r>
          </w:p>
        </w:tc>
      </w:tr>
    </w:tbl>
    <w:p>
      <w:pPr>
        <w:numPr>
          <w:ilvl w:val="0"/>
          <w:numId w:val="0"/>
        </w:numPr>
        <w:pStyle w:val="p1a"/>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p1a"/>
      </w:pPr>
      <w:r>
        <w:rPr>
          <w:b/>
        </w:rPr>
        <w:t>Dos salvedades de procedencia.</w:t>
      </w:r>
      <w:r>
        <w:t xml:space="preserve"> (i)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(114 de sus 240 filas registran exactamente 1,02 s). Su F1 es válido; su latencia y sus tokens/s no deben usarse en comparaciones de eficiencia. (ii) Siete filas de </w:t>
      </w:r>
      <w:r>
        <w:t>nemotron-mini:4b</w:t>
      </w:r>
      <w:r>
        <w:t xml:space="preserve"> tienen </w:t>
      </w:r>
      <w:r>
        <w:t>latencia = 0</w:t>
      </w:r>
      <w:r>
        <w:t xml:space="preserve"> y </w:t>
      </w:r>
      <w:r>
        <w:t>0 tokens/s</w:t>
      </w:r>
      <w:r>
        <w:t xml:space="preserve"> porque se re-extrajeron fuera del arnés de lotes tras un fallo de contexto; sus valores de precisión, </w:t>
      </w:r>
      <w:r>
        <w:rPr>
          <w:i/>
        </w:rPr>
        <w:t>recall</w:t>
      </w:r>
      <w:r>
        <w:t xml:space="preserve"> y F1 son reales, pero su telemetría no existe.</w:t>
      </w:r>
    </w:p>
    <w:p>
      <w:pPr>
        <w:numPr>
          <w:ilvl w:val="0"/>
          <w:numId w:val="0"/>
        </w:numPr>
        <w:pStyle w:val="Normal"/>
      </w:pPr>
      <w:r>
        <w:t xml:space="preserve">El ANOVA de una vía sobre los veintiséis grupos arroja </w:t>
      </w:r>
      <w:r>
        <w:rPr>
          <w:b/>
        </w:rPr>
        <w:t>F = 38,2222</w:t>
      </w:r>
      <w:r>
        <w:t xml:space="preserve"> con p = 3,4453 × 10⁻¹⁶⁰, de modo que se rechaza la hipótesis nula: las diferencias de desempeño entre modelos y modos son estadísticamente significativas, con una potencia muy superior a la del corpus del dominio, donde la comparación entre las dos compilaciones de 31B no alcanzaba significancia. El post-hoc de Tukey identifica 158 comparaciones significativas de las 325 posibles; pero al contrastar cada modelo consigo mismo (extracción directa frente a KB RAG) la mejora solo supera la corrección por comparaciones múltiples en </w:t>
      </w:r>
      <w:r>
        <w:t>nemotron-mini:4b</w:t>
      </w:r>
      <w:r>
        <w:t xml:space="preserve">, con 14,52 puntos, y en </w:t>
      </w:r>
      <w:r>
        <w:t>llama3.2:latest</w:t>
      </w:r>
      <w:r>
        <w:t>, con 10,82. Conviene declarar una limitación del contraste: los veintiséis grupos evalúan los mismos 120 artículos, de modo que las observaciones están apareadas y un modelo de medidas repetidas sería el procedimiento estrictamente correcto. La homocedasticidad se verifica (Levene, p = 0,18) y, al ser el diseño pareado más potente que el independiente, la significancia obtenida por esta vía es conservadora.</w:t>
      </w:r>
    </w:p>
    <w:p>
      <w:pPr>
        <w:numPr>
          <w:ilvl w:val="0"/>
          <w:numId w:val="0"/>
        </w:numPr>
        <w:pStyle w:val="Normal"/>
      </w:pPr>
      <w:r>
        <w:t>Ese resultado dibuja el hallazgo central del estudio: el beneficio del KB RAG es inversamente proporcional a la capacidad del modelo. Aporta de forma demostrable en los dos modelos más débiles, es positivo pero no concluyente en la franja intermedia y se anula o revierte en los de mayor capacidad (−0,54 y −0,18 puntos en los dos de 31B), que ya siguen correctamente las instrucciones sin contexto adicional. Nueve de los trece modelos mejoran, aunque solo dos lo hagan de manera estadísticamente sólida.</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de las extracciones revela tres patrones de error recurrentes. Los </w:t>
      </w:r>
      <w:r>
        <w:rPr>
          <w:b/>
        </w:rPr>
        <w:t>errores de límite</w:t>
      </w:r>
      <w:r>
        <w:t xml:space="preserve"> son los más frecuentes: el modelo incorpora al nombre preposiciones o aposiciones descriptivas, y extrae «Isabel dos Santos, hija del expresidente» donde la referencia registra solo «Isabel dos Santos». El cotejo difuso descrito en §4.4 absorbe buena parte de estos casos, que rara vez alteran la identificación de la entidad. La </w:t>
      </w:r>
      <w:r>
        <w:rPr>
          <w:b/>
        </w:rPr>
        <w:t>confusión de tipo</w:t>
      </w:r>
      <w:r>
        <w:t xml:space="preserve"> aparece cuando una organización se clasifica como localización («Sonangol», la petrolera estatal angoleña, etiquetada como lugar), error más costoso porque desplaza la entidad de la categoría en que un analista de cumplimiento la buscaría. Las </w:t>
      </w:r>
      <w:r>
        <w:rPr>
          <w:b/>
        </w:rPr>
        <w:t>alucinaciones extrínsecas</w:t>
      </w:r>
      <w:r>
        <w:t xml:space="preserve">, en las que el modelo propone entidades procedentes de su memoria paramétrica y ausentes del texto, resultaron ser el problema menos extendido: la instrucción de restringir la extracción al artículo presente las mantiene por debajo del 1 % en los modelos de mayor capacidad, aunque superan el 13 % en </w:t>
      </w:r>
      <w:r>
        <w:t>deepseek-r1:1.5b</w:t>
      </w:r>
      <w:r>
        <w:t>.</w:t>
      </w:r>
    </w:p>
    <w:p>
      <w:pPr>
        <w:numPr>
          <w:ilvl w:val="0"/>
          <w:numId w:val="0"/>
        </w:numPr>
        <w:pStyle w:val="heading2"/>
      </w:pPr>
      <w:r>
        <w:t>5.5 Análisis de Eficiencia en Hardware Soberano</w:t>
      </w:r>
    </w:p>
    <w:p>
      <w:pPr>
        <w:numPr>
          <w:ilvl w:val="0"/>
          <w:numId w:val="0"/>
        </w:numPr>
        <w:pStyle w:val="tablecaption"/>
      </w:pPr>
      <w:r>
        <w:t>Tabla 8. Análisis de Eficiencia en Hardware Soberano</w:t>
      </w:r>
    </w:p>
    <w:tbl>
      <w:tblPr>
        <w:tblStyle w:val="Table"/>
        <w:tblW w:type="dxa" w:w="8838"/>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26.5</w:t>
            </w:r>
          </w:p>
        </w:tc>
        <w:tc>
          <w:tcPr>
            <w:tcW w:type="dxa" w:w="1552"/>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de las listas de sanciones,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doce de los catorce modelos con par completo de resultados empeoraron al activarlo (los quince solicitados menos </w:t>
      </w:r>
      <w:r>
        <w:t>gpt-oss:20b</w:t>
      </w:r>
      <w:r>
        <w:t>, que no llegó a ejecutarse), y entre ellos los de mejor desempeño base; solo mejoraron los dos servidos en la nube.</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§5.3.5,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no se alcanza sobre el corpus periodístico general, cuyo mejor resultado local es 59,25 % (</w:t>
      </w:r>
      <w:r>
        <w:t>gemma4:31b-mlx</w:t>
      </w:r>
      <w:r>
        <w:t>) sobre N=120. La hipótesis queda por tanto confirmada para el dominio específico de sanciones financieras y no confirmada para corpus periodísticos heterogéneos. La brecha de unos veinte puntos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interacción respalda la interpretación de que el modelo procesa con mayor fluidez la estructura sintáctica de una noticia en español cuando la instrucción y las demostraciones comparten ese idioma, en línea con lo observado para codificadores en español [7] y con el sobrecoste de tokenización documentado para lenguas distintas del inglés [11].</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equivalencia entre ejecución local y en la nube. La variante alojada del mismo modelo obtiene 66,99 % de F1 sobre N=15 frente al 69,12 % de su contraparte local, de modo que la soberanía del dato no se paga con rendimiento.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F1=80.57% sin extracciones fallidas sobre el corpus AML N=30 (59.25% sobre el corpus real N=120).</w:t>
      </w:r>
    </w:p>
    <w:p>
      <w:pPr>
        <w:numPr>
          <w:ilvl w:val="0"/>
          <w:numId w:val="0"/>
        </w:numPr>
        <w:pStyle w:val="numbereditem"/>
      </w:pPr>
      <w:r>
        <w:t xml:space="preserve">Localización lingüística como factor crítico: el idioma del prompt y los ejemplos </w:t>
      </w:r>
      <w:r>
        <w:rPr>
          <w:i/>
        </w:rPr>
        <w:t>few-shot</w:t>
      </w:r>
      <w:r>
        <w:t xml:space="preserve"> </w:t>
      </w:r>
      <w:r>
        <w:rPr>
          <w:b/>
        </w:rPr>
        <w:t>interactúan</w:t>
      </w:r>
      <w:r>
        <w:t xml:space="preserve">: por separado aportan +4.38 pp y −0.72 pp de F1 respectivamente, pero combinados alcanzan </w:t>
      </w:r>
      <w:r>
        <w:rPr>
          <w:b/>
        </w:rPr>
        <w:t>+10.40 pp</w:t>
      </w:r>
      <w:r>
        <w:t>. Los ejemplos solo resultan productivos redactados en el idioma del corpus, lo que tiene implicaciones directas para despliegues en mercados hispanohablantes.</w:t>
      </w:r>
    </w:p>
    <w:p>
      <w:pPr>
        <w:numPr>
          <w:ilvl w:val="0"/>
          <w:numId w:val="0"/>
        </w:numPr>
        <w:pStyle w:val="numbereditem"/>
      </w:pPr>
      <w:r>
        <w:t>Soberanía de datos sin costo de rendimiento: El sistema local iguala o supera el rendimiento de la variante cloud (69.12% vs. 66.99% F1 sobre N=15) mientras garantiza privacidad total.</w:t>
      </w:r>
    </w:p>
    <w:p>
      <w:pPr>
        <w:numPr>
          <w:ilvl w:val="0"/>
          <w:numId w:val="0"/>
        </w:numPr>
        <w:pStyle w:val="numbereditem"/>
      </w:pPr>
      <w:r>
        <w:rPr>
          <w:b/>
        </w:rPr>
        <w:t>Reducción de costos operativos:</w:t>
      </w:r>
      <w:r>
        <w:t xml:space="preserve"> El costo unitario del sistema soberano ($0.052/artículo) versus revisión manual ($8.75/artículo) representa una reducción del 99.4% en el costo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w:t>
      </w:r>
      <w:r>
        <w:t xml:space="preserve"> El controlador AIMD previene desbordamientos de VRAM y gestiona errores de rate-limiting de forma autónoma. El checkpointing garantiza recuperación sin pérdida de datos ante interrupciones.</w:t>
      </w:r>
    </w:p>
    <w:p>
      <w:pPr>
        <w:numPr>
          <w:ilvl w:val="0"/>
          <w:numId w:val="0"/>
        </w:numPr>
        <w:pStyle w:val="numbereditem"/>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los dos modelos más débiles (</w:t>
      </w:r>
      <w:r>
        <w:t>nemotron-mini:4b</w:t>
      </w:r>
      <w:r>
        <w:t xml:space="preserve"> </w:t>
      </w:r>
      <w:r>
        <w:rPr>
          <w:b/>
        </w:rPr>
        <w:t>+14.52 pp</w:t>
      </w:r>
      <w:r>
        <w:t xml:space="preserve"> (p&lt;0.001) y </w:t>
      </w:r>
      <w:r>
        <w:t>llama3.2:latest</w:t>
      </w:r>
      <w:r>
        <w:t xml:space="preserve"> </w:t>
      </w:r>
      <w:r>
        <w:rPr>
          <w:b/>
        </w:rPr>
        <w:t>+10.82 pp</w:t>
      </w:r>
      <w:r>
        <w:t xml:space="preserve"> (p=0.007)), con ganancias positivas pero no concluyentes en la franja intermedia y efecto nulo en los modelos de 31B, versus el dict-RAG (v1.0), que en un sondeo exploratorio N=5 sobre el mismo modelo, no persistido en </w:t>
      </w:r>
      <w:r>
        <w:t>results/</w:t>
      </w:r>
      <w:r>
        <w:t>, degradó el F1 hasta 0.2367 (−57.8% respecto de su propio baseline), degradación confirmada después en la corrida reproducible N=120, donde ese mismo modelo cae de 0.3611 a 0.3113. Su efectividad está modulada por la capacidad paramétrica: beneficia sobre todo a los modelos de 3–14B, donde actúa como memoria externa de conocimiento lingüístico sin costo adicional de hardware. Este hallazgo tiene implicaciones directas para el diseño de sistemas RAG en dominio abierto con LLMs soberanos.</w:t>
      </w:r>
    </w:p>
    <w:p>
      <w:pPr>
        <w:numPr>
          <w:ilvl w:val="0"/>
          <w:numId w:val="0"/>
        </w:numPr>
        <w:pStyle w:val="numbereditem"/>
      </w:pPr>
      <w:r>
        <w:t xml:space="preserve">La codificación del corpus condiciona la medición, y no de forma neutra: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favorece a los modelos que transcriben literalmente y penaliza a los que normalizan la ortografía, con un efecto que oscila entre −0.070 y +0.025 de F1 según el modelo. La implicación metodológica excede a este trabajo: en una evaluación de NER, un defecto de codificación no es ruido de fondo sino una variable que interactúa con el comportamiento del modelo, y verificar la codificación de la entrada (no solo la de la referencia) debe formar parte del protocolo antes de dar por válida cualquier cifra. El detalle se desarrolla en el </w:t>
      </w:r>
      <w:r>
        <w:rPr>
          <w:b/>
        </w:rPr>
        <w:t>Anexo H</w:t>
      </w:r>
      <w:r>
        <w:t>.</w:t>
      </w:r>
    </w:p>
    <w:p>
      <w:pPr>
        <w:numPr>
          <w:ilvl w:val="0"/>
          <w:numId w:val="0"/>
        </w:numPr>
        <w:pStyle w:val="heading2"/>
      </w:pPr>
      <w:r>
        <w:t>7.2 Trabajo Futuro</w:t>
      </w:r>
    </w:p>
    <w:p>
      <w:pPr>
        <w:numPr>
          <w:ilvl w:val="0"/>
          <w:numId w:val="0"/>
        </w:numPr>
        <w:pStyle w:val="numbereditem"/>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w:t>
      </w:r>
      <w:r>
        <w:rPr>
          <w:i/>
        </w:rPr>
        <w:t>Low-Rank Adaptation</w:t>
      </w:r>
      <w:r>
        <w:t xml:space="preserve">),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numbereditem"/>
      </w:pPr>
      <w:r>
        <w:t>Expansión del corpus de evaluación (Fase 2): Ampliar el corpus de N=120 a N≥200 artículos reales del dominio AML/KYC chileno, incorporando fuentes como la UAF, CMF y bases de datos de OpenSanctions.</w:t>
      </w:r>
    </w:p>
    <w:p>
      <w:pPr>
        <w:numPr>
          <w:ilvl w:val="0"/>
          <w:numId w:val="0"/>
        </w:numPr>
        <w:pStyle w:val="numbereditem"/>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t>Evaluación en producción (Fase 4):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inglés y portugués, considerando el alcance latinoamericano del problema de compliance.</w:t>
      </w:r>
    </w:p>
    <w:p>
      <w:pPr>
        <w:numPr>
          <w:ilvl w:val="0"/>
          <w:numId w:val="0"/>
        </w:numPr>
        <w:pStyle w:val="numbereditem"/>
      </w:pPr>
      <w:r>
        <w:t xml:space="preserve">Normalización de codificación del corpus y re-evaluación (Fase 6):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varía entre −0.070 y +0.025 de F1 según el modelo (§5.3.5). La línea de trabajo consiste en normalizar la codificación en ambos lados de la comparación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heading1"/>
      </w:pPr>
      <w:r>
        <w:t>8 REFERENCIAS BIBLIOGRÁFICAS</w:t>
      </w:r>
    </w:p>
    <w:p>
      <w:pPr>
        <w:numPr>
          <w:ilvl w:val="0"/>
          <w:numId w:val="0"/>
        </w:numPr>
        <w:pStyle w:val="p1a"/>
      </w:pPr>
      <w:r>
        <w:rPr>
          <w:i/>
        </w:rPr>
        <w:t>Formato IEEE</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w:t>
      </w:r>
    </w:p>
    <w:p>
      <w:pPr>
        <w:numPr>
          <w:ilvl w:val="0"/>
          <w:numId w:val="0"/>
        </w:numPr>
        <w:pStyle w:val="referenceitem"/>
      </w:pPr>
      <w:r>
        <w:t xml:space="preserve">[3] S. Wu et al., "BloombergGPT: A Large Language Model for Finance," </w:t>
      </w:r>
      <w:r>
        <w:rPr>
          <w:i/>
        </w:rPr>
        <w:t>arXiv preprint arXiv:2303.17564</w:t>
      </w:r>
      <w:r>
        <w:t>, 2023.</w:t>
      </w:r>
    </w:p>
    <w:p>
      <w:pPr>
        <w:numPr>
          <w:ilvl w:val="0"/>
          <w:numId w:val="0"/>
        </w:numPr>
        <w:pStyle w:val="referenceitem"/>
      </w:pPr>
      <w:r>
        <w:t xml:space="preserve">[4] A. Vaswani et al., "Attention Is All You Need," </w:t>
      </w:r>
      <w:r>
        <w:rPr>
          <w:i/>
        </w:rPr>
        <w:t>Advances in Neural Information Processing Systems</w:t>
      </w:r>
      <w:r>
        <w:t>, 2017.</w:t>
      </w:r>
    </w:p>
    <w:p>
      <w:pPr>
        <w:numPr>
          <w:ilvl w:val="0"/>
          <w:numId w:val="0"/>
        </w:numPr>
        <w:pStyle w:val="referenceitem"/>
      </w:pPr>
      <w:r>
        <w:t xml:space="preserve">[5] K. Bourne, </w:t>
      </w:r>
      <w:r>
        <w:rPr>
          <w:i/>
        </w:rPr>
        <w:t>Unlocking Data with Generative AI and RAG</w:t>
      </w:r>
      <w:r>
        <w:t>. O'Reilly Media, 2024.</w:t>
      </w:r>
    </w:p>
    <w:p>
      <w:pPr>
        <w:numPr>
          <w:ilvl w:val="0"/>
          <w:numId w:val="0"/>
        </w:numPr>
        <w:pStyle w:val="referenceitem"/>
      </w:pPr>
      <w:r>
        <w:t xml:space="preserve">[6] X. Gao et al., "Retrieval-Augmented Generation for Large Language Models: A Survey," </w:t>
      </w:r>
      <w:r>
        <w:rPr>
          <w:i/>
        </w:rPr>
        <w:t>arXiv preprint arXiv:2312.10997</w:t>
      </w:r>
      <w:r>
        <w:t>, 2024.</w:t>
      </w:r>
    </w:p>
    <w:p>
      <w:pPr>
        <w:numPr>
          <w:ilvl w:val="0"/>
          <w:numId w:val="0"/>
        </w:numPr>
        <w:pStyle w:val="referenceitem"/>
      </w:pPr>
      <w:r>
        <w:t xml:space="preserve">[7] A. García and M. López, "Evaluating BERT and Transformers for Named Entity Recognition in Spanish," </w:t>
      </w:r>
      <w:r>
        <w:rPr>
          <w:i/>
        </w:rPr>
        <w:t>Proceedings of IberLEF</w:t>
      </w:r>
      <w:r>
        <w:t>, 2021.</w:t>
      </w:r>
    </w:p>
    <w:p>
      <w:pPr>
        <w:numPr>
          <w:ilvl w:val="0"/>
          <w:numId w:val="0"/>
        </w:numPr>
        <w:pStyle w:val="referenceitem"/>
      </w:pPr>
      <w:r>
        <w:t xml:space="preserve">[8] T. Brown et al., "Language Models are Few-Shot Learners," </w:t>
      </w:r>
      <w:r>
        <w:rPr>
          <w:i/>
        </w:rPr>
        <w:t>Advances in Neural Information Processing Systems</w:t>
      </w:r>
      <w:r>
        <w:t>, vol. 33, pp. 1877-1901, 2020.</w:t>
      </w:r>
    </w:p>
    <w:p>
      <w:pPr>
        <w:numPr>
          <w:ilvl w:val="0"/>
          <w:numId w:val="0"/>
        </w:numPr>
        <w:pStyle w:val="referenceitem"/>
      </w:pPr>
      <w:r>
        <w:t xml:space="preserve">[9] M. Chang, J. Kim, and S. Park, "RAG for Financial Document Analysis: A Practical Framework," </w:t>
      </w:r>
      <w:r>
        <w:rPr>
          <w:i/>
        </w:rPr>
        <w:t>Journal of Financial Data Science</w:t>
      </w:r>
      <w:r>
        <w:t>, vol. 6, no. 2, pp. 45-62, 2024.</w:t>
      </w:r>
    </w:p>
    <w:p>
      <w:pPr>
        <w:numPr>
          <w:ilvl w:val="0"/>
          <w:numId w:val="0"/>
        </w:numPr>
        <w:pStyle w:val="referenceitem"/>
      </w:pPr>
      <w:r>
        <w:t xml:space="preserve">[10] J. Smith, L. Johnson, and R. Davis, "Conditional Random Fields for Named Entity Recognition in Financial Texts," </w:t>
      </w:r>
      <w:r>
        <w:rPr>
          <w:i/>
        </w:rPr>
        <w:t>ACM Transactions on Intelligent Systems</w:t>
      </w:r>
      <w:r>
        <w:t>, vol. 10, no. 3, pp. 1-25, 2019.</w:t>
      </w:r>
    </w:p>
    <w:p>
      <w:pPr>
        <w:numPr>
          <w:ilvl w:val="0"/>
          <w:numId w:val="0"/>
        </w:numPr>
        <w:pStyle w:val="referenceitem"/>
      </w:pPr>
      <w:r>
        <w:t xml:space="preserve">[11] T. Ahia et al., "Do All Languages Cost the Same? Tokenization in the Era of Commercial Language Models," </w:t>
      </w:r>
      <w:r>
        <w:rPr>
          <w:i/>
        </w:rPr>
        <w:t>Proceedings of EMNLP</w:t>
      </w:r>
      <w:r>
        <w:t>, 2023.</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https://www.clips.uantwerpen.be/conll2002/ner/</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2022.</w:t>
      </w:r>
    </w:p>
    <w:p>
      <w:pPr>
        <w:numPr>
          <w:ilvl w:val="0"/>
          <w:numId w:val="0"/>
        </w:numPr>
        <w:pStyle w:val="referenceitem"/>
      </w:pPr>
      <w:r>
        <w:t xml:space="preserve">[14] A. Zhao et al., "Calibrate Before Use: Improving Few-Shot Performance of Language Models," </w:t>
      </w:r>
      <w:r>
        <w:rPr>
          <w:i/>
        </w:rPr>
        <w:t>Proceedings of ICML</w:t>
      </w:r>
      <w:r>
        <w:t>, 2021.</w:t>
      </w:r>
    </w:p>
    <w:p>
      <w:pPr>
        <w:numPr>
          <w:ilvl w:val="0"/>
          <w:numId w:val="0"/>
        </w:numPr>
        <w:pStyle w:val="referenceitem"/>
      </w:pPr>
      <w:r>
        <w:t xml:space="preserve">[15] M. Min et al., "FiNER: Financial Named Entity Recognition Dataset and Benchmark," </w:t>
      </w:r>
      <w:r>
        <w:rPr>
          <w:i/>
        </w:rPr>
        <w:t>Proceedings of ACL</w:t>
      </w:r>
      <w:r>
        <w:t>, 2023.</w:t>
      </w:r>
    </w:p>
    <w:p>
      <w:pPr>
        <w:numPr>
          <w:ilvl w:val="0"/>
          <w:numId w:val="0"/>
        </w:numPr>
        <w:pStyle w:val="referenceitem"/>
      </w:pPr>
      <w:r>
        <w:t xml:space="preserve">[16] R. Schwartz et al., "Green AI," </w:t>
      </w:r>
      <w:r>
        <w:rPr>
          <w:i/>
        </w:rPr>
        <w:t>Communications of the ACM</w:t>
      </w:r>
      <w:r>
        <w:t>, vol. 63, no. 12, pp. 54-63, 2020.</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w:t>
      </w:r>
    </w:p>
    <w:p>
      <w:pPr>
        <w:numPr>
          <w:ilvl w:val="0"/>
          <w:numId w:val="0"/>
        </w:numPr>
        <w:pStyle w:val="referenceitem"/>
      </w:pPr>
      <w:r>
        <w:t>[18] Kleptotrace Project, "Kleptotrace corpus: Financial Sanctions and Money Laundering News Corpus," conjunto de datos del proyecto (15 artículos anotados por expertos), 2024.</w:t>
      </w:r>
    </w:p>
    <w:p>
      <w:pPr>
        <w:numPr>
          <w:ilvl w:val="0"/>
          <w:numId w:val="0"/>
        </w:numPr>
        <w:pStyle w:val="referenceitem"/>
      </w:pPr>
      <w:r>
        <w:t>[19] OpenSanctions, "OpenSanctions: Open Data on Sanctions Lists and Politically Exposed Persons," [Online]. Available: https://www.opensanctions.org, 2024.</w:t>
      </w:r>
    </w:p>
    <w:p>
      <w:pPr>
        <w:numPr>
          <w:ilvl w:val="0"/>
          <w:numId w:val="0"/>
        </w:numPr>
        <w:pStyle w:val="referenceitem"/>
      </w:pPr>
      <w:r>
        <w:t xml:space="preserve">[20] T. Dettmers et al., "QLoRA: Efficient Finetuning of Quantized LLMs," </w:t>
      </w:r>
      <w:r>
        <w:rPr>
          <w:i/>
        </w:rPr>
        <w:t>Advances in Neural Information Processing Systems</w:t>
      </w:r>
      <w:r>
        <w:t>, vol. 36, 2023.</w:t>
      </w:r>
    </w:p>
    <w:p>
      <w:pPr>
        <w:numPr>
          <w:ilvl w:val="0"/>
          <w:numId w:val="0"/>
        </w:numPr>
        <w:pStyle w:val="heading1"/>
      </w:pPr>
      <w:r>
        <w:t>9 ANEXOS</w:t>
      </w:r>
    </w:p>
    <w:p>
      <w:pPr>
        <w:numPr>
          <w:ilvl w:val="0"/>
          <w:numId w:val="0"/>
        </w:numPr>
        <w:pStyle w:val="heading2"/>
      </w:pPr>
      <w:r>
        <w:t>Anexo A — Estructura del Repositorio de Código</w:t>
      </w:r>
    </w:p>
    <w:p>
      <w:pPr>
        <w:numPr>
          <w:ilvl w:val="0"/>
          <w:numId w:val="0"/>
        </w:numPr>
        <w:pStyle w:val="p1a"/>
      </w:pPr>
      <w:r>
        <w:t xml:space="preserve">El código, los corpus, los resultados por corrida y los documentos de trabajo están publicados en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w:t>
      </w:r>
    </w:p>
    <w:p>
      <w:pPr>
        <w:numPr>
          <w:ilvl w:val="0"/>
          <w:numId w:val="0"/>
        </w:numPr>
        <w:pStyle w:val="tablecaption"/>
      </w:pPr>
      <w:r>
        <w:t>Tabla 9. Anexo A — Estructura del Repositorio de Código</w:t>
      </w:r>
    </w:p>
    <w:tbl>
      <w:tblPr>
        <w:tblStyle w:val="Table"/>
        <w:tblW w:type="dxa" w:w="8838"/>
        <w:tblLayout w:type="fixed"/>
        <w:tblLook w:firstRow="1" w:lastRow="0" w:firstColumn="0" w:lastColumn="0" w:noHBand="0" w:noVBand="0" w:val="0020"/>
      </w:tblPr>
      <w:tblGrid>
        <w:gridCol w:w="5461"/>
        <w:gridCol w:w="3377"/>
      </w:tblGrid>
      <w:tr>
        <w:trPr>
          <w:tblHeader w:val="on"/>
        </w:trPr>
        <w:tc>
          <w:tcPr>
            <w:tcW w:type="dxa" w:w="5461"/>
          </w:tcPr>
          <w:p>
            <w:pPr>
              <w:pStyle w:val="Compact"/>
              <w:jc w:val="left"/>
            </w:pPr>
            <w:r>
              <w:rPr>
                <w:b/>
              </w:rPr>
              <w:t>Ruta</w:t>
            </w:r>
          </w:p>
        </w:tc>
        <w:tc>
          <w:tcPr>
            <w:tcW w:type="dxa" w:w="3377"/>
          </w:tcPr>
          <w:p>
            <w:pPr>
              <w:pStyle w:val="Compact"/>
              <w:jc w:val="left"/>
            </w:pPr>
            <w:r>
              <w:rPr>
                <w:b/>
              </w:rPr>
              <w:t>Descripción</w:t>
            </w:r>
          </w:p>
        </w:tc>
      </w:tr>
      <w:tr>
        <w:tc>
          <w:tcPr>
            <w:tcW w:type="dxa" w:w="5461"/>
          </w:tcPr>
          <w:p>
            <w:pPr>
              <w:pStyle w:val="Compact"/>
              <w:jc w:val="left"/>
            </w:pPr>
            <w:r>
              <w:rPr>
                <w:b w:val="0"/>
              </w:rPr>
              <w:t>repos/ner-llm-entity-benchmark/</w:t>
            </w:r>
          </w:p>
        </w:tc>
        <w:tc>
          <w:tcPr>
            <w:tcW w:type="dxa" w:w="3377"/>
          </w:tcPr>
          <w:p>
            <w:pPr>
              <w:pStyle w:val="Compact"/>
              <w:jc w:val="left"/>
            </w:pPr>
          </w:p>
        </w:tc>
      </w:tr>
      <w:tr>
        <w:tc>
          <w:tcPr>
            <w:tcW w:type="dxa" w:w="5461"/>
          </w:tcPr>
          <w:p>
            <w:pPr>
              <w:pStyle w:val="Compact"/>
              <w:jc w:val="left"/>
            </w:pPr>
            <w:r>
              <w:rPr>
                <w:b w:val="0"/>
              </w:rPr>
              <w:t>src/</w:t>
            </w:r>
          </w:p>
        </w:tc>
        <w:tc>
          <w:tcPr>
            <w:tcW w:type="dxa" w:w="3377"/>
          </w:tcPr>
          <w:p>
            <w:pPr>
              <w:pStyle w:val="Compact"/>
              <w:jc w:val="left"/>
            </w:pPr>
          </w:p>
        </w:tc>
      </w:tr>
      <w:tr>
        <w:tc>
          <w:tcPr>
            <w:tcW w:type="dxa" w:w="5461"/>
          </w:tcPr>
          <w:p>
            <w:pPr>
              <w:pStyle w:val="Compact"/>
              <w:jc w:val="left"/>
            </w:pPr>
            <w:r>
              <w:rPr>
                <w:b w:val="0"/>
              </w:rPr>
              <w:t xml:space="preserve">    main.py</w:t>
            </w:r>
          </w:p>
        </w:tc>
        <w:tc>
          <w:tcPr>
            <w:tcW w:type="dxa" w:w="3377"/>
          </w:tcPr>
          <w:p>
            <w:pPr>
              <w:pStyle w:val="Compact"/>
              <w:jc w:val="left"/>
            </w:pPr>
            <w:r>
              <w:rPr>
                <w:b w:val="0"/>
              </w:rPr>
              <w:t>Orquestador principal (+--rag-mode CLI, v1.1)</w:t>
            </w:r>
          </w:p>
        </w:tc>
      </w:tr>
      <w:tr>
        <w:tc>
          <w:tcPr>
            <w:tcW w:type="dxa" w:w="5461"/>
          </w:tcPr>
          <w:p>
            <w:pPr>
              <w:pStyle w:val="Compact"/>
              <w:jc w:val="left"/>
            </w:pPr>
            <w:r>
              <w:rPr>
                <w:b w:val="0"/>
              </w:rPr>
              <w:t xml:space="preserve">    config.py</w:t>
            </w:r>
          </w:p>
        </w:tc>
        <w:tc>
          <w:tcPr>
            <w:tcW w:type="dxa" w:w="3377"/>
          </w:tcPr>
          <w:p>
            <w:pPr>
              <w:pStyle w:val="Compact"/>
              <w:jc w:val="left"/>
            </w:pPr>
            <w:r>
              <w:rPr>
                <w:b w:val="0"/>
              </w:rPr>
              <w:t>Configuración global (+rag_mode field, v1.1)</w:t>
            </w:r>
          </w:p>
        </w:tc>
      </w:tr>
      <w:tr>
        <w:tc>
          <w:tcPr>
            <w:tcW w:type="dxa" w:w="5461"/>
          </w:tcPr>
          <w:p>
            <w:pPr>
              <w:pStyle w:val="Compact"/>
              <w:jc w:val="left"/>
            </w:pPr>
            <w:r>
              <w:rPr>
                <w:b w:val="0"/>
              </w:rPr>
              <w:t xml:space="preserve">    data_loader.py</w:t>
            </w:r>
          </w:p>
        </w:tc>
        <w:tc>
          <w:tcPr>
            <w:tcW w:type="dxa" w:w="3377"/>
          </w:tcPr>
          <w:p>
            <w:pPr>
              <w:pStyle w:val="Compact"/>
              <w:jc w:val="left"/>
            </w:pPr>
            <w:r>
              <w:rPr>
                <w:b w:val="0"/>
              </w:rPr>
              <w:t>Carga y validación del corpus</w:t>
            </w:r>
          </w:p>
        </w:tc>
      </w:tr>
      <w:tr>
        <w:tc>
          <w:tcPr>
            <w:tcW w:type="dxa" w:w="5461"/>
          </w:tcPr>
          <w:p>
            <w:pPr>
              <w:pStyle w:val="Compact"/>
              <w:jc w:val="left"/>
            </w:pPr>
            <w:r>
              <w:rPr>
                <w:b w:val="0"/>
              </w:rPr>
              <w:t xml:space="preserve">    llm_runner.py</w:t>
            </w:r>
          </w:p>
        </w:tc>
        <w:tc>
          <w:tcPr>
            <w:tcW w:type="dxa" w:w="3377"/>
          </w:tcPr>
          <w:p>
            <w:pPr>
              <w:pStyle w:val="Compact"/>
              <w:jc w:val="left"/>
            </w:pPr>
            <w:r>
              <w:rPr>
                <w:b w:val="0"/>
              </w:rPr>
              <w:t>Runner LLM con parseo en cascada</w:t>
            </w:r>
          </w:p>
        </w:tc>
      </w:tr>
      <w:tr>
        <w:tc>
          <w:tcPr>
            <w:tcW w:type="dxa" w:w="5461"/>
          </w:tcPr>
          <w:p>
            <w:pPr>
              <w:pStyle w:val="Compact"/>
              <w:jc w:val="left"/>
            </w:pPr>
            <w:r>
              <w:rPr>
                <w:b w:val="0"/>
              </w:rPr>
              <w:t xml:space="preserve">    evaluator.py</w:t>
            </w:r>
          </w:p>
        </w:tc>
        <w:tc>
          <w:tcPr>
            <w:tcW w:type="dxa" w:w="3377"/>
          </w:tcPr>
          <w:p>
            <w:pPr>
              <w:pStyle w:val="Compact"/>
              <w:jc w:val="left"/>
            </w:pPr>
            <w:r>
              <w:rPr>
                <w:b w:val="0"/>
              </w:rPr>
              <w:t>Métricas F1 + taxonomía de errores</w:t>
            </w:r>
          </w:p>
        </w:tc>
      </w:tr>
      <w:tr>
        <w:tc>
          <w:tcPr>
            <w:tcW w:type="dxa" w:w="5461"/>
          </w:tcPr>
          <w:p>
            <w:pPr>
              <w:pStyle w:val="Compact"/>
              <w:jc w:val="left"/>
            </w:pPr>
            <w:r>
              <w:rPr>
                <w:b w:val="0"/>
              </w:rPr>
              <w:t xml:space="preserve">    pub_sub.py</w:t>
            </w:r>
          </w:p>
        </w:tc>
        <w:tc>
          <w:tcPr>
            <w:tcW w:type="dxa" w:w="3377"/>
          </w:tcPr>
          <w:p>
            <w:pPr>
              <w:pStyle w:val="Compact"/>
              <w:jc w:val="left"/>
            </w:pPr>
            <w:r>
              <w:rPr>
                <w:b w:val="0"/>
              </w:rPr>
              <w:t>Cola Pub/Sub multithreading</w:t>
            </w:r>
          </w:p>
        </w:tc>
      </w:tr>
      <w:tr>
        <w:tc>
          <w:tcPr>
            <w:tcW w:type="dxa" w:w="5461"/>
          </w:tcPr>
          <w:p>
            <w:pPr>
              <w:pStyle w:val="Compact"/>
              <w:jc w:val="left"/>
            </w:pPr>
            <w:r>
              <w:rPr>
                <w:b w:val="0"/>
              </w:rPr>
              <w:t xml:space="preserve">    adaptive_workers.py</w:t>
            </w:r>
          </w:p>
        </w:tc>
        <w:tc>
          <w:tcPr>
            <w:tcW w:type="dxa" w:w="3377"/>
          </w:tcPr>
          <w:p>
            <w:pPr>
              <w:pStyle w:val="Compact"/>
              <w:jc w:val="left"/>
            </w:pPr>
            <w:r>
              <w:rPr>
                <w:b w:val="0"/>
              </w:rPr>
              <w:t>Controlador AIMD</w:t>
            </w:r>
          </w:p>
        </w:tc>
      </w:tr>
      <w:tr>
        <w:tc>
          <w:tcPr>
            <w:tcW w:type="dxa" w:w="5461"/>
          </w:tcPr>
          <w:p>
            <w:pPr>
              <w:pStyle w:val="Compact"/>
              <w:jc w:val="left"/>
            </w:pPr>
            <w:r>
              <w:rPr>
                <w:b w:val="0"/>
              </w:rPr>
              <w:t xml:space="preserve">    checkpoint.py</w:t>
            </w:r>
          </w:p>
        </w:tc>
        <w:tc>
          <w:tcPr>
            <w:tcW w:type="dxa" w:w="3377"/>
          </w:tcPr>
          <w:p>
            <w:pPr>
              <w:pStyle w:val="Compact"/>
              <w:jc w:val="left"/>
            </w:pPr>
            <w:r>
              <w:rPr>
                <w:b w:val="0"/>
              </w:rPr>
              <w:t>Persistencia de estado</w:t>
            </w:r>
          </w:p>
        </w:tc>
      </w:tr>
      <w:tr>
        <w:tc>
          <w:tcPr>
            <w:tcW w:type="dxa" w:w="5461"/>
          </w:tcPr>
          <w:p>
            <w:pPr>
              <w:pStyle w:val="Compact"/>
              <w:jc w:val="left"/>
            </w:pPr>
            <w:r>
              <w:rPr>
                <w:b w:val="0"/>
              </w:rPr>
              <w:t xml:space="preserve">    rag_manager.py</w:t>
            </w:r>
          </w:p>
        </w:tc>
        <w:tc>
          <w:tcPr>
            <w:tcW w:type="dxa" w:w="3377"/>
          </w:tcPr>
          <w:p>
            <w:pPr>
              <w:pStyle w:val="Compact"/>
              <w:jc w:val="left"/>
            </w:pPr>
            <w:r>
              <w:rPr>
                <w:b w:val="0"/>
              </w:rPr>
              <w:t>RAGManager: Dict-RAG legacy (v1.0)</w:t>
            </w:r>
          </w:p>
        </w:tc>
      </w:tr>
      <w:tr>
        <w:tc>
          <w:tcPr>
            <w:tcW w:type="dxa" w:w="5461"/>
          </w:tcPr>
          <w:p>
            <w:pPr>
              <w:pStyle w:val="Compact"/>
              <w:jc w:val="left"/>
            </w:pPr>
            <w:r>
              <w:rPr>
                <w:b w:val="0"/>
              </w:rPr>
              <w:t xml:space="preserve">    kb_rag_manager.py</w:t>
            </w:r>
          </w:p>
        </w:tc>
        <w:tc>
          <w:tcPr>
            <w:tcW w:type="dxa" w:w="3377"/>
          </w:tcPr>
          <w:p>
            <w:pPr>
              <w:pStyle w:val="Compact"/>
              <w:jc w:val="left"/>
            </w:pPr>
            <w:r>
              <w:rPr>
                <w:b w:val="0"/>
              </w:rPr>
              <w:t>KBRAGManager: KB RAG contextual (v1.1, NUEVO)</w:t>
            </w:r>
          </w:p>
        </w:tc>
      </w:tr>
      <w:tr>
        <w:tc>
          <w:tcPr>
            <w:tcW w:type="dxa" w:w="5461"/>
          </w:tcPr>
          <w:p>
            <w:pPr>
              <w:pStyle w:val="Compact"/>
              <w:jc w:val="left"/>
            </w:pPr>
            <w:r>
              <w:rPr>
                <w:b w:val="0"/>
              </w:rPr>
              <w:t xml:space="preserve">    dashboard.py</w:t>
            </w:r>
          </w:p>
        </w:tc>
        <w:tc>
          <w:tcPr>
            <w:tcW w:type="dxa" w:w="3377"/>
          </w:tcPr>
          <w:p>
            <w:pPr>
              <w:pStyle w:val="Compact"/>
              <w:jc w:val="left"/>
            </w:pPr>
            <w:r>
              <w:rPr>
                <w:b w:val="0"/>
              </w:rPr>
              <w:t>Interfaz Streamlit (7 pestañas)</w:t>
            </w:r>
          </w:p>
        </w:tc>
      </w:tr>
      <w:tr>
        <w:tc>
          <w:tcPr>
            <w:tcW w:type="dxa" w:w="5461"/>
          </w:tcPr>
          <w:p>
            <w:pPr>
              <w:pStyle w:val="Compact"/>
              <w:jc w:val="left"/>
            </w:pPr>
            <w:r>
              <w:rPr>
                <w:b w:val="0"/>
              </w:rPr>
              <w:t xml:space="preserve">    statistics.py</w:t>
            </w:r>
          </w:p>
        </w:tc>
        <w:tc>
          <w:tcPr>
            <w:tcW w:type="dxa" w:w="3377"/>
          </w:tcPr>
          <w:p>
            <w:pPr>
              <w:pStyle w:val="Compact"/>
              <w:jc w:val="left"/>
            </w:pPr>
            <w:r>
              <w:rPr>
                <w:b w:val="0"/>
              </w:rPr>
              <w:t>ANOVA + Tukey HSD + IC95</w:t>
            </w:r>
          </w:p>
        </w:tc>
      </w:tr>
      <w:tr>
        <w:tc>
          <w:tcPr>
            <w:tcW w:type="dxa" w:w="5461"/>
          </w:tcPr>
          <w:p>
            <w:pPr>
              <w:pStyle w:val="Compact"/>
              <w:jc w:val="left"/>
            </w:pPr>
            <w:r>
              <w:rPr>
                <w:b w:val="0"/>
              </w:rPr>
              <w:t xml:space="preserve">    providers/</w:t>
            </w:r>
          </w:p>
        </w:tc>
        <w:tc>
          <w:tcPr>
            <w:tcW w:type="dxa" w:w="3377"/>
          </w:tcPr>
          <w:p>
            <w:pPr>
              <w:pStyle w:val="Compact"/>
              <w:jc w:val="left"/>
            </w:pPr>
          </w:p>
        </w:tc>
      </w:tr>
      <w:tr>
        <w:tc>
          <w:tcPr>
            <w:tcW w:type="dxa" w:w="5461"/>
          </w:tcPr>
          <w:p>
            <w:pPr>
              <w:pStyle w:val="Compact"/>
              <w:jc w:val="left"/>
            </w:pPr>
            <w:r>
              <w:rPr>
                <w:b w:val="0"/>
              </w:rPr>
              <w:t xml:space="preserve">        base.py</w:t>
            </w:r>
          </w:p>
        </w:tc>
        <w:tc>
          <w:tcPr>
            <w:tcW w:type="dxa" w:w="3377"/>
          </w:tcPr>
          <w:p>
            <w:pPr>
              <w:pStyle w:val="Compact"/>
              <w:jc w:val="left"/>
            </w:pPr>
            <w:r>
              <w:rPr>
                <w:b w:val="0"/>
              </w:rPr>
              <w:t>LLMProvider ABC</w:t>
            </w:r>
          </w:p>
        </w:tc>
      </w:tr>
      <w:tr>
        <w:tc>
          <w:tcPr>
            <w:tcW w:type="dxa" w:w="5461"/>
          </w:tcPr>
          <w:p>
            <w:pPr>
              <w:pStyle w:val="Compact"/>
              <w:jc w:val="left"/>
            </w:pPr>
            <w:r>
              <w:rPr>
                <w:b w:val="0"/>
              </w:rPr>
              <w:t xml:space="preserve">        factory.py</w:t>
            </w:r>
          </w:p>
        </w:tc>
        <w:tc>
          <w:tcPr>
            <w:tcW w:type="dxa" w:w="3377"/>
          </w:tcPr>
          <w:p>
            <w:pPr>
              <w:pStyle w:val="Compact"/>
              <w:jc w:val="left"/>
            </w:pPr>
            <w:r>
              <w:rPr>
                <w:b w:val="0"/>
              </w:rPr>
              <w:t>LLMProviderFactory</w:t>
            </w:r>
          </w:p>
        </w:tc>
      </w:tr>
      <w:tr>
        <w:tc>
          <w:tcPr>
            <w:tcW w:type="dxa" w:w="5461"/>
          </w:tcPr>
          <w:p>
            <w:pPr>
              <w:pStyle w:val="Compact"/>
              <w:jc w:val="left"/>
            </w:pPr>
            <w:r>
              <w:rPr>
                <w:b w:val="0"/>
              </w:rPr>
              <w:t xml:space="preserve">        ollama_provider.py</w:t>
            </w:r>
          </w:p>
        </w:tc>
        <w:tc>
          <w:tcPr>
            <w:tcW w:type="dxa" w:w="3377"/>
          </w:tcPr>
          <w:p>
            <w:pPr>
              <w:pStyle w:val="Compact"/>
              <w:jc w:val="left"/>
            </w:pPr>
            <w:r>
              <w:rPr>
                <w:b w:val="0"/>
              </w:rPr>
              <w:t>Proveedor Ollama (+template KB RAG, v1.1)</w:t>
            </w:r>
          </w:p>
        </w:tc>
      </w:tr>
      <w:tr>
        <w:tc>
          <w:tcPr>
            <w:tcW w:type="dxa" w:w="5461"/>
          </w:tcPr>
          <w:p>
            <w:pPr>
              <w:pStyle w:val="Compact"/>
              <w:jc w:val="left"/>
            </w:pPr>
            <w:r>
              <w:rPr>
                <w:b w:val="0"/>
              </w:rPr>
              <w:t xml:space="preserve">        openai_provider.py</w:t>
            </w:r>
          </w:p>
        </w:tc>
        <w:tc>
          <w:tcPr>
            <w:tcW w:type="dxa" w:w="3377"/>
          </w:tcPr>
          <w:p>
            <w:pPr>
              <w:pStyle w:val="Compact"/>
              <w:jc w:val="left"/>
            </w:pPr>
            <w:r>
              <w:rPr>
                <w:b w:val="0"/>
              </w:rPr>
              <w:t>Proveedor OpenAI (cloud)</w:t>
            </w:r>
          </w:p>
        </w:tc>
      </w:tr>
      <w:tr>
        <w:tc>
          <w:tcPr>
            <w:tcW w:type="dxa" w:w="5461"/>
          </w:tcPr>
          <w:p>
            <w:pPr>
              <w:pStyle w:val="Compact"/>
              <w:jc w:val="left"/>
            </w:pPr>
            <w:r>
              <w:rPr>
                <w:b w:val="0"/>
              </w:rPr>
              <w:t xml:space="preserve">        __init__.py</w:t>
            </w:r>
          </w:p>
        </w:tc>
        <w:tc>
          <w:tcPr>
            <w:tcW w:type="dxa" w:w="3377"/>
          </w:tcPr>
          <w:p>
            <w:pPr>
              <w:pStyle w:val="Compact"/>
              <w:jc w:val="left"/>
            </w:pPr>
            <w:r>
              <w:rPr>
                <w:b w:val="0"/>
              </w:rPr>
              <w:t>Facade get_provider()</w:t>
            </w:r>
          </w:p>
        </w:tc>
      </w:tr>
      <w:tr>
        <w:tc>
          <w:tcPr>
            <w:tcW w:type="dxa" w:w="5461"/>
          </w:tcPr>
          <w:p>
            <w:pPr>
              <w:pStyle w:val="Compact"/>
              <w:jc w:val="left"/>
            </w:pPr>
            <w:r>
              <w:rPr>
                <w:b w:val="0"/>
              </w:rPr>
              <w:t>data/</w:t>
            </w:r>
          </w:p>
        </w:tc>
        <w:tc>
          <w:tcPr>
            <w:tcW w:type="dxa" w:w="3377"/>
          </w:tcPr>
          <w:p>
            <w:pPr>
              <w:pStyle w:val="Compact"/>
              <w:jc w:val="left"/>
            </w:pPr>
          </w:p>
        </w:tc>
      </w:tr>
      <w:tr>
        <w:tc>
          <w:tcPr>
            <w:tcW w:type="dxa" w:w="5461"/>
          </w:tcPr>
          <w:p>
            <w:pPr>
              <w:pStyle w:val="Compact"/>
              <w:jc w:val="left"/>
            </w:pPr>
            <w:r>
              <w:rPr>
                <w:b w:val="0"/>
              </w:rPr>
              <w:t xml:space="preserve">    benchmark_balanced_120.json</w:t>
            </w:r>
          </w:p>
        </w:tc>
        <w:tc>
          <w:tcPr>
            <w:tcW w:type="dxa" w:w="3377"/>
          </w:tcPr>
          <w:p>
            <w:pPr>
              <w:pStyle w:val="Compact"/>
              <w:jc w:val="left"/>
            </w:pPr>
            <w:r>
              <w:rPr>
                <w:b w:val="0"/>
              </w:rPr>
              <w:t>Corpus N=120 (Gold Standard real)</w:t>
            </w:r>
          </w:p>
        </w:tc>
      </w:tr>
      <w:tr>
        <w:tc>
          <w:tcPr>
            <w:tcW w:type="dxa" w:w="5461"/>
          </w:tcPr>
          <w:p>
            <w:pPr>
              <w:pStyle w:val="Compact"/>
              <w:jc w:val="left"/>
            </w:pPr>
            <w:r>
              <w:rPr>
                <w:b w:val="0"/>
              </w:rPr>
              <w:t xml:space="preserve">    dictionaries/</w:t>
            </w:r>
          </w:p>
        </w:tc>
        <w:tc>
          <w:tcPr>
            <w:tcW w:type="dxa" w:w="3377"/>
          </w:tcPr>
          <w:p>
            <w:pPr>
              <w:pStyle w:val="Compact"/>
              <w:jc w:val="left"/>
            </w:pPr>
          </w:p>
        </w:tc>
      </w:tr>
      <w:tr>
        <w:tc>
          <w:tcPr>
            <w:tcW w:type="dxa" w:w="5461"/>
          </w:tcPr>
          <w:p>
            <w:pPr>
              <w:pStyle w:val="Compact"/>
              <w:jc w:val="left"/>
            </w:pPr>
            <w:r>
              <w:rPr>
                <w:b w:val="0"/>
              </w:rPr>
              <w:t xml:space="preserve">        persons.json</w:t>
            </w:r>
          </w:p>
        </w:tc>
        <w:tc>
          <w:tcPr>
            <w:tcW w:type="dxa" w:w="3377"/>
          </w:tcPr>
          <w:p>
            <w:pPr>
              <w:pStyle w:val="Compact"/>
              <w:jc w:val="left"/>
            </w:pPr>
            <w:r>
              <w:rPr>
                <w:b w:val="0"/>
              </w:rPr>
              <w:t>Diccionario de personas (v1.0)</w:t>
            </w:r>
          </w:p>
        </w:tc>
      </w:tr>
      <w:tr>
        <w:tc>
          <w:tcPr>
            <w:tcW w:type="dxa" w:w="5461"/>
          </w:tcPr>
          <w:p>
            <w:pPr>
              <w:pStyle w:val="Compact"/>
              <w:jc w:val="left"/>
            </w:pPr>
            <w:r>
              <w:rPr>
                <w:b w:val="0"/>
              </w:rPr>
              <w:t xml:space="preserve">        organizations.json</w:t>
            </w:r>
          </w:p>
        </w:tc>
        <w:tc>
          <w:tcPr>
            <w:tcW w:type="dxa" w:w="3377"/>
          </w:tcPr>
          <w:p>
            <w:pPr>
              <w:pStyle w:val="Compact"/>
              <w:jc w:val="left"/>
            </w:pPr>
            <w:r>
              <w:rPr>
                <w:b w:val="0"/>
              </w:rPr>
              <w:t>Diccionario de organizaciones (v1.0)</w:t>
            </w:r>
          </w:p>
        </w:tc>
      </w:tr>
      <w:tr>
        <w:tc>
          <w:tcPr>
            <w:tcW w:type="dxa" w:w="5461"/>
          </w:tcPr>
          <w:p>
            <w:pPr>
              <w:pStyle w:val="Compact"/>
              <w:jc w:val="left"/>
            </w:pPr>
            <w:r>
              <w:rPr>
                <w:b w:val="0"/>
              </w:rPr>
              <w:t xml:space="preserve">        augmented_persons.json</w:t>
            </w:r>
          </w:p>
        </w:tc>
        <w:tc>
          <w:tcPr>
            <w:tcW w:type="dxa" w:w="3377"/>
          </w:tcPr>
          <w:p>
            <w:pPr>
              <w:pStyle w:val="Compact"/>
              <w:jc w:val="left"/>
            </w:pPr>
            <w:r>
              <w:rPr>
                <w:b w:val="0"/>
              </w:rPr>
              <w:t>Personas aumentadas (v1.0)</w:t>
            </w:r>
          </w:p>
        </w:tc>
      </w:tr>
      <w:tr>
        <w:tc>
          <w:tcPr>
            <w:tcW w:type="dxa" w:w="5461"/>
          </w:tcPr>
          <w:p>
            <w:pPr>
              <w:pStyle w:val="Compact"/>
              <w:jc w:val="left"/>
            </w:pPr>
            <w:r>
              <w:rPr>
                <w:b w:val="0"/>
              </w:rPr>
              <w:t xml:space="preserve">    knowledge_base/</w:t>
            </w:r>
          </w:p>
        </w:tc>
        <w:tc>
          <w:tcPr>
            <w:tcW w:type="dxa" w:w="3377"/>
          </w:tcPr>
          <w:p>
            <w:pPr>
              <w:pStyle w:val="Compact"/>
              <w:jc w:val="left"/>
            </w:pPr>
            <w:r>
              <w:rPr>
                <w:b w:val="0"/>
              </w:rPr>
              <w:t>Base de Conocimientos KB RAG (v1.1, NUEVO)</w:t>
            </w:r>
          </w:p>
        </w:tc>
      </w:tr>
      <w:tr>
        <w:tc>
          <w:tcPr>
            <w:tcW w:type="dxa" w:w="5461"/>
          </w:tcPr>
          <w:p>
            <w:pPr>
              <w:pStyle w:val="Compact"/>
              <w:jc w:val="left"/>
            </w:pPr>
            <w:r>
              <w:rPr>
                <w:b w:val="0"/>
              </w:rPr>
              <w:t xml:space="preserve">        domain_guidelines.json</w:t>
            </w:r>
          </w:p>
        </w:tc>
        <w:tc>
          <w:tcPr>
            <w:tcW w:type="dxa" w:w="3377"/>
          </w:tcPr>
          <w:p>
            <w:pPr>
              <w:pStyle w:val="Compact"/>
              <w:jc w:val="left"/>
            </w:pPr>
            <w:r>
              <w:rPr>
                <w:b w:val="0"/>
              </w:rPr>
              <w:t>5 dominios con reglas NER tipológicas</w:t>
            </w:r>
          </w:p>
        </w:tc>
      </w:tr>
      <w:tr>
        <w:tc>
          <w:tcPr>
            <w:tcW w:type="dxa" w:w="5461"/>
          </w:tcPr>
          <w:p>
            <w:pPr>
              <w:pStyle w:val="Compact"/>
              <w:jc w:val="left"/>
            </w:pPr>
            <w:r>
              <w:rPr>
                <w:b w:val="0"/>
              </w:rPr>
              <w:t xml:space="preserve">        few_shot_exemplars.json</w:t>
            </w:r>
          </w:p>
        </w:tc>
        <w:tc>
          <w:tcPr>
            <w:tcW w:type="dxa" w:w="3377"/>
          </w:tcPr>
          <w:p>
            <w:pPr>
              <w:pStyle w:val="Compact"/>
              <w:jc w:val="left"/>
            </w:pPr>
            <w:r>
              <w:rPr>
                <w:b w:val="0"/>
              </w:rPr>
              <w:t>7 ejemplares anotados (artículos reales)</w:t>
            </w:r>
          </w:p>
        </w:tc>
      </w:tr>
      <w:tr>
        <w:tc>
          <w:tcPr>
            <w:tcW w:type="dxa" w:w="5461"/>
          </w:tcPr>
          <w:p>
            <w:pPr>
              <w:pStyle w:val="Compact"/>
              <w:jc w:val="left"/>
            </w:pPr>
            <w:r>
              <w:rPr>
                <w:b w:val="0"/>
              </w:rPr>
              <w:t>results/</w:t>
            </w:r>
          </w:p>
        </w:tc>
        <w:tc>
          <w:tcPr>
            <w:tcW w:type="dxa" w:w="3377"/>
          </w:tcPr>
          <w:p>
            <w:pPr>
              <w:pStyle w:val="Compact"/>
              <w:jc w:val="left"/>
            </w:pPr>
            <w:r>
              <w:rPr>
                <w:b w:val="0"/>
              </w:rPr>
              <w:t>Salidas del benchmark</w:t>
            </w:r>
          </w:p>
        </w:tc>
      </w:tr>
      <w:tr>
        <w:tc>
          <w:tcPr>
            <w:tcW w:type="dxa" w:w="5461"/>
          </w:tcPr>
          <w:p>
            <w:pPr>
              <w:pStyle w:val="Compact"/>
              <w:jc w:val="left"/>
            </w:pPr>
            <w:r>
              <w:rPr>
                <w:b w:val="0"/>
              </w:rPr>
              <w:t xml:space="preserve">    benchmark_results.csv</w:t>
            </w:r>
          </w:p>
        </w:tc>
        <w:tc>
          <w:tcPr>
            <w:tcW w:type="dxa" w:w="3377"/>
          </w:tcPr>
          <w:p>
            <w:pPr>
              <w:pStyle w:val="Compact"/>
              <w:jc w:val="left"/>
            </w:pPr>
          </w:p>
        </w:tc>
      </w:tr>
      <w:tr>
        <w:tc>
          <w:tcPr>
            <w:tcW w:type="dxa" w:w="5461"/>
          </w:tcPr>
          <w:p>
            <w:pPr>
              <w:pStyle w:val="Compact"/>
              <w:jc w:val="left"/>
            </w:pPr>
            <w:r>
              <w:rPr>
                <w:b w:val="0"/>
              </w:rPr>
              <w:t xml:space="preserve">    statistical_report.md</w:t>
            </w:r>
          </w:p>
        </w:tc>
        <w:tc>
          <w:tcPr>
            <w:tcW w:type="dxa" w:w="3377"/>
          </w:tcPr>
          <w:p>
            <w:pPr>
              <w:pStyle w:val="Compact"/>
              <w:jc w:val="left"/>
            </w:pPr>
          </w:p>
        </w:tc>
      </w:tr>
      <w:tr>
        <w:tc>
          <w:tcPr>
            <w:tcW w:type="dxa" w:w="5461"/>
          </w:tcPr>
          <w:p>
            <w:pPr>
              <w:pStyle w:val="Compact"/>
              <w:jc w:val="left"/>
            </w:pPr>
            <w:r>
              <w:rPr>
                <w:b w:val="0"/>
              </w:rPr>
              <w:t xml:space="preserve">    benchmark_balanced_120_&lt;timestamp&gt;/</w:t>
            </w:r>
          </w:p>
        </w:tc>
        <w:tc>
          <w:tcPr>
            <w:tcW w:type="dxa" w:w="3377"/>
          </w:tcPr>
          <w:p>
            <w:pPr>
              <w:pStyle w:val="Compact"/>
              <w:jc w:val="left"/>
            </w:pPr>
            <w:r>
              <w:rPr>
                <w:b w:val="0"/>
              </w:rPr>
              <w:t>Resultados por ejecución</w:t>
            </w:r>
          </w:p>
        </w:tc>
      </w:tr>
      <w:tr>
        <w:tc>
          <w:tcPr>
            <w:tcW w:type="dxa" w:w="5461"/>
          </w:tcPr>
          <w:p>
            <w:pPr>
              <w:pStyle w:val="Compact"/>
              <w:jc w:val="left"/>
            </w:pPr>
            <w:r>
              <w:rPr>
                <w:b w:val="0"/>
              </w:rPr>
              <w:t>research/</w:t>
            </w:r>
          </w:p>
        </w:tc>
        <w:tc>
          <w:tcPr>
            <w:tcW w:type="dxa" w:w="3377"/>
          </w:tcPr>
          <w:p>
            <w:pPr>
              <w:pStyle w:val="Compact"/>
              <w:jc w:val="left"/>
            </w:pPr>
          </w:p>
        </w:tc>
      </w:tr>
      <w:tr>
        <w:tc>
          <w:tcPr>
            <w:tcW w:type="dxa" w:w="5461"/>
          </w:tcPr>
          <w:p>
            <w:pPr>
              <w:pStyle w:val="Compact"/>
              <w:jc w:val="left"/>
            </w:pPr>
            <w:r>
              <w:rPr>
                <w:b w:val="0"/>
              </w:rPr>
              <w:t xml:space="preserve">    rag/</w:t>
            </w:r>
          </w:p>
        </w:tc>
        <w:tc>
          <w:tcPr>
            <w:tcW w:type="dxa" w:w="3377"/>
          </w:tcPr>
          <w:p>
            <w:pPr>
              <w:pStyle w:val="Compact"/>
              <w:jc w:val="left"/>
            </w:pPr>
          </w:p>
        </w:tc>
      </w:tr>
      <w:tr>
        <w:tc>
          <w:tcPr>
            <w:tcW w:type="dxa" w:w="5461"/>
          </w:tcPr>
          <w:p>
            <w:pPr>
              <w:pStyle w:val="Compact"/>
              <w:jc w:val="left"/>
            </w:pPr>
            <w:r>
              <w:rPr>
                <w:b w:val="0"/>
              </w:rPr>
              <w:t xml:space="preserve">        2026-08-31_analisis_contenido_rag_base_conocimientos.md</w:t>
            </w:r>
          </w:p>
        </w:tc>
        <w:tc>
          <w:tcPr>
            <w:tcW w:type="dxa" w:w="3377"/>
          </w:tcPr>
          <w:p>
            <w:pPr>
              <w:pStyle w:val="Compact"/>
              <w:jc w:val="left"/>
            </w:pPr>
            <w:r>
              <w:rPr>
                <w:b w:val="0"/>
              </w:rPr>
              <w:t>Investigación RAG</w:t>
            </w:r>
          </w:p>
        </w:tc>
      </w:tr>
      <w:tr>
        <w:tc>
          <w:tcPr>
            <w:tcW w:type="dxa" w:w="5461"/>
          </w:tcPr>
          <w:p>
            <w:pPr>
              <w:pStyle w:val="Compact"/>
              <w:jc w:val="left"/>
            </w:pPr>
            <w:r>
              <w:rPr>
                <w:b w:val="0"/>
              </w:rPr>
              <w:t xml:space="preserve">        TODO-RAG-20260901.md</w:t>
            </w:r>
          </w:p>
        </w:tc>
        <w:tc>
          <w:tcPr>
            <w:tcW w:type="dxa" w:w="3377"/>
          </w:tcPr>
          <w:p>
            <w:pPr>
              <w:pStyle w:val="Compact"/>
              <w:jc w:val="left"/>
            </w:pPr>
            <w:r>
              <w:rPr>
                <w:b w:val="0"/>
              </w:rPr>
              <w:t>Tracking implementación</w:t>
            </w:r>
          </w:p>
        </w:tc>
      </w:tr>
      <w:tr>
        <w:tc>
          <w:tcPr>
            <w:tcW w:type="dxa" w:w="5461"/>
          </w:tcPr>
          <w:p>
            <w:pPr>
              <w:pStyle w:val="Compact"/>
              <w:jc w:val="left"/>
            </w:pPr>
            <w:r>
              <w:rPr>
                <w:b w:val="0"/>
              </w:rPr>
              <w:t xml:space="preserve">        WORKLOG.md</w:t>
            </w:r>
          </w:p>
        </w:tc>
        <w:tc>
          <w:tcPr>
            <w:tcW w:type="dxa" w:w="3377"/>
          </w:tcPr>
          <w:p>
            <w:pPr>
              <w:pStyle w:val="Compact"/>
              <w:jc w:val="left"/>
            </w:pPr>
            <w:r>
              <w:rPr>
                <w:b w:val="0"/>
              </w:rPr>
              <w:t>Bitácora de trabajo</w:t>
            </w:r>
          </w:p>
        </w:tc>
      </w:tr>
      <w:tr>
        <w:tc>
          <w:tcPr>
            <w:tcW w:type="dxa" w:w="5461"/>
          </w:tcPr>
          <w:p>
            <w:pPr>
              <w:pStyle w:val="Compact"/>
              <w:jc w:val="left"/>
            </w:pPr>
            <w:r>
              <w:rPr>
                <w:b w:val="0"/>
              </w:rPr>
              <w:t>SYSTEM_PROMPT.md</w:t>
            </w:r>
          </w:p>
        </w:tc>
        <w:tc>
          <w:tcPr>
            <w:tcW w:type="dxa" w:w="3377"/>
          </w:tcPr>
          <w:p>
            <w:pPr>
              <w:pStyle w:val="Compact"/>
              <w:jc w:val="left"/>
            </w:pPr>
            <w:r>
              <w:rPr>
                <w:b w:val="0"/>
              </w:rPr>
              <w:t>Prompt del sistema (few-shot español)</w:t>
            </w:r>
          </w:p>
        </w:tc>
      </w:tr>
      <w:tr>
        <w:tc>
          <w:tcPr>
            <w:tcW w:type="dxa" w:w="5461"/>
          </w:tcPr>
          <w:p>
            <w:pPr>
              <w:pStyle w:val="Compact"/>
              <w:jc w:val="left"/>
            </w:pPr>
            <w:r>
              <w:rPr>
                <w:b w:val="0"/>
              </w:rPr>
              <w:t>SYSTEM_PROMPT_EN.md</w:t>
            </w:r>
          </w:p>
        </w:tc>
        <w:tc>
          <w:tcPr>
            <w:tcW w:type="dxa" w:w="3377"/>
          </w:tcPr>
          <w:p>
            <w:pPr>
              <w:pStyle w:val="Compact"/>
              <w:jc w:val="left"/>
            </w:pPr>
            <w:r>
              <w:rPr>
                <w:b w:val="0"/>
              </w:rPr>
              <w:t>Prompt del sistema (inglés)</w:t>
            </w:r>
          </w:p>
        </w:tc>
      </w:tr>
      <w:tr>
        <w:tc>
          <w:tcPr>
            <w:tcW w:type="dxa" w:w="5461"/>
          </w:tcPr>
          <w:p>
            <w:pPr>
              <w:pStyle w:val="Compact"/>
              <w:jc w:val="left"/>
            </w:pPr>
            <w:r>
              <w:rPr>
                <w:b w:val="0"/>
              </w:rPr>
              <w:t>SYSTEM_PROMPT_ES.md</w:t>
            </w:r>
          </w:p>
        </w:tc>
        <w:tc>
          <w:tcPr>
            <w:tcW w:type="dxa" w:w="3377"/>
          </w:tcPr>
          <w:p>
            <w:pPr>
              <w:pStyle w:val="Compact"/>
              <w:jc w:val="left"/>
            </w:pPr>
            <w:r>
              <w:rPr>
                <w:b w:val="0"/>
              </w:rPr>
              <w:t>Prompt del sistema (español)</w:t>
            </w:r>
          </w:p>
        </w:tc>
      </w:tr>
    </w:tbl>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3 ejemplos completos de artículo → extracción correcta, y (4) reglas de comportamiento ante ambigüedad (no alucinar, preferir omisión a invención).</w:t>
      </w:r>
    </w:p>
    <w:p>
      <w:pPr>
        <w:numPr>
          <w:ilvl w:val="0"/>
          <w:numId w:val="0"/>
        </w:numPr>
        <w:pStyle w:val="Normal"/>
      </w:pPr>
      <w:r>
        <w:rPr>
          <w:b/>
        </w:rPr>
        <w:t>Ejemplos few-shot de la configuración FS-ES</w:t>
      </w:r>
      <w:r>
        <w:t xml:space="preserve"> (§4.3):</w:t>
      </w:r>
    </w:p>
    <w:p>
      <w:pPr>
        <w:numPr>
          <w:ilvl w:val="0"/>
          <w:numId w:val="0"/>
        </w:numPr>
        <w:pStyle w:val="Normal"/>
      </w:pPr>
      <w:r>
        <w:rPr>
          <w:b/>
        </w:rPr>
        <w:t>Ejemplo few-shot 1 (caso persona sancionada):</w:t>
      </w:r>
    </w:p>
    <w:p>
      <w:pPr>
        <w:numPr>
          <w:ilvl w:val="0"/>
          <w:numId w:val="0"/>
        </w:numPr>
        <w:pStyle w:val="programcode"/>
      </w:pPr>
      <w:r>
        <w:t>Texto: "El empresario ruso Roman Abramovich fue incluido en las listas de sanciones de la Unión Europea por sus vínculos con el régimen del Kremlin a través de su empresa Evraz PLC."</w:t>
      </w:r>
      <w:r>
        <w:br/>
      </w:r>
      <w:r>
        <w:t>Respuesta: {"Persons": ["Roman Abramovich"], "Organizations": ["Evraz PLC"]}</w:t>
      </w:r>
    </w:p>
    <w:p>
      <w:pPr>
        <w:numPr>
          <w:ilvl w:val="0"/>
          <w:numId w:val="0"/>
        </w:numPr>
        <w:pStyle w:val="Normal"/>
      </w:pPr>
      <w:r>
        <w:rPr>
          <w:b/>
        </w:rPr>
        <w:t>Ejemplo few-shot 2 (caso organización sancionada):</w:t>
      </w:r>
    </w:p>
    <w:p>
      <w:pPr>
        <w:numPr>
          <w:ilvl w:val="0"/>
          <w:numId w:val="0"/>
        </w:numPr>
        <w:pStyle w:val="programcode"/>
      </w:pPr>
      <w:r>
        <w:t>Texto: "El Departamento del Tesoro de los Estados Unidos sancionó al banco Rossiya, señalándolo como banco personal de altos funcionarios del gobierno ruso."</w:t>
      </w:r>
      <w:r>
        <w:br/>
      </w:r>
      <w:r>
        <w:t>Respuesta: {"Persons": [], "Organizations": ["Banco Rossiya", "Departamento del Tesoro"]}</w:t>
      </w:r>
    </w:p>
    <w:p>
      <w:pPr>
        <w:numPr>
          <w:ilvl w:val="0"/>
          <w:numId w:val="0"/>
        </w:numPr>
        <w:pStyle w:val="Normal"/>
      </w:pPr>
      <w:r>
        <w:rPr>
          <w:b/>
        </w:rPr>
        <w:t>Ejemplo few-shot 3 (caso PEP complejo):</w:t>
      </w:r>
    </w:p>
    <w:p>
      <w:pPr>
        <w:numPr>
          <w:ilvl w:val="0"/>
          <w:numId w:val="0"/>
        </w:numPr>
        <w:pStyle w:val="programcode"/>
      </w:pPr>
      <w:r>
        <w:t>Texto: "Isabel dos Santos, hija del expresidente angoleño José Eduardo dos Santos, figura en investigaciones de la empresa estatal Sonangol por presunto desvío de fondos."</w:t>
      </w:r>
      <w:r>
        <w:br/>
      </w:r>
      <w:r>
        <w:t>Respuesta: {"Persons": ["Isabel dos Santos", "José Eduardo dos Santos"], "Organizations": ["Sonangol"]}</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tablecaption"/>
      </w:pPr>
      <w:r>
        <w:t>Tabla 10. Anexo C —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p1a"/>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w:t>
      </w:r>
    </w:p>
    <w:p>
      <w:pPr>
        <w:numPr>
          <w:ilvl w:val="0"/>
          <w:numId w:val="0"/>
        </w:numPr>
        <w:pStyle w:val="tablecaption"/>
      </w:pPr>
      <w:r>
        <w:t>Tabla 11.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tablecaption"/>
      </w:pPr>
      <w:r>
        <w:t>Tabla 12.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tablecaption"/>
      </w:pPr>
      <w:r>
        <w:t>Tabla 13. Ejemplares Few-Shot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tablecaption"/>
      </w:pPr>
      <w:r>
        <w:t>Tabla 14. Reglas de la guía tipológica del dominio político-administrativo (politics_es), a modo de ejemplo</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tablecaption"/>
      </w:pPr>
      <w:r>
        <w:t>Tabla 15. Resultados Completos del Benchmark General (13 Configuraciones, N=15)</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5</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r>
        <w:tc>
          <w:tcPr>
            <w:tcW w:type="dxa" w:w="4215"/>
          </w:tcPr>
          <w:p>
            <w:pPr>
              <w:pStyle w:val="Compact"/>
              <w:jc w:val="left"/>
            </w:pPr>
            <w:r>
              <w:rPr>
                <w:b w:val="0"/>
              </w:rPr>
              <w:t>Excluidos del estudio</w:t>
            </w:r>
          </w:p>
        </w:tc>
        <w:tc>
          <w:tcPr>
            <w:tcW w:type="dxa" w:w="4623"/>
          </w:tcPr>
          <w:p>
            <w:pPr>
              <w:pStyle w:val="Compact"/>
              <w:jc w:val="left"/>
            </w:pPr>
            <w:r>
              <w:rPr>
                <w:b w:val="0"/>
              </w:rPr>
              <w:t>nuextract:latest, gemini-3.1-flash-lite, minimax-m3</w:t>
            </w:r>
          </w:p>
        </w:tc>
      </w:tr>
    </w:tbl>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Las entidades fueron seleccionadas de la base de datos OpenSanctions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(20 commits entre el 29 de junio y el 1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p1a"/>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p1a"/>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OpenSanctions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p1a"/>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p1a"/>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que la validación complementaria sobre el corpus real N=120 (§5.3.5) cubre un subconjunto de cinco modelos y que la re-evaluación de los modelos restantes queda como trabajo futuro (§7.2).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w:t>
      </w:r>
    </w:p>
    <w:p>
      <w:pPr>
        <w:numPr>
          <w:ilvl w:val="0"/>
          <w:numId w:val="0"/>
        </w:numPr>
        <w:pStyle w:val="tablecaption"/>
      </w:pPr>
      <w:r>
        <w:t>Tabla 16. H.1 Naturaleza y alcance del defecto</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tablecaption"/>
      </w:pPr>
      <w:r>
        <w:t>Tabla 17. H.2 Alcance medido y consecuencia sobre la comparación</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p1a"/>
      </w:pPr>
      <w:r>
        <w:t>Diferencia de F1 entre los 88 artículos afectados y los 31 no afectados, sobre los mismos registros para todos los modelos:</w:t>
      </w:r>
    </w:p>
    <w:p>
      <w:pPr>
        <w:numPr>
          <w:ilvl w:val="0"/>
          <w:numId w:val="0"/>
        </w:numPr>
        <w:pStyle w:val="tablecaption"/>
      </w:pPr>
      <w:r>
        <w:t>Tabla 18. H.3 Evidencia empírica del efecto diferencial</w:t>
      </w:r>
    </w:p>
    <w:tbl>
      <w:tblPr>
        <w:tblStyle w:val="Table"/>
        <w:tblW w:type="dxa" w:w="8838"/>
        <w:tblLayout w:type="fixed"/>
        <w:tblLook w:firstRow="1" w:lastRow="0" w:firstColumn="0" w:lastColumn="0" w:noHBand="0" w:noVBand="0" w:val="0020"/>
      </w:tblPr>
      <w:tblGrid>
        <w:gridCol w:w="4499"/>
        <w:gridCol w:w="4339"/>
      </w:tblGrid>
      <w:tr>
        <w:trPr>
          <w:tblHeader w:val="on"/>
        </w:trPr>
        <w:tc>
          <w:tcPr>
            <w:tcW w:type="dxa" w:w="4499"/>
          </w:tcPr>
          <w:p>
            <w:pPr>
              <w:pStyle w:val="Compact"/>
              <w:jc w:val="left"/>
            </w:pPr>
            <w:r>
              <w:rPr>
                <w:b/>
              </w:rPr>
              <w:t>Modelo</w:t>
            </w:r>
          </w:p>
        </w:tc>
        <w:tc>
          <w:tcPr>
            <w:tcW w:type="dxa" w:w="4339"/>
          </w:tcPr>
          <w:p>
            <w:pPr>
              <w:pStyle w:val="Compact"/>
              <w:jc w:val="left"/>
            </w:pPr>
            <w:r>
              <w:rPr>
                <w:b/>
              </w:rPr>
              <w:t xml:space="preserve">Δ F1 (con </w:t>
            </w:r>
            <w:r>
              <w:rPr>
                <w:b/>
                <w:i/>
              </w:rPr>
              <w:t>mojibake</w:t>
            </w:r>
            <w:r>
              <w:rPr>
                <w:b/>
              </w:rPr>
              <w:t xml:space="preserve"> − sin)</w:t>
            </w:r>
          </w:p>
        </w:tc>
      </w:tr>
      <w:tr>
        <w:tc>
          <w:tcPr>
            <w:tcW w:type="dxa" w:w="4499"/>
          </w:tcPr>
          <w:p>
            <w:pPr>
              <w:pStyle w:val="Compact"/>
              <w:jc w:val="left"/>
            </w:pPr>
            <w:r>
              <w:rPr>
                <w:b w:val="0"/>
              </w:rPr>
              <w:t>gemma4:latest (baseline)</w:t>
            </w:r>
          </w:p>
        </w:tc>
        <w:tc>
          <w:tcPr>
            <w:tcW w:type="dxa" w:w="4339"/>
          </w:tcPr>
          <w:p>
            <w:pPr>
              <w:pStyle w:val="Compact"/>
              <w:jc w:val="left"/>
            </w:pPr>
            <w:r>
              <w:rPr>
                <w:b/>
              </w:rPr>
              <w:t>−0.0695</w:t>
            </w:r>
          </w:p>
        </w:tc>
      </w:tr>
      <w:tr>
        <w:tc>
          <w:tcPr>
            <w:tcW w:type="dxa" w:w="4499"/>
          </w:tcPr>
          <w:p>
            <w:pPr>
              <w:pStyle w:val="Compact"/>
              <w:jc w:val="left"/>
            </w:pPr>
            <w:r>
              <w:rPr>
                <w:b w:val="0"/>
              </w:rPr>
              <w:t>gemma4:12b-mlx (baseline)</w:t>
            </w:r>
          </w:p>
        </w:tc>
        <w:tc>
          <w:tcPr>
            <w:tcW w:type="dxa" w:w="4339"/>
          </w:tcPr>
          <w:p>
            <w:pPr>
              <w:pStyle w:val="Compact"/>
              <w:jc w:val="left"/>
            </w:pPr>
            <w:r>
              <w:rPr>
                <w:b w:val="0"/>
              </w:rPr>
              <w:t>−0.0422</w:t>
            </w:r>
          </w:p>
        </w:tc>
      </w:tr>
      <w:tr>
        <w:tc>
          <w:tcPr>
            <w:tcW w:type="dxa" w:w="4499"/>
          </w:tcPr>
          <w:p>
            <w:pPr>
              <w:pStyle w:val="Compact"/>
              <w:jc w:val="left"/>
            </w:pPr>
            <w:r>
              <w:rPr>
                <w:b w:val="0"/>
              </w:rPr>
              <w:t>gemma4:31b-mlx (baseline)</w:t>
            </w:r>
          </w:p>
        </w:tc>
        <w:tc>
          <w:tcPr>
            <w:tcW w:type="dxa" w:w="4339"/>
          </w:tcPr>
          <w:p>
            <w:pPr>
              <w:pStyle w:val="Compact"/>
              <w:jc w:val="left"/>
            </w:pPr>
            <w:r>
              <w:rPr>
                <w:b w:val="0"/>
              </w:rPr>
              <w:t>−0.0395</w:t>
            </w:r>
          </w:p>
        </w:tc>
      </w:tr>
      <w:tr>
        <w:tc>
          <w:tcPr>
            <w:tcW w:type="dxa" w:w="4499"/>
          </w:tcPr>
          <w:p>
            <w:pPr>
              <w:pStyle w:val="Compact"/>
              <w:jc w:val="left"/>
            </w:pPr>
            <w:r>
              <w:rPr>
                <w:b w:val="0"/>
              </w:rPr>
              <w:t>llama3.1:8b (KB RAG)</w:t>
            </w:r>
          </w:p>
        </w:tc>
        <w:tc>
          <w:tcPr>
            <w:tcW w:type="dxa" w:w="4339"/>
          </w:tcPr>
          <w:p>
            <w:pPr>
              <w:pStyle w:val="Compact"/>
              <w:jc w:val="left"/>
            </w:pPr>
            <w:r>
              <w:rPr>
                <w:b w:val="0"/>
              </w:rPr>
              <w:t>−0.0004</w:t>
            </w:r>
          </w:p>
        </w:tc>
      </w:tr>
      <w:tr>
        <w:tc>
          <w:tcPr>
            <w:tcW w:type="dxa" w:w="4499"/>
          </w:tcPr>
          <w:p>
            <w:pPr>
              <w:pStyle w:val="Compact"/>
              <w:jc w:val="left"/>
            </w:pPr>
            <w:r>
              <w:rPr>
                <w:b w:val="0"/>
              </w:rPr>
              <w:t>mistral-nemo:latest (KB RAG)</w:t>
            </w:r>
          </w:p>
        </w:tc>
        <w:tc>
          <w:tcPr>
            <w:tcW w:type="dxa" w:w="4339"/>
          </w:tcPr>
          <w:p>
            <w:pPr>
              <w:pStyle w:val="Compact"/>
              <w:jc w:val="left"/>
            </w:pPr>
            <w:r>
              <w:rPr>
                <w:b w:val="0"/>
              </w:rPr>
              <w:t>+0.0122</w:t>
            </w:r>
          </w:p>
        </w:tc>
      </w:tr>
      <w:tr>
        <w:tc>
          <w:tcPr>
            <w:tcW w:type="dxa" w:w="4499"/>
          </w:tcPr>
          <w:p>
            <w:pPr>
              <w:pStyle w:val="Compact"/>
              <w:jc w:val="left"/>
            </w:pPr>
            <w:r>
              <w:rPr>
                <w:b w:val="0"/>
              </w:rPr>
              <w:t>deepseek-r1:1.5b (baseline)</w:t>
            </w:r>
          </w:p>
        </w:tc>
        <w:tc>
          <w:tcPr>
            <w:tcW w:type="dxa" w:w="4339"/>
          </w:tcPr>
          <w:p>
            <w:pPr>
              <w:pStyle w:val="Compact"/>
              <w:jc w:val="left"/>
            </w:pPr>
            <w:r>
              <w:rPr>
                <w:b w:val="0"/>
              </w:rPr>
              <w:t>+0.0199</w:t>
            </w:r>
          </w:p>
        </w:tc>
      </w:tr>
      <w:tr>
        <w:tc>
          <w:tcPr>
            <w:tcW w:type="dxa" w:w="4499"/>
          </w:tcPr>
          <w:p>
            <w:pPr>
              <w:pStyle w:val="Compact"/>
              <w:jc w:val="left"/>
            </w:pPr>
            <w:r>
              <w:rPr>
                <w:b w:val="0"/>
              </w:rPr>
              <w:t>gemma:latest (KB RAG)</w:t>
            </w:r>
          </w:p>
        </w:tc>
        <w:tc>
          <w:tcPr>
            <w:tcW w:type="dxa" w:w="4339"/>
          </w:tcPr>
          <w:p>
            <w:pPr>
              <w:pStyle w:val="Compact"/>
              <w:jc w:val="left"/>
            </w:pPr>
            <w:r>
              <w:rPr>
                <w:b/>
              </w:rPr>
              <w:t>+0.0249</w:t>
            </w:r>
          </w:p>
        </w:tc>
      </w:tr>
    </w:tbl>
    <w:p>
      <w:pPr>
        <w:numPr>
          <w:ilvl w:val="0"/>
          <w:numId w:val="0"/>
        </w:numPr>
        <w:pStyle w:val="Normal"/>
      </w:pPr>
      <w:r>
        <w:t xml:space="preserve">El rango entre extremos alcanza </w:t>
      </w:r>
      <w:r>
        <w:rPr>
          <w:b/>
        </w:rPr>
        <w:t>9,4 puntos porcentuales</w:t>
      </w:r>
      <w:r>
        <w:t>.</w:t>
      </w:r>
    </w:p>
    <w:p>
      <w:pPr>
        <w:numPr>
          <w:ilvl w:val="0"/>
          <w:numId w:val="0"/>
        </w:numPr>
        <w:pStyle w:val="p1a"/>
      </w:pPr>
      <w:r>
        <w:rPr>
          <w:b/>
        </w:rPr>
        <w:t>Cautela metodológica.</w:t>
      </w:r>
      <w:r>
        <w:t xml:space="preserve"> Los artículos afectados podrían ser además más largos o intrínsecamente más difíciles, lo que confundiría la magnitud absoluta de cada Δ. Sin embargo, la dificultad desplazaría a todos los modelos en la misma dirección; </w:t>
      </w:r>
      <w:r>
        <w:rPr>
          <w:b/>
        </w:rPr>
        <w:t>la dispersión entre modelos sobre registros idénticos</w:t>
      </w:r>
      <w:r>
        <w:t xml:space="preserve"> es lo que acredita una interacción específica de cada modelo. Una versión previa de esta tabla situaba a </w:t>
      </w:r>
      <w:r>
        <w:t>gpt-oss:20b</w:t>
      </w:r>
      <w:r>
        <w:t xml:space="preserve"> en el extremo positivo con +0,091, y se advirtió entonces que esa fila era la menos fiable por estar dominada por un artefacto del arnés. Corregido el artefacto y repetida la medición, su valor real es </w:t>
      </w:r>
      <w:r>
        <w:rPr>
          <w:b/>
        </w:rPr>
        <w:t>−0,034</w:t>
      </w:r>
      <w:r>
        <w:t>, dentro del rango del resto. El episodio ilustra la necesidad de descartar defectos de ejecución antes de interpretar un valor extremo.</w:t>
      </w:r>
    </w:p>
    <w:p>
      <w:pPr>
        <w:numPr>
          <w:ilvl w:val="0"/>
          <w:numId w:val="0"/>
        </w:numPr>
        <w:pStyle w:val="heading3"/>
      </w:pPr>
      <w:r>
        <w:t>H.4 Cómo debe repararse</w:t>
      </w:r>
    </w:p>
    <w:p>
      <w:pPr>
        <w:numPr>
          <w:ilvl w:val="0"/>
          <w:numId w:val="0"/>
        </w:numPr>
        <w:pStyle w:val="p1a"/>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(§5.3.5) y como línea de trabajo futuro (§7.2, punto 7).</w:t>
      </w:r>
    </w:p>
    <w:p>
      <w:pPr>
        <w:numPr>
          <w:ilvl w:val="0"/>
          <w:numId w:val="0"/>
        </w:numPr>
        <w:pStyle w:val="heading3"/>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28"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220" w:after="11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160" w:after="80"/>
      <w:outlineLvl w:val="1"/>
    </w:pPr>
    <w:rPr>
      <w:b/>
    </w:rPr>
  </w:style>
  <w:style w:type="paragraph" w:styleId="Ttulo3">
    <w:name w:val="heading 3"/>
    <w:basedOn w:val="Normal"/>
    <w:next w:val="Normal"/>
    <w:qFormat/>
    <w:rsid w:val="002B66F5"/>
    <w:pPr>
      <w:keepNext/>
      <w:keepLines/>
      <w:numPr>
        <w:ilvl w:val="2"/>
        <w:numId w:val="38"/>
      </w:numPr>
      <w:suppressAutoHyphens/>
      <w:spacing w:before="140" w:after="7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16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170" w:lineRule="exact"/>
      <w:ind w:left="227" w:firstLine="0"/>
      <w:contextualSpacing/>
      <w:jc w:val="left"/>
    </w:pPr>
    <w:rPr>
      <w:rFonts w:ascii="Courier" w:hAnsi="Courier"/>
      <w:sz w:val="14"/>
      <w:szCs w:val="14"/>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100" w:after="6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184"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