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few-shot</w:t>
      </w:r>
      <w:r>
        <w:t xml:space="preserve"> aporta +10,4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few-shot</w:t>
      </w:r>
      <w:r>
        <w:t xml:space="preserve"> examples yields +10.4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se estima en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Normal"/>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Normal"/>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w:t>
      </w:r>
      <w:r>
        <w:rPr>
          <w:b/>
        </w:rPr>
        <w:t>análisis de varianza (ANOVA) de una vía</w:t>
      </w:r>
      <w:r>
        <w:t xml:space="preserve">,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w:t>
      </w:r>
      <w:r>
        <w:rPr>
          <w:b/>
        </w:rPr>
        <w:t>intervalos de confianza al 95 %</w:t>
      </w:r>
      <w:r>
        <w:t xml:space="preserve">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Normal"/>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w:t>
      </w:r>
      <w:r>
        <w:rPr>
          <w:b/>
        </w:rPr>
        <w:t>puede cargarse en 16 GB ni siquiera de forma serial</w:t>
      </w:r>
      <w:r>
        <w:t xml:space="preserve">.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 a nivel de caracteres</w:t>
      </w:r>
      <w:r>
        <w:t xml:space="preserve">, implementado con la función </w:t>
      </w:r>
      <w:r>
        <w:t>ratio</w:t>
      </w:r>
      <w:r>
        <w:t xml:space="preserve"> de la biblioteca </w:t>
      </w:r>
      <w:r>
        <w:rPr>
          <w:i/>
        </w:rPr>
        <w:t>rapidfuzz</w:t>
      </w:r>
      <w:r>
        <w:t xml:space="preserve">,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Normal"/>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(−0.72 pp), pero </w:t>
      </w:r>
      <w:r>
        <w:rPr>
          <w:b/>
        </w:rPr>
        <w:t>su combinación alcanza +10.40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xml:space="preserve">,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w:t>
      </w:r>
      <w:r>
        <w:rPr>
          <w:b/>
        </w:rPr>
        <w:t>el F1 nunca puede superar la media aritmética de precisión y exhaustividad</w:t>
      </w:r>
      <w:r>
        <w:t>,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 xml:space="preserve">El cotejo entre la entidad extraída y la de referencia es </w:t>
      </w:r>
      <w:r>
        <w:rPr>
          <w:b/>
        </w:rPr>
        <w:t>difuso a nivel de caracteres</w:t>
      </w:r>
      <w:r>
        <w:t xml:space="preserve">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4.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5. Análisis de Variantes de Prompts (gemma4:latest, N=15)</w:t>
      </w:r>
    </w:p>
    <w:tbl>
      <w:tblPr>
        <w:tblStyle w:val="Table"/>
        <w:tblW w:type="pct" w:w="5000"/>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Análisis de Eficiencia en Hardware Soberano</w:t>
      </w:r>
    </w:p>
    <w:tbl>
      <w:tblPr>
        <w:tblStyle w:val="Table"/>
        <w:tblW w:type="pct" w:w="5000"/>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w:t>
      </w:r>
      <w:r>
        <w:rPr>
          <w:b/>
        </w:rPr>
        <w:t>no mide el coste de cómputo de cada modelo, sino el coste amortizado de la infraestructura</w:t>
      </w:r>
      <w:r>
        <w:t xml:space="preserve">. Se </w:t>
      </w:r>
      <w:r>
        <w:rPr>
          <w:b/>
        </w:rPr>
        <w:t>estima</w:t>
      </w:r>
      <w:r>
        <w:t xml:space="preserve"> a partir de la amortización del equipo a un año, unos USD 0,050 por artículo procesado, más el consumo eléctrico, unos USD 0,002. Conviene subrayar que </w:t>
      </w:r>
      <w:r>
        <w:rPr>
          <w:b/>
        </w:rPr>
        <w:t>todas las cifras económicas de esta sección son estimaciones</w:t>
      </w:r>
      <w:r>
        <w:t>,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 xml:space="preserve">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w:t>
      </w:r>
      <w:r>
        <w:rPr>
          <w:b/>
        </w:rPr>
        <w:t>el idioma del prompt y de sus ejemplos</w:t>
      </w:r>
      <w:r>
        <w:t>. Redactar ambos en español aporta 10,40 puntos de F1 sin cambiar de modelo, mejora que ninguno de los dos factores consigue por separado: traducir solo el prompt aporta 4,38 puntos y añadir ejemplos en inglés resta 0,72.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Normal"/>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−0.72 pp de F1 respectivamente, pero combinados alcanzan </w:t>
      </w:r>
      <w:r>
        <w:rPr>
          <w:b/>
        </w:rPr>
        <w:t>+10.40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exploratorio N=5 sobre el mismo modelo, no persistido en </w:t>
      </w:r>
      <w:r>
        <w:t>results/</w:t>
      </w:r>
      <w:r>
        <w:t>, degradó el F1 hasta 0.2367 (−57.8% respecto de su propio baseline), degradación confirmada después en la corrida reproducible N=120, donde ese mismo modelo cae de 0.3611 a 0.3113.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Anexo A —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Resultados Completos del Benchmark General (13 Configuraciones,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H.1 Naturaleza y alcance del defecto</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H.2 Alcance medido y consecuencia sobre la comparación</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18. H.3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Normal"/>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