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ejecutados en local mediante Ollama sobre Apple Silicon, sobre una arquitectura pub/sub multihilo con concurrencia adaptativa (AIMD) y capa Factory/Facade. La validación comparó trece modelos sobre 120 artículos reales en español y 30 del dominio; contrastó la extracción directa con la generación aumentada por recuperación (RAG) contextual y midió las diferencias con ANOVA y Tukey HSD. El beneficio del RAG resulta inversamente proporcional a la capacidad del modelo: solo es significativo en los dos más débiles (+14,5 y +10,8 puntos de F1) y es nulo o adverso en los mayores. Redactar el prompt en español e incorporar ejemplos </w:t>
      </w:r>
      <w:r>
        <w:rPr>
          <w:i/>
        </w:rPr>
        <w:t>few-shot</w:t>
      </w:r>
      <w:r>
        <w:t xml:space="preserve"> aporta +10,4 puntos sobre el baseline en inglés, mejora que ninguno de ambos factores logra por separado. El mejor modelo alcanza 80,57 % de F1 sin extracciones fallidas en el corpus del dominio, reduce el costo unitario de revisión y preserva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executed locally through Ollama on Apple Silicon hardware, on a multithreaded pub/sub architecture with adaptive concurrency control (AIMD) and a Factory/Facade layer. Validation compared thirteen models on 120 real Spanish-language articles and 30 domain ones; contrasted direct extraction with contextual retrieval-augmented generation (RAG) and measured the differences with ANOVA and Tukey HSD. The benefit of RAG is inversely proportional to model capacity: it is significant only in the two weakest models (+14.5 and +10.8 F1 points) and is null or adverse in the larger ones. Writing the prompt in Spanish and adding </w:t>
      </w:r>
      <w:r>
        <w:rPr>
          <w:i/>
        </w:rPr>
        <w:t>few-shot</w:t>
      </w:r>
      <w:r>
        <w:t xml:space="preserve"> examples yields +10.4 points over the English baseline, an improvement neither factor achieves alone. The best model reaches 80.57 % F1 with no failed extractions on the domain corpus, lowers the unit cost of review and preserves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se estima en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Normal"/>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Normal"/>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w:t>
      </w:r>
      <w:r>
        <w:rPr>
          <w:b/>
        </w:rPr>
        <w:t>análisis de varianza (ANOVA) de una vía</w:t>
      </w:r>
      <w:r>
        <w:t xml:space="preserve">,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w:t>
      </w:r>
      <w:r>
        <w:rPr>
          <w:b/>
        </w:rPr>
        <w:t>intervalos de confianza al 95 %</w:t>
      </w:r>
      <w:r>
        <w:t xml:space="preserve">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0"/>
        <w:tblLook w:firstRow="1"/>
      </w:tblPr>
      <w:tblGrid>
        <w:gridCol w:w="2092"/>
        <w:gridCol w:w="2964"/>
        <w:gridCol w:w="1394"/>
        <w:gridCol w:w="670"/>
        <w:gridCol w:w="1046"/>
        <w:gridCol w:w="672"/>
      </w:tblGrid>
      <w:tr>
        <w:trPr>
          <w:cnfStyle w:firstRow="1"/>
        </w:trPr>
        <w:tc>
          <w:tcPr>
            <w:tcW w:type="dxa" w:w="2092"/>
            <w:tcBorders>
              <w:bottom w:val="single"/>
            </w:tcBorders>
            <w:vAlign w:val="bottom"/>
          </w:tcPr>
          <w:p>
            <w:pPr>
              <w:pStyle w:val="Compact"/>
              <w:jc w:val="left"/>
            </w:pPr>
            <w:r>
              <w:rPr>
                <w:b/>
              </w:rPr>
              <w:t>Trabajo</w:t>
            </w:r>
          </w:p>
        </w:tc>
        <w:tc>
          <w:tcPr>
            <w:tcW w:type="dxa" w:w="2964"/>
            <w:tcBorders>
              <w:bottom w:val="single"/>
            </w:tcBorders>
            <w:vAlign w:val="bottom"/>
          </w:tcPr>
          <w:p>
            <w:pPr>
              <w:pStyle w:val="Compact"/>
              <w:jc w:val="left"/>
            </w:pPr>
            <w:r>
              <w:rPr>
                <w:b/>
              </w:rPr>
              <w:t>Dataset</w:t>
            </w:r>
          </w:p>
        </w:tc>
        <w:tc>
          <w:tcPr>
            <w:tcW w:type="dxa" w:w="1394"/>
            <w:tcBorders>
              <w:bottom w:val="single"/>
            </w:tcBorders>
            <w:vAlign w:val="bottom"/>
          </w:tcPr>
          <w:p>
            <w:pPr>
              <w:pStyle w:val="Compact"/>
              <w:jc w:val="left"/>
            </w:pPr>
            <w:r>
              <w:rPr>
                <w:b/>
              </w:rPr>
              <w:t>Modelo</w:t>
            </w:r>
          </w:p>
        </w:tc>
        <w:tc>
          <w:tcPr>
            <w:tcW w:type="dxa" w:w="670"/>
            <w:tcBorders>
              <w:bottom w:val="single"/>
            </w:tcBorders>
            <w:vAlign w:val="bottom"/>
          </w:tcPr>
          <w:p>
            <w:pPr>
              <w:pStyle w:val="Compact"/>
              <w:jc w:val="center"/>
            </w:pPr>
            <w:r>
              <w:rPr>
                <w:b/>
              </w:rPr>
              <w:t>F1</w:t>
            </w:r>
          </w:p>
        </w:tc>
        <w:tc>
          <w:tcPr>
            <w:tcW w:type="dxa" w:w="1046"/>
            <w:tcBorders>
              <w:bottom w:val="single"/>
            </w:tcBorders>
            <w:vAlign w:val="bottom"/>
          </w:tcPr>
          <w:p>
            <w:pPr>
              <w:pStyle w:val="Compact"/>
              <w:jc w:val="center"/>
            </w:pPr>
            <w:r>
              <w:rPr>
                <w:b/>
              </w:rPr>
              <w:t>Privacidad</w:t>
            </w:r>
          </w:p>
        </w:tc>
        <w:tc>
          <w:tcPr>
            <w:tcW w:type="dxa" w:w="672"/>
            <w:tcBorders>
              <w:bottom w:val="single"/>
            </w:tcBorders>
            <w:vAlign w:val="bottom"/>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Normal"/>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w:t>
      </w:r>
      <w:r>
        <w:rPr>
          <w:b/>
        </w:rPr>
        <w:t>puede cargarse en 16 GB ni siquiera de forma serial</w:t>
      </w:r>
      <w:r>
        <w:t xml:space="preserve">.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 a nivel de caracteres</w:t>
      </w:r>
      <w:r>
        <w:t xml:space="preserve">, implementado con la función </w:t>
      </w:r>
      <w:r>
        <w:t>ratio</w:t>
      </w:r>
      <w:r>
        <w:t xml:space="preserve"> de la biblioteca </w:t>
      </w:r>
      <w:r>
        <w:rPr>
          <w:i/>
        </w:rPr>
        <w:t>rapidfuzz</w:t>
      </w:r>
      <w:r>
        <w:t xml:space="preserve">,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Normal"/>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(−0.72 pp), pero </w:t>
      </w:r>
      <w:r>
        <w:rPr>
          <w:b/>
        </w:rPr>
        <w:t>su combinación alcanza +10.40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xml:space="preserve">,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w:t>
      </w:r>
      <w:r>
        <w:rPr>
          <w:b/>
        </w:rPr>
        <w:t>el F1 nunca puede superar la media aritmética de precisión y exhaustividad</w:t>
      </w:r>
      <w:r>
        <w:t>,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 xml:space="preserve">El cotejo entre la entidad extraída y la de referencia es </w:t>
      </w:r>
      <w:r>
        <w:rPr>
          <w:b/>
        </w:rPr>
        <w:t>difuso a nivel de caracteres</w:t>
      </w:r>
      <w:r>
        <w:t xml:space="preserve">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4. Benchmark General — 12 Modelos en 13 Configuraciones sobre Kleptotrace/CoNLL-2002 (N=15)</w:t>
      </w:r>
    </w:p>
    <w:tbl>
      <w:tblPr>
        <w:tblStyle w:val="Table"/>
        <w:tblW w:type="pct" w:w="5000.0"/>
        <w:tblLook w:firstRow="1"/>
      </w:tblPr>
      <w:tblGrid>
        <w:gridCol w:w="1991"/>
        <w:gridCol w:w="668"/>
        <w:gridCol w:w="948"/>
        <w:gridCol w:w="668"/>
        <w:gridCol w:w="853"/>
        <w:gridCol w:w="668"/>
        <w:gridCol w:w="1232"/>
        <w:gridCol w:w="1137"/>
        <w:gridCol w:w="673"/>
      </w:tblGrid>
      <w:tr>
        <w:trPr>
          <w:cnfStyle w:firstRow="1"/>
        </w:trPr>
        <w:tc>
          <w:tcPr>
            <w:tcW w:type="dxa" w:w="1991"/>
            <w:tcBorders>
              <w:bottom w:val="single"/>
            </w:tcBorders>
            <w:vAlign w:val="bottom"/>
          </w:tcPr>
          <w:p>
            <w:pPr>
              <w:pStyle w:val="Compact"/>
              <w:jc w:val="left"/>
            </w:pPr>
            <w:r>
              <w:rPr>
                <w:b/>
              </w:rPr>
              <w:t>Modelo</w:t>
            </w:r>
          </w:p>
        </w:tc>
        <w:tc>
          <w:tcPr>
            <w:tcW w:type="dxa" w:w="668"/>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668"/>
            <w:tcBorders>
              <w:bottom w:val="single"/>
            </w:tcBorders>
            <w:vAlign w:val="bottom"/>
          </w:tcPr>
          <w:p>
            <w:pPr>
              <w:pStyle w:val="Compact"/>
              <w:jc w:val="center"/>
            </w:pPr>
            <w:r>
              <w:rPr>
                <w:b/>
              </w:rPr>
              <w:t>F1</w:t>
            </w:r>
          </w:p>
        </w:tc>
        <w:tc>
          <w:tcPr>
            <w:tcW w:type="dxa" w:w="853"/>
            <w:tcBorders>
              <w:bottom w:val="single"/>
            </w:tcBorders>
            <w:vAlign w:val="bottom"/>
          </w:tcPr>
          <w:p>
            <w:pPr>
              <w:pStyle w:val="Compact"/>
              <w:jc w:val="center"/>
            </w:pPr>
            <w:r>
              <w:rPr>
                <w:b/>
              </w:rPr>
              <w:t>Precisión</w:t>
            </w:r>
          </w:p>
        </w:tc>
        <w:tc>
          <w:tcPr>
            <w:tcW w:type="dxa" w:w="668"/>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673"/>
            <w:tcBorders>
              <w:bottom w:val="single"/>
            </w:tcBorders>
            <w:vAlign w:val="bottom"/>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5. Análisis de Variantes de Prompts (gemma4:latest, N=15)</w:t>
      </w:r>
    </w:p>
    <w:tbl>
      <w:tblPr>
        <w:tblStyle w:val="Table"/>
        <w:tblW w:type="pct" w:w="5000.0"/>
        <w:tblLook w:firstRow="1"/>
      </w:tblPr>
      <w:tblGrid>
        <w:gridCol w:w="2687"/>
        <w:gridCol w:w="686"/>
        <w:gridCol w:w="895"/>
        <w:gridCol w:w="686"/>
        <w:gridCol w:w="1293"/>
        <w:gridCol w:w="1194"/>
        <w:gridCol w:w="1397"/>
      </w:tblGrid>
      <w:tr>
        <w:trPr>
          <w:cnfStyle w:firstRow="1"/>
        </w:trPr>
        <w:tc>
          <w:tcPr>
            <w:tcW w:type="dxa" w:w="2687"/>
            <w:tcBorders>
              <w:bottom w:val="single"/>
            </w:tcBorders>
            <w:vAlign w:val="bottom"/>
          </w:tcPr>
          <w:p>
            <w:pPr>
              <w:pStyle w:val="Compact"/>
              <w:jc w:val="left"/>
            </w:pPr>
            <w:r>
              <w:rPr>
                <w:b/>
              </w:rPr>
              <w:t>Configuración</w:t>
            </w:r>
          </w:p>
        </w:tc>
        <w:tc>
          <w:tcPr>
            <w:tcW w:type="dxa" w:w="686"/>
            <w:tcBorders>
              <w:bottom w:val="single"/>
            </w:tcBorders>
            <w:vAlign w:val="bottom"/>
          </w:tcPr>
          <w:p>
            <w:pPr>
              <w:pStyle w:val="Compact"/>
              <w:jc w:val="left"/>
            </w:pPr>
            <w:r>
              <w:rPr>
                <w:b/>
              </w:rPr>
              <w:t>F1</w:t>
            </w:r>
          </w:p>
        </w:tc>
        <w:tc>
          <w:tcPr>
            <w:tcW w:type="dxa" w:w="895"/>
            <w:tcBorders>
              <w:bottom w:val="single"/>
            </w:tcBorders>
            <w:vAlign w:val="bottom"/>
          </w:tcPr>
          <w:p>
            <w:pPr>
              <w:pStyle w:val="Compact"/>
              <w:jc w:val="left"/>
            </w:pPr>
            <w:r>
              <w:rPr>
                <w:b/>
              </w:rPr>
              <w:t>Precisión</w:t>
            </w:r>
          </w:p>
        </w:tc>
        <w:tc>
          <w:tcPr>
            <w:tcW w:type="dxa" w:w="686"/>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w:t>
      </w:r>
    </w:p>
    <w:tbl>
      <w:tblPr>
        <w:tblStyle w:val="Table"/>
        <w:tblW w:type="pct" w:w="5000.0"/>
        <w:tblLook w:firstRow="1"/>
      </w:tblPr>
      <w:tblGrid>
        <w:gridCol w:w="2028"/>
        <w:gridCol w:w="1014"/>
        <w:gridCol w:w="1303"/>
        <w:gridCol w:w="1014"/>
        <w:gridCol w:w="2607"/>
        <w:gridCol w:w="872"/>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607"/>
            <w:tcBorders>
              <w:bottom w:val="single"/>
            </w:tcBorders>
            <w:vAlign w:val="bottom"/>
          </w:tcPr>
          <w:p>
            <w:pPr>
              <w:pStyle w:val="Compact"/>
              <w:jc w:val="center"/>
            </w:pPr>
            <w:r>
              <w:rPr>
                <w:b/>
              </w:rPr>
              <w:t>IC 95 % del F1</w:t>
            </w:r>
          </w:p>
        </w:tc>
        <w:tc>
          <w:tcPr>
            <w:tcW w:type="dxa" w:w="872"/>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Validación Estadística sobre Corpus Real N=120 (estudio completo)</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w:t>
      </w:r>
      <w:r>
        <w:rPr>
          <w:b/>
        </w:rPr>
        <w:t>p = 3,4453 × 10⁻¹⁶⁰</w:t>
      </w:r>
      <w:r>
        <w:t xml:space="preserve">,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 xml:space="preserve">Ese resultado dibuja el hallazgo central del estudio: </w:t>
      </w:r>
      <w:r>
        <w:rPr>
          <w:b/>
        </w:rPr>
        <w:t>el beneficio del KB RAG es inversamente proporcional a la capacidad del modelo</w:t>
      </w:r>
      <w:r>
        <w:t>.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Análisis de Eficiencia en Hardware Soberano</w:t>
      </w:r>
    </w:p>
    <w:tbl>
      <w:tblPr>
        <w:tblStyle w:val="Table"/>
        <w:tblW w:type="pct" w:w="5000.0"/>
        <w:tblLook w:firstRow="1"/>
      </w:tblPr>
      <w:tblGrid>
        <w:gridCol w:w="1753"/>
        <w:gridCol w:w="1127"/>
        <w:gridCol w:w="694"/>
        <w:gridCol w:w="1753"/>
        <w:gridCol w:w="1753"/>
        <w:gridCol w:w="1758"/>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694"/>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758"/>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w:t>
      </w:r>
      <w:r>
        <w:rPr>
          <w:b/>
        </w:rPr>
        <w:t>no mide el coste de cómputo de cada modelo, sino el coste amortizado de la infraestructura</w:t>
      </w:r>
      <w:r>
        <w:t xml:space="preserve">. Se </w:t>
      </w:r>
      <w:r>
        <w:rPr>
          <w:b/>
        </w:rPr>
        <w:t>estima</w:t>
      </w:r>
      <w:r>
        <w:t xml:space="preserve"> a partir de la amortización del equipo a un año, unos USD 0,050 por artículo procesado, más el consumo eléctrico, unos USD 0,002. Conviene subrayar que </w:t>
      </w:r>
      <w:r>
        <w:rPr>
          <w:b/>
        </w:rPr>
        <w:t>todas las cifras económicas de esta sección son estimaciones</w:t>
      </w:r>
      <w:r>
        <w:t>,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 xml:space="preserve">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w:t>
      </w:r>
      <w:r>
        <w:rPr>
          <w:b/>
        </w:rPr>
        <w:t>el idioma del prompt y de sus ejemplos</w:t>
      </w:r>
      <w:r>
        <w:t>. Redactar ambos en español aporta 10,40 puntos de F1 sin cambiar de modelo, mejora que ninguno de los dos factores consigue por separado: traducir solo el prompt aporta 4,38 puntos y añadir ejemplos en inglés resta 0,72.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Normal"/>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−0.72 pp de F1 respectivamente, pero combinados alcanzan </w:t>
      </w:r>
      <w:r>
        <w:rPr>
          <w:b/>
        </w:rPr>
        <w:t>+10.40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exploratorio N=5 sobre el mismo modelo, no persistido en </w:t>
      </w:r>
      <w:r>
        <w:t>results/</w:t>
      </w:r>
      <w:r>
        <w:t>, degradó el F1 hasta 0.2367 (−57.8% respecto de su propio baseline), degradación confirmada después en la corrida reproducible N=120, donde ese mismo modelo cae de 0.3611 a 0.3113.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Anexo A —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Anexo C —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693"/>
        <w:gridCol w:w="3421"/>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693"/>
            <w:tcBorders>
              <w:bottom w:val="single"/>
            </w:tcBorders>
            <w:vAlign w:val="bottom"/>
          </w:tcPr>
          <w:p>
            <w:pPr>
              <w:pStyle w:val="Compact"/>
              <w:jc w:val="left"/>
            </w:pPr>
            <w:r>
              <w:rPr>
                <w:b/>
              </w:rPr>
              <w:t>Idioma</w:t>
            </w:r>
          </w:p>
        </w:tc>
        <w:tc>
          <w:tcPr>
            <w:tcW w:type="dxa" w:w="3421"/>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Resultados Completos del Benchmark General (13 Configuraciones, N=15)</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5</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H.1 Naturaleza y alcance del defecto</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H.2 Alcance medido y consecuencia sobre la comparación</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18. H.3 Evidencia empírica del efecto diferencial</w:t>
      </w:r>
    </w:p>
    <w:tbl>
      <w:tblPr>
        <w:tblStyle w:val="Table"/>
        <w:tblW w:type="pct" w:w="5000.0"/>
        <w:tblLook w:firstRow="1"/>
      </w:tblPr>
      <w:tblGrid>
        <w:gridCol w:w="4499"/>
        <w:gridCol w:w="4339"/>
      </w:tblGrid>
      <w:tr>
        <w:trPr>
          <w:cnfStyle w:firstRow="1"/>
        </w:trPr>
        <w:tc>
          <w:tcPr>
            <w:tcW w:type="dxa" w:w="4499"/>
            <w:tcBorders>
              <w:bottom w:val="single"/>
            </w:tcBorders>
            <w:vAlign w:val="bottom"/>
          </w:tcPr>
          <w:p>
            <w:pPr>
              <w:pStyle w:val="Compact"/>
              <w:jc w:val="left"/>
            </w:pPr>
            <w:r>
              <w:rPr>
                <w:b/>
              </w:rPr>
              <w:t>Modelo</w:t>
            </w:r>
          </w:p>
        </w:tc>
        <w:tc>
          <w:tcPr>
            <w:tcW w:type="dxa" w:w="4339"/>
            <w:tcBorders>
              <w:bottom w:val="single"/>
            </w:tcBorders>
            <w:vAlign w:val="bottom"/>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Normal"/>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