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ejecutados en local mediante Ollama sobre Apple Silicon, sobre una arquitectura pub/sub multihilo con concurrencia adaptativa (AIMD) y capa Factory/Facade. La validación comparó trece modelos sobre 120 artículos reales en español y 30 del dominio; contrastó la extracción directa con la generación aumentada por recuperación (RAG) contextual y midió las diferencias con ANOVA y Tukey HSD. El beneficio del RAG resulta inversamente proporcional a la capacidad del modelo: solo es significativo en los dos más débiles (+14,5 y +10,8 puntos de F1) y es nulo o adverso en los mayores. Redactar el prompt en español e incorporar ejemplos </w:t>
      </w:r>
      <w:r>
        <w:rPr>
          <w:i/>
        </w:rPr>
        <w:t>few-shot</w:t>
      </w:r>
      <w:r>
        <w:t xml:space="preserve"> aporta +10,4 puntos sobre el baseline en inglés, mejora que ninguno de ambos factores logra por separado. El mejor modelo alcanza 80,57 % de F1 sin extracciones fallidas en el corpus del dominio, reduce el costo unitario de revisión y preserva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executed locally through Ollama on Apple Silicon hardware, on a multithreaded pub/sub architecture with adaptive concurrency control (AIMD) and a Factory/Facade layer. Validation compared thirteen models on 120 real Spanish-language articles and 30 domain ones; contrasted direct extraction with contextual retrieval-augmented generation (RAG) and measured the differences with ANOVA and Tukey HSD. The benefit of RAG is inversely proportional to model capacity: it is significant only in the two weakest models (+14.5 and +10.8 F1 points) and is null or adverse in the larger ones. Writing the prompt in Spanish and adding </w:t>
      </w:r>
      <w:r>
        <w:rPr>
          <w:i/>
        </w:rPr>
        <w:t>few-shot</w:t>
      </w:r>
      <w:r>
        <w:t xml:space="preserve"> examples yields +10.4 points over the English baseline, an improvement neither factor achieves alone. The best model reaches 80.57 % F1 with no failed extractions on the domain corpus, lowers the unit cost of review and preserves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se estima en USD 8.75 por artículo analizado. A nivel global, según Verified Market Research el mercado de RegTech se valoró en USD 15,68 mil millones en 2020 y se proyecta que alcance USD 87,17 mil millones hacia 2028, con una CAGR del 23,92 % durante 2021-2028, evidenciando la urgencia de soluciones automatizadas y escalables (Verified Market Research, 2022).</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w:t>
      </w:r>
      <w:r>
        <w:rPr>
          <w:b/>
        </w:rPr>
        <w:t>sistemas basados en reglas y expresiones regulares</w:t>
      </w:r>
      <w:r>
        <w:t xml:space="preserve"> resultan frágiles ante la variación morfológica del español, donde un mismo nombre admite múltiples formas según la posición, la partícula y la acentuación. Las </w:t>
      </w:r>
      <w:r>
        <w:rPr>
          <w:b/>
        </w:rPr>
        <w:t>APIs comerciales en la nube</w:t>
      </w:r>
      <w:r>
        <w:t xml:space="preserv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alcanzan el mejor desempeño publicado, pero requieren miles de ejemplos etiquetados en el dominio objetivo, inexistentes en español para cumplimiento financiero.</w:t>
      </w:r>
    </w:p>
    <w:p>
      <w:pPr>
        <w:numPr>
          <w:ilvl w:val="0"/>
          <w:numId w:val="0"/>
        </w:numPr>
        <w:pStyle w:val="Normal"/>
      </w:pPr>
      <w:r>
        <w:t xml:space="preserve">La brecha que este trabajo aborda se sitúa precisamente en esa intersección vacía: obtener un desempeño aprovechable </w:t>
      </w:r>
      <w:r>
        <w:rPr>
          <w:b/>
        </w:rPr>
        <w:t>sin datos etiquetados del dominio y sin ceder los datos a un tercero</w:t>
      </w:r>
      <w:r>
        <w:t>.</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reales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que la literatura anglosajona de aprendizaje automático denomina </w:t>
      </w:r>
      <w:r>
        <w:rPr>
          <w:i/>
        </w:rPr>
        <w:t>ablation study</w:t>
      </w:r>
      <w:r>
        <w:t>—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w:t>
      </w:r>
      <w:r>
        <w:rPr>
          <w:b/>
        </w:rPr>
        <w:t>ANOVA de una vía y pruebas post-hoc de Tukey HSD</w:t>
      </w:r>
      <w:r>
        <w:t xml:space="preserve">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 xml:space="preserve">Los </w:t>
      </w:r>
      <w:r>
        <w:rPr>
          <w:b/>
        </w:rPr>
        <w:t>sistemas basados en reglas y diccionarios</w:t>
      </w:r>
      <w:r>
        <w:t xml:space="preserve">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[17], [10]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constituyen el estado del arte académico. Partiendo de un modelo pre-entrenado, un ajuste fino sobre el dominio alcanza entre 88 % y 91 % de F1 en español [7],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w:t>
      </w:r>
      <w:r>
        <w:rPr>
          <w:b/>
        </w:rPr>
        <w:t>modelos de lenguaje grande generativos</w:t>
      </w:r>
      <w:r>
        <w:t xml:space="preserve">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El problema y las familias de técnicas disponibles</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Inmediata mediante *prompt*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y no ayuda ante nombres ausentes del catálogo.</w:t>
      </w:r>
    </w:p>
    <w:p>
      <w:pPr>
        <w:numPr>
          <w:ilvl w:val="0"/>
          <w:numId w:val="0"/>
        </w:numPr>
        <w:pStyle w:val="Normal"/>
      </w:pPr>
      <w:r>
        <w:t xml:space="preserve">Una segunda variante es el </w:t>
      </w:r>
      <w:r>
        <w:rPr>
          <w:b/>
        </w:rPr>
        <w:t>RAG contextual o de conocimiento</w:t>
      </w:r>
      <w:r>
        <w:t xml:space="preserve">,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[5],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ofrece el motor de inferencia cuantizada de referencia pero exige gestión manual de modelos; </w:t>
      </w:r>
      <w:r>
        <w:rPr>
          <w:b/>
        </w:rPr>
        <w:t>vLLM</w:t>
      </w:r>
      <w:r>
        <w:t xml:space="preserve">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aprovecha específicamente la memoria unificada de Apple Silicon; y </w:t>
      </w:r>
      <w:r>
        <w:rPr>
          <w:b/>
        </w:rPr>
        <w:t>Ollama</w:t>
      </w:r>
      <w:r>
        <w:t xml:space="preserve">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w:t>
      </w:r>
      <w:r>
        <w:rPr>
          <w:b/>
        </w:rPr>
        <w:t>análisis de varianza (ANOVA) de una vía</w:t>
      </w:r>
      <w:r>
        <w:t xml:space="preserve">,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w:t>
      </w:r>
      <w:r>
        <w:rPr>
          <w:b/>
        </w:rPr>
        <w:t>intervalos de confianza al 95 %</w:t>
      </w:r>
      <w:r>
        <w:t xml:space="preserve">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y criterios de selección</w:t>
      </w:r>
    </w:p>
    <w:tbl>
      <w:tblPr>
        <w:tblStyle w:val="Table"/>
        <w:tblW w:type="dxa" w:w="8838"/>
        <w:tblLayout w:type="fixed"/>
        <w:tblLook w:firstRow="1" w:lastRow="0" w:firstColumn="0" w:lastColumn="0" w:noHBand="0" w:noVBand="0" w:val="0020"/>
      </w:tblPr>
      <w:tblGrid>
        <w:gridCol w:w="2092"/>
        <w:gridCol w:w="2964"/>
        <w:gridCol w:w="1394"/>
        <w:gridCol w:w="670"/>
        <w:gridCol w:w="1046"/>
        <w:gridCol w:w="672"/>
      </w:tblGrid>
      <w:tr>
        <w:trPr>
          <w:tblHeader w:val="on"/>
        </w:trPr>
        <w:tc>
          <w:tcPr>
            <w:tcW w:type="dxa" w:w="2092"/>
          </w:tcPr>
          <w:p>
            <w:pPr>
              <w:pStyle w:val="Compact"/>
              <w:jc w:val="left"/>
            </w:pPr>
            <w:r>
              <w:rPr>
                <w:b/>
              </w:rPr>
              <w:t>Trabajo</w:t>
            </w:r>
          </w:p>
        </w:tc>
        <w:tc>
          <w:tcPr>
            <w:tcW w:type="dxa" w:w="2964"/>
          </w:tcPr>
          <w:p>
            <w:pPr>
              <w:pStyle w:val="Compact"/>
              <w:jc w:val="left"/>
            </w:pPr>
            <w:r>
              <w:rPr>
                <w:b/>
              </w:rPr>
              <w:t>Dataset</w:t>
            </w:r>
          </w:p>
        </w:tc>
        <w:tc>
          <w:tcPr>
            <w:tcW w:type="dxa" w:w="1394"/>
          </w:tcPr>
          <w:p>
            <w:pPr>
              <w:pStyle w:val="Compact"/>
              <w:jc w:val="left"/>
            </w:pPr>
            <w:r>
              <w:rPr>
                <w:b/>
              </w:rPr>
              <w:t>Modelo</w:t>
            </w:r>
          </w:p>
        </w:tc>
        <w:tc>
          <w:tcPr>
            <w:tcW w:type="dxa" w:w="670"/>
          </w:tcPr>
          <w:p>
            <w:pPr>
              <w:pStyle w:val="Compact"/>
              <w:jc w:val="center"/>
            </w:pPr>
            <w:r>
              <w:rPr>
                <w:b/>
              </w:rPr>
              <w:t>F1</w:t>
            </w:r>
          </w:p>
        </w:tc>
        <w:tc>
          <w:tcPr>
            <w:tcW w:type="dxa" w:w="1046"/>
          </w:tcPr>
          <w:p>
            <w:pPr>
              <w:pStyle w:val="Compact"/>
              <w:jc w:val="center"/>
            </w:pPr>
            <w:r>
              <w:rPr>
                <w:b/>
              </w:rPr>
              <w:t>Privacidad</w:t>
            </w:r>
          </w:p>
        </w:tc>
        <w:tc>
          <w:tcPr>
            <w:tcW w:type="dxa" w:w="672"/>
          </w:tcPr>
          <w:p>
            <w:pPr>
              <w:pStyle w:val="Compact"/>
              <w:jc w:val="left"/>
            </w:pPr>
            <w:r>
              <w:rPr>
                <w:b/>
              </w:rPr>
              <w:t>Idioma</w:t>
            </w:r>
          </w:p>
        </w:tc>
      </w:tr>
      <w:tr>
        <w:tc>
          <w:tcPr>
            <w:tcW w:type="dxa" w:w="2092"/>
          </w:tcPr>
          <w:p>
            <w:pPr>
              <w:pStyle w:val="Compact"/>
              <w:jc w:val="left"/>
            </w:pPr>
            <w:r>
              <w:rPr>
                <w:b w:val="0"/>
              </w:rPr>
              <w:t>BloombergGPT [3]</w:t>
            </w:r>
          </w:p>
        </w:tc>
        <w:tc>
          <w:tcPr>
            <w:tcW w:type="dxa" w:w="2964"/>
          </w:tcPr>
          <w:p>
            <w:pPr>
              <w:pStyle w:val="Compact"/>
              <w:jc w:val="left"/>
            </w:pPr>
            <w:r>
              <w:rPr>
                <w:b w:val="0"/>
              </w:rPr>
              <w:t>Bloomberg corpus</w:t>
            </w:r>
          </w:p>
        </w:tc>
        <w:tc>
          <w:tcPr>
            <w:tcW w:type="dxa" w:w="1394"/>
          </w:tcPr>
          <w:p>
            <w:pPr>
              <w:pStyle w:val="Compact"/>
              <w:jc w:val="left"/>
            </w:pPr>
            <w:r>
              <w:rPr>
                <w:b w:val="0"/>
              </w:rPr>
              <w:t>GPT-J + dominio</w:t>
            </w:r>
          </w:p>
        </w:tc>
        <w:tc>
          <w:tcPr>
            <w:tcW w:type="dxa" w:w="670"/>
          </w:tcPr>
          <w:p>
            <w:pPr>
              <w:pStyle w:val="Compact"/>
              <w:jc w:val="center"/>
            </w:pPr>
            <w:r>
              <w:rPr>
                <w:b w:val="0"/>
              </w:rPr>
              <w:t>85%+</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FiNER-139 Benchmark [15]</w:t>
            </w:r>
          </w:p>
        </w:tc>
        <w:tc>
          <w:tcPr>
            <w:tcW w:type="dxa" w:w="2964"/>
          </w:tcPr>
          <w:p>
            <w:pPr>
              <w:pStyle w:val="Compact"/>
              <w:jc w:val="left"/>
            </w:pPr>
            <w:r>
              <w:rPr>
                <w:b w:val="0"/>
              </w:rPr>
              <w:t>SEC 10-K/10-Q</w:t>
            </w:r>
          </w:p>
        </w:tc>
        <w:tc>
          <w:tcPr>
            <w:tcW w:type="dxa" w:w="1394"/>
          </w:tcPr>
          <w:p>
            <w:pPr>
              <w:pStyle w:val="Compact"/>
              <w:jc w:val="left"/>
            </w:pPr>
            <w:r>
              <w:rPr>
                <w:b w:val="0"/>
              </w:rPr>
              <w:t>BERT fine-tuned</w:t>
            </w:r>
          </w:p>
        </w:tc>
        <w:tc>
          <w:tcPr>
            <w:tcW w:type="dxa" w:w="670"/>
          </w:tcPr>
          <w:p>
            <w:pPr>
              <w:pStyle w:val="Compact"/>
              <w:jc w:val="center"/>
            </w:pPr>
            <w:r>
              <w:rPr>
                <w:b w:val="0"/>
              </w:rPr>
              <w:t>91%</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García &amp; López [7]</w:t>
            </w:r>
          </w:p>
        </w:tc>
        <w:tc>
          <w:tcPr>
            <w:tcW w:type="dxa" w:w="2964"/>
          </w:tcPr>
          <w:p>
            <w:pPr>
              <w:pStyle w:val="Compact"/>
              <w:jc w:val="left"/>
            </w:pPr>
            <w:r>
              <w:rPr>
                <w:b w:val="0"/>
              </w:rPr>
              <w:t>CoNLL-ES</w:t>
            </w:r>
          </w:p>
        </w:tc>
        <w:tc>
          <w:tcPr>
            <w:tcW w:type="dxa" w:w="1394"/>
          </w:tcPr>
          <w:p>
            <w:pPr>
              <w:pStyle w:val="Compact"/>
              <w:jc w:val="left"/>
            </w:pPr>
            <w:r>
              <w:rPr>
                <w:b w:val="0"/>
              </w:rPr>
              <w:t>XLM-R</w:t>
            </w:r>
          </w:p>
        </w:tc>
        <w:tc>
          <w:tcPr>
            <w:tcW w:type="dxa" w:w="670"/>
          </w:tcPr>
          <w:p>
            <w:pPr>
              <w:pStyle w:val="Compact"/>
              <w:jc w:val="center"/>
            </w:pPr>
            <w:r>
              <w:rPr>
                <w:b w:val="0"/>
              </w:rPr>
              <w:t>88%</w:t>
            </w:r>
          </w:p>
        </w:tc>
        <w:tc>
          <w:tcPr>
            <w:tcW w:type="dxa" w:w="1046"/>
          </w:tcPr>
          <w:p>
            <w:pPr>
              <w:pStyle w:val="Compact"/>
              <w:jc w:val="center"/>
            </w:pPr>
            <w:r>
              <w:rPr>
                <w:b w:val="0"/>
              </w:rPr>
              <w:t>✅ Local</w:t>
            </w:r>
          </w:p>
        </w:tc>
        <w:tc>
          <w:tcPr>
            <w:tcW w:type="dxa" w:w="672"/>
          </w:tcPr>
          <w:p>
            <w:pPr>
              <w:pStyle w:val="Compact"/>
              <w:jc w:val="left"/>
            </w:pPr>
            <w:r>
              <w:rPr>
                <w:b w:val="0"/>
              </w:rPr>
              <w:t>Español</w:t>
            </w:r>
          </w:p>
        </w:tc>
      </w:tr>
      <w:tr>
        <w:tc>
          <w:tcPr>
            <w:tcW w:type="dxa" w:w="2092"/>
          </w:tcPr>
          <w:p>
            <w:pPr>
              <w:pStyle w:val="Compact"/>
              <w:jc w:val="left"/>
            </w:pPr>
            <w:r>
              <w:rPr>
                <w:b w:val="0"/>
              </w:rPr>
              <w:t>Chang et al. [9]</w:t>
            </w:r>
          </w:p>
        </w:tc>
        <w:tc>
          <w:tcPr>
            <w:tcW w:type="dxa" w:w="2964"/>
          </w:tcPr>
          <w:p>
            <w:pPr>
              <w:pStyle w:val="Compact"/>
              <w:jc w:val="left"/>
            </w:pPr>
            <w:r>
              <w:rPr>
                <w:b w:val="0"/>
              </w:rPr>
              <w:t>Docs bancarios</w:t>
            </w:r>
          </w:p>
        </w:tc>
        <w:tc>
          <w:tcPr>
            <w:tcW w:type="dxa" w:w="1394"/>
          </w:tcPr>
          <w:p>
            <w:pPr>
              <w:pStyle w:val="Compact"/>
              <w:jc w:val="left"/>
            </w:pPr>
            <w:r>
              <w:rPr>
                <w:b w:val="0"/>
              </w:rPr>
              <w:t>GPT-4 + RAG</w:t>
            </w:r>
          </w:p>
        </w:tc>
        <w:tc>
          <w:tcPr>
            <w:tcW w:type="dxa" w:w="670"/>
          </w:tcPr>
          <w:p>
            <w:pPr>
              <w:pStyle w:val="Compact"/>
              <w:jc w:val="center"/>
            </w:pPr>
            <w:r>
              <w:rPr>
                <w:b w:val="0"/>
              </w:rPr>
              <w:t>83%</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rPr>
              <w:t>Este trabajo</w:t>
            </w:r>
          </w:p>
        </w:tc>
        <w:tc>
          <w:tcPr>
            <w:tcW w:type="dxa" w:w="2964"/>
          </w:tcPr>
          <w:p>
            <w:pPr>
              <w:pStyle w:val="Compact"/>
              <w:jc w:val="left"/>
            </w:pPr>
            <w:r>
              <w:rPr>
                <w:b/>
              </w:rPr>
              <w:t>Kleptotrace/CoNLL-2002 (AML), corpus sintético N=30</w:t>
            </w:r>
          </w:p>
        </w:tc>
        <w:tc>
          <w:tcPr>
            <w:tcW w:type="dxa" w:w="1394"/>
          </w:tcPr>
          <w:p>
            <w:pPr>
              <w:pStyle w:val="Compact"/>
              <w:jc w:val="left"/>
            </w:pPr>
            <w:r>
              <w:rPr>
                <w:b/>
              </w:rPr>
              <w:t>gemma4:31b local</w:t>
            </w:r>
          </w:p>
        </w:tc>
        <w:tc>
          <w:tcPr>
            <w:tcW w:type="dxa" w:w="670"/>
          </w:tcPr>
          <w:p>
            <w:pPr>
              <w:pStyle w:val="Compact"/>
              <w:jc w:val="center"/>
            </w:pPr>
            <w:r>
              <w:rPr>
                <w:b/>
              </w:rPr>
              <w:t>79%</w:t>
            </w:r>
          </w:p>
        </w:tc>
        <w:tc>
          <w:tcPr>
            <w:tcW w:type="dxa" w:w="1046"/>
          </w:tcPr>
          <w:p>
            <w:pPr>
              <w:pStyle w:val="Compact"/>
              <w:jc w:val="center"/>
            </w:pPr>
            <w:r>
              <w:rPr>
                <w:b/>
              </w:rPr>
              <w:t>✅ 100% Local</w:t>
            </w:r>
          </w:p>
        </w:tc>
        <w:tc>
          <w:tcPr>
            <w:tcW w:type="dxa" w:w="672"/>
          </w:tcPr>
          <w:p>
            <w:pPr>
              <w:pStyle w:val="Compact"/>
              <w:jc w:val="left"/>
            </w:pPr>
            <w:r>
              <w:rPr>
                <w:b/>
              </w:rPr>
              <w:t>Español</w:t>
            </w:r>
          </w:p>
        </w:tc>
      </w:tr>
    </w:tbl>
    <w:p>
      <w:pPr>
        <w:numPr>
          <w:ilvl w:val="0"/>
          <w:numId w:val="0"/>
        </w:numPr>
        <w:pStyle w:val="Normal"/>
      </w:pPr>
      <w:r>
        <w:t>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w:t>
      </w:r>
      <w:r>
        <w:rPr>
          <w:b/>
        </w:rPr>
        <w:t>(C1) prescindir de datos etiquetados</w:t>
      </w:r>
      <w:r>
        <w:t xml:space="preserve">, por no existir corpus del dominio en español; </w:t>
      </w:r>
      <w:r>
        <w:rPr>
          <w:b/>
        </w:rPr>
        <w:t>(C2) preservar la soberanía del dato</w:t>
      </w:r>
      <w:r>
        <w:t xml:space="preserve">, lo que excluye toda API externa; </w:t>
      </w:r>
      <w:r>
        <w:rPr>
          <w:b/>
        </w:rPr>
        <w:t>(C3) operar sobre hardware de consumo</w:t>
      </w:r>
      <w:r>
        <w:t xml:space="preserve">, lo que obliga a cuantización y a gestión explícita de memoria; </w:t>
      </w:r>
      <w:r>
        <w:rPr>
          <w:b/>
        </w:rPr>
        <w:t>(C4) producir salida verificable</w:t>
      </w:r>
      <w:r>
        <w:t xml:space="preserve">, dado que el modelo elegido genera texto libre; y </w:t>
      </w:r>
      <w:r>
        <w:rPr>
          <w:b/>
        </w:rPr>
        <w:t>(C5) permitir comparación empírica entre variantes</w:t>
      </w:r>
      <w:r>
        <w:t xml:space="preserve">,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proveedores y orquestación</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xml:space="preserve">), política tomada del control de congestión en redes. Mientras el sistema permanece estable —sin errores de limitación de tasa ni excepciones— durante una ventana de 600 segundos, el controlador </w:t>
      </w:r>
      <w:r>
        <w:rPr>
          <w:b/>
        </w:rPr>
        <w:t>añade un consumidor cada 120 segundos</w:t>
      </w:r>
      <w:r>
        <w:t xml:space="preserve"> hasta un techo del 75 % del máximo configurado; ante el primer error de saturación </w:t>
      </w:r>
      <w:r>
        <w:rPr>
          <w:b/>
        </w:rPr>
        <w:t>reduce los consumidores a la mitad</w:t>
      </w:r>
      <w:r>
        <w:t>.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w:t>
      </w:r>
      <w:r>
        <w:rPr>
          <w:b/>
        </w:rPr>
        <w:t>pero no reduce el footprint de uno solo</w:t>
      </w:r>
      <w:r>
        <w:t>, y esa distinción resultó decisiva. macOS asigna a la GPU un techo de memoria equivalente al 75 % de la memoria unificada del equipo (</w:t>
      </w:r>
      <w:r>
        <w:t>recommendedMaxWorkingSetSize</w:t>
      </w:r>
      <w:r>
        <w:t xml:space="preserve">):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w:t>
      </w:r>
      <w:r>
        <w:rPr>
          <w:b/>
        </w:rPr>
        <w:t>puede cargarse en 16 GB ni siquiera de forma serial</w:t>
      </w:r>
      <w:r>
        <w:t xml:space="preserve">.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w:t>
      </w:r>
      <w:r>
        <w:rPr>
          <w:b/>
        </w:rPr>
        <w:t>emparejamiento difuso a nivel de caracteres</w:t>
      </w:r>
      <w:r>
        <w:t xml:space="preserve">, implementado con la función </w:t>
      </w:r>
      <w:r>
        <w:t>ratio</w:t>
      </w:r>
      <w:r>
        <w:t xml:space="preserve"> de la biblioteca </w:t>
      </w:r>
      <w:r>
        <w:rPr>
          <w:i/>
        </w:rPr>
        <w:t>rapidfuzz</w:t>
      </w:r>
      <w:r>
        <w:t xml:space="preserve">,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Normal"/>
      </w:pPr>
      <w:r>
        <w:rPr>
          <w:b/>
        </w:rPr>
        <w:t>Corpus 1 — Kleptotrace/CoNLL-2002 (N=15, Gold Standard):</w:t>
      </w:r>
      <w:r>
        <w:t xml:space="preserve"> 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numPr>
          <w:ilvl w:val="0"/>
          <w:numId w:val="0"/>
        </w:numPr>
        <w:pStyle w:val="Normal"/>
      </w:pPr>
      <w:r>
        <w:rPr>
          <w:b/>
        </w:rPr>
        <w:t>Corpus 2 — Kleptotrace/CoNLL-2002 Augmented (N=30, Corpus de Validación Estadística):</w:t>
      </w:r>
      <w:r>
        <w:t xml:space="preserve"> 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a partir de treinta observaciones independientes, la media muestral se aproxima a una distribución normal,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xml:space="preserve">), se incorporó una tercera alternativa de corpus para reforzar la validez externa: en lugar de seguir aumentando el corpus por generación sintética, se amplió la base real combinando los 15 artículos Gold Standard de Kleptotrace/CoNLL-2002 con </w:t>
      </w:r>
      <w:r>
        <w:rPr>
          <w:b/>
        </w:rPr>
        <w:t>105 artículos reales del corpus público CoNLL-2002 en español</w:t>
      </w:r>
      <w:r>
        <w:t xml:space="preserve"> (</w:t>
      </w:r>
      <w:r>
        <w:t>data/conll2002_es.json</w:t>
      </w:r>
      <w:r>
        <w:t xml:space="preserve">, 833 artículos disponibles), generando el archivo </w:t>
      </w:r>
      <w:r>
        <w:t>data/benchmark_balanced_120.json</w:t>
      </w:r>
      <w:r>
        <w:t xml:space="preserve"> (N=120, script </w:t>
      </w:r>
      <w:r>
        <w:t>create_balanced_120.py</w:t>
      </w:r>
      <w:r>
        <w:t xml:space="preserve">). A diferencia del corpus N=30, </w:t>
      </w:r>
      <w:r>
        <w:rPr>
          <w:b/>
        </w:rPr>
        <w:t>ningún texto de este corpus fue generado por un LLM</w:t>
      </w:r>
      <w:r>
        <w:t>: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2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2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procedimiento que la literatura anglosajona denomina </w:t>
      </w:r>
      <w:r>
        <w:rPr>
          <w:i/>
        </w:rPr>
        <w:t>ablation study</w:t>
      </w:r>
      <w:r>
        <w:t>. Las cuatro celdas son zero-shot en inglés, que actúa como referencia, zero-shot en español, few-shot en inglés y few-shot en español, empleando en los dos últimos tres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tres ejemplos empleados en la configuración few-shot en español cubren un caso de persona sancionada, uno de organización y uno de mención ambigua; se reproducen íntegros en el Anexo B.</w:t>
      </w:r>
    </w:p>
    <w:p>
      <w:pPr>
        <w:numPr>
          <w:ilvl w:val="0"/>
          <w:numId w:val="0"/>
        </w:numPr>
        <w:pStyle w:val="Normal"/>
      </w:pPr>
      <w:r>
        <w:t xml:space="preserve">Los resultados del análisis de variantes de prompts revelan una </w:t>
      </w:r>
      <w:r>
        <w:rPr>
          <w:b/>
        </w:rPr>
        <w:t>interacción entre los dos factores</w:t>
      </w:r>
      <w:r>
        <w:t xml:space="preserve">: por separado, la localización al español aporta +4.38 pp de F1 y los ejemplos </w:t>
      </w:r>
      <w:r>
        <w:rPr>
          <w:i/>
        </w:rPr>
        <w:t>few-shot</w:t>
      </w:r>
      <w:r>
        <w:t xml:space="preserve"> en inglés no aportan nada (−0.72 pp), pero </w:t>
      </w:r>
      <w:r>
        <w:rPr>
          <w:b/>
        </w:rPr>
        <w:t>su combinación alcanza +10.40 pp</w:t>
      </w:r>
      <w:r>
        <w:t xml:space="preserve">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xml:space="preserve">,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w:t>
      </w:r>
      <w:r>
        <w:rPr>
          <w:b/>
        </w:rPr>
        <w:t>el F1 nunca puede superar la media aritmética de precisión y exhaustividad</w:t>
      </w:r>
      <w:r>
        <w:t>,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los segundos que tarda el sistema en procesar un artículo, pero no permite comparar modelos entre sí cuando las corridas usaron distinta concurrencia o distinto hardware, como ocurre en este estudio.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w:t>
      </w:r>
      <w:r>
        <w:rPr>
          <w:b/>
        </w:rPr>
        <w:t>difuso a nivel de caracteres</w:t>
      </w:r>
      <w:r>
        <w:t xml:space="preserve">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a nivel micro por artículo antes de promediarse entre artículos.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rPr>
          <w:b/>
        </w:rPr>
        <w:t>Convención ante la extracción vacía.</w:t>
      </w:r>
      <w:r>
        <w:t xml:space="preserve">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scikit-learn, statsmodels,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General — 12 Modelos en 13 Configuraciones sobre Kleptotrace/CoNLL-2002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rPr>
                <w:b/>
              </w:rPr>
              <w:t>Modelo</w:t>
            </w:r>
          </w:p>
        </w:tc>
        <w:tc>
          <w:tcPr>
            <w:tcW w:type="dxa" w:w="668"/>
          </w:tcPr>
          <w:p>
            <w:pPr>
              <w:pStyle w:val="Compact"/>
              <w:jc w:val="left"/>
            </w:pPr>
            <w:r>
              <w:rPr>
                <w:b/>
              </w:rPr>
              <w:t>Tipo</w:t>
            </w:r>
          </w:p>
        </w:tc>
        <w:tc>
          <w:tcPr>
            <w:tcW w:type="dxa" w:w="948"/>
          </w:tcPr>
          <w:p>
            <w:pPr>
              <w:pStyle w:val="Compact"/>
              <w:jc w:val="left"/>
            </w:pPr>
            <w:r>
              <w:rPr>
                <w:b/>
              </w:rPr>
              <w:t>Parámetros</w:t>
            </w:r>
          </w:p>
        </w:tc>
        <w:tc>
          <w:tcPr>
            <w:tcW w:type="dxa" w:w="668"/>
          </w:tcPr>
          <w:p>
            <w:pPr>
              <w:pStyle w:val="Compact"/>
              <w:jc w:val="center"/>
            </w:pPr>
            <w:r>
              <w:rPr>
                <w:b/>
              </w:rPr>
              <w:t>F1</w:t>
            </w:r>
          </w:p>
        </w:tc>
        <w:tc>
          <w:tcPr>
            <w:tcW w:type="dxa" w:w="853"/>
          </w:tcPr>
          <w:p>
            <w:pPr>
              <w:pStyle w:val="Compact"/>
              <w:jc w:val="center"/>
            </w:pPr>
            <w:r>
              <w:rPr>
                <w:b/>
              </w:rPr>
              <w:t>Precisión</w:t>
            </w:r>
          </w:p>
        </w:tc>
        <w:tc>
          <w:tcPr>
            <w:tcW w:type="dxa" w:w="668"/>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673"/>
          </w:tcPr>
          <w:p>
            <w:pPr>
              <w:pStyle w:val="Compact"/>
              <w:jc w:val="left"/>
            </w:pPr>
            <w:r>
              <w:rPr>
                <w:b/>
              </w:rPr>
              <w:t>Tok/s/B</w:t>
            </w:r>
          </w:p>
        </w:tc>
      </w:tr>
      <w:tr>
        <w:tc>
          <w:tcPr>
            <w:tcW w:type="dxa" w:w="1991"/>
          </w:tcPr>
          <w:p>
            <w:pPr>
              <w:pStyle w:val="Compact"/>
              <w:jc w:val="left"/>
            </w:pPr>
            <w:r>
              <w:rPr>
                <w:b w:val="0"/>
              </w:rPr>
              <w:t>gemma4:latest (FS-ES)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rPr>
              <w:t>74.44%</w:t>
            </w:r>
          </w:p>
        </w:tc>
        <w:tc>
          <w:tcPr>
            <w:tcW w:type="dxa" w:w="853"/>
          </w:tcPr>
          <w:p>
            <w:pPr>
              <w:pStyle w:val="Compact"/>
              <w:jc w:val="center"/>
            </w:pPr>
            <w:r>
              <w:rPr>
                <w:b w:val="0"/>
              </w:rPr>
              <w:t>66.78%</w:t>
            </w:r>
          </w:p>
        </w:tc>
        <w:tc>
          <w:tcPr>
            <w:tcW w:type="dxa" w:w="668"/>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673"/>
          </w:tcPr>
          <w:p>
            <w:pPr>
              <w:pStyle w:val="Compact"/>
              <w:jc w:val="left"/>
            </w:pPr>
            <w:r>
              <w:rPr>
                <w:b w:val="0"/>
              </w:rPr>
              <w:t>5.33</w:t>
            </w:r>
          </w:p>
        </w:tc>
      </w:tr>
      <w:tr>
        <w:tc>
          <w:tcPr>
            <w:tcW w:type="dxa" w:w="1991"/>
          </w:tcPr>
          <w:p>
            <w:pPr>
              <w:pStyle w:val="Compact"/>
              <w:jc w:val="left"/>
            </w:pPr>
            <w:r>
              <w:rPr>
                <w:b/>
              </w:rPr>
              <w:t>gemma4:31b</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69.12%</w:t>
            </w:r>
          </w:p>
        </w:tc>
        <w:tc>
          <w:tcPr>
            <w:tcW w:type="dxa" w:w="853"/>
          </w:tcPr>
          <w:p>
            <w:pPr>
              <w:pStyle w:val="Compact"/>
              <w:jc w:val="center"/>
            </w:pPr>
            <w:r>
              <w:rPr>
                <w:b w:val="0"/>
              </w:rPr>
              <w:t>58.83%</w:t>
            </w:r>
          </w:p>
        </w:tc>
        <w:tc>
          <w:tcPr>
            <w:tcW w:type="dxa" w:w="668"/>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673"/>
          </w:tcPr>
          <w:p>
            <w:pPr>
              <w:pStyle w:val="Compact"/>
              <w:jc w:val="left"/>
            </w:pPr>
            <w:r>
              <w:rPr>
                <w:b w:val="0"/>
              </w:rPr>
              <w:t>0.33</w:t>
            </w:r>
          </w:p>
        </w:tc>
      </w:tr>
      <w:tr>
        <w:tc>
          <w:tcPr>
            <w:tcW w:type="dxa" w:w="1991"/>
          </w:tcPr>
          <w:p>
            <w:pPr>
              <w:pStyle w:val="Compact"/>
              <w:jc w:val="left"/>
            </w:pPr>
            <w:r>
              <w:rPr>
                <w:b w:val="0"/>
              </w:rPr>
              <w:t>gemma4:31b-mlx</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68.52%</w:t>
            </w:r>
          </w:p>
        </w:tc>
        <w:tc>
          <w:tcPr>
            <w:tcW w:type="dxa" w:w="853"/>
          </w:tcPr>
          <w:p>
            <w:pPr>
              <w:pStyle w:val="Compact"/>
              <w:jc w:val="center"/>
            </w:pPr>
            <w:r>
              <w:rPr>
                <w:b w:val="0"/>
              </w:rPr>
              <w:t>58.31%</w:t>
            </w:r>
          </w:p>
        </w:tc>
        <w:tc>
          <w:tcPr>
            <w:tcW w:type="dxa" w:w="668"/>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673"/>
          </w:tcPr>
          <w:p>
            <w:pPr>
              <w:pStyle w:val="Compact"/>
              <w:jc w:val="left"/>
            </w:pPr>
            <w:r>
              <w:rPr>
                <w:b w:val="0"/>
              </w:rPr>
              <w:t>0.74</w:t>
            </w:r>
          </w:p>
        </w:tc>
      </w:tr>
      <w:tr>
        <w:tc>
          <w:tcPr>
            <w:tcW w:type="dxa" w:w="1991"/>
          </w:tcPr>
          <w:p>
            <w:pPr>
              <w:pStyle w:val="Compact"/>
              <w:jc w:val="left"/>
            </w:pPr>
            <w:r>
              <w:rPr>
                <w:b w:val="0"/>
              </w:rPr>
              <w:t>gemma4:latest (ZS-ES)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val="0"/>
              </w:rPr>
              <w:t>68.43%</w:t>
            </w:r>
          </w:p>
        </w:tc>
        <w:tc>
          <w:tcPr>
            <w:tcW w:type="dxa" w:w="853"/>
          </w:tcPr>
          <w:p>
            <w:pPr>
              <w:pStyle w:val="Compact"/>
              <w:jc w:val="center"/>
            </w:pPr>
            <w:r>
              <w:rPr>
                <w:b w:val="0"/>
              </w:rPr>
              <w:t>60.68%</w:t>
            </w:r>
          </w:p>
        </w:tc>
        <w:tc>
          <w:tcPr>
            <w:tcW w:type="dxa" w:w="668"/>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673"/>
          </w:tcPr>
          <w:p>
            <w:pPr>
              <w:pStyle w:val="Compact"/>
              <w:jc w:val="left"/>
            </w:pPr>
            <w:r>
              <w:rPr>
                <w:b w:val="0"/>
              </w:rPr>
              <w:t>5.33</w:t>
            </w:r>
          </w:p>
        </w:tc>
      </w:tr>
      <w:tr>
        <w:tc>
          <w:tcPr>
            <w:tcW w:type="dxa" w:w="1991"/>
          </w:tcPr>
          <w:p>
            <w:pPr>
              <w:pStyle w:val="Compact"/>
              <w:jc w:val="left"/>
            </w:pPr>
            <w:r>
              <w:rPr>
                <w:b w:val="0"/>
              </w:rPr>
              <w:t>gemma4:31b-cloud</w:t>
            </w:r>
          </w:p>
        </w:tc>
        <w:tc>
          <w:tcPr>
            <w:tcW w:type="dxa" w:w="668"/>
          </w:tcPr>
          <w:p>
            <w:pPr>
              <w:pStyle w:val="Compact"/>
              <w:jc w:val="left"/>
            </w:pPr>
            <w:r>
              <w:rPr>
                <w:b w:val="0"/>
              </w:rPr>
              <w:t>Cloud</w:t>
            </w:r>
          </w:p>
        </w:tc>
        <w:tc>
          <w:tcPr>
            <w:tcW w:type="dxa" w:w="948"/>
          </w:tcPr>
          <w:p>
            <w:pPr>
              <w:pStyle w:val="Compact"/>
              <w:jc w:val="left"/>
            </w:pPr>
            <w:r>
              <w:rPr>
                <w:b w:val="0"/>
              </w:rPr>
              <w:t>31B</w:t>
            </w:r>
          </w:p>
        </w:tc>
        <w:tc>
          <w:tcPr>
            <w:tcW w:type="dxa" w:w="668"/>
          </w:tcPr>
          <w:p>
            <w:pPr>
              <w:pStyle w:val="Compact"/>
              <w:jc w:val="center"/>
            </w:pPr>
            <w:r>
              <w:rPr>
                <w:b w:val="0"/>
              </w:rPr>
              <w:t>66.99%</w:t>
            </w:r>
          </w:p>
        </w:tc>
        <w:tc>
          <w:tcPr>
            <w:tcW w:type="dxa" w:w="853"/>
          </w:tcPr>
          <w:p>
            <w:pPr>
              <w:pStyle w:val="Compact"/>
              <w:jc w:val="center"/>
            </w:pPr>
            <w:r>
              <w:rPr>
                <w:b w:val="0"/>
              </w:rPr>
              <w:t>55.46%</w:t>
            </w:r>
          </w:p>
        </w:tc>
        <w:tc>
          <w:tcPr>
            <w:tcW w:type="dxa" w:w="668"/>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673"/>
          </w:tcPr>
          <w:p>
            <w:pPr>
              <w:pStyle w:val="Compact"/>
              <w:jc w:val="left"/>
            </w:pPr>
            <w:r>
              <w:rPr>
                <w:b w:val="0"/>
              </w:rPr>
              <w:t>—</w:t>
            </w:r>
          </w:p>
        </w:tc>
      </w:tr>
      <w:tr>
        <w:tc>
          <w:tcPr>
            <w:tcW w:type="dxa" w:w="1991"/>
          </w:tcPr>
          <w:p>
            <w:pPr>
              <w:pStyle w:val="Compact"/>
              <w:jc w:val="left"/>
            </w:pPr>
            <w:r>
              <w:rPr>
                <w:b w:val="0"/>
              </w:rPr>
              <w:t>llama3.2:latest</w:t>
            </w:r>
          </w:p>
        </w:tc>
        <w:tc>
          <w:tcPr>
            <w:tcW w:type="dxa" w:w="668"/>
          </w:tcPr>
          <w:p>
            <w:pPr>
              <w:pStyle w:val="Compact"/>
              <w:jc w:val="left"/>
            </w:pPr>
            <w:r>
              <w:rPr>
                <w:b w:val="0"/>
              </w:rPr>
              <w:t>Local</w:t>
            </w:r>
          </w:p>
        </w:tc>
        <w:tc>
          <w:tcPr>
            <w:tcW w:type="dxa" w:w="948"/>
          </w:tcPr>
          <w:p>
            <w:pPr>
              <w:pStyle w:val="Compact"/>
              <w:jc w:val="left"/>
            </w:pPr>
            <w:r>
              <w:rPr>
                <w:b w:val="0"/>
              </w:rPr>
              <w:t>3B</w:t>
            </w:r>
          </w:p>
        </w:tc>
        <w:tc>
          <w:tcPr>
            <w:tcW w:type="dxa" w:w="668"/>
          </w:tcPr>
          <w:p>
            <w:pPr>
              <w:pStyle w:val="Compact"/>
              <w:jc w:val="center"/>
            </w:pPr>
            <w:r>
              <w:rPr>
                <w:b w:val="0"/>
              </w:rPr>
              <w:t>63.19%</w:t>
            </w:r>
          </w:p>
        </w:tc>
        <w:tc>
          <w:tcPr>
            <w:tcW w:type="dxa" w:w="853"/>
          </w:tcPr>
          <w:p>
            <w:pPr>
              <w:pStyle w:val="Compact"/>
              <w:jc w:val="center"/>
            </w:pPr>
            <w:r>
              <w:rPr>
                <w:b w:val="0"/>
              </w:rPr>
              <w:t>62.82%</w:t>
            </w:r>
          </w:p>
        </w:tc>
        <w:tc>
          <w:tcPr>
            <w:tcW w:type="dxa" w:w="668"/>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673"/>
          </w:tcPr>
          <w:p>
            <w:pPr>
              <w:pStyle w:val="Compact"/>
              <w:jc w:val="left"/>
            </w:pPr>
            <w:r>
              <w:rPr>
                <w:b w:val="0"/>
              </w:rPr>
              <w:t>26.44</w:t>
            </w:r>
          </w:p>
        </w:tc>
      </w:tr>
      <w:tr>
        <w:tc>
          <w:tcPr>
            <w:tcW w:type="dxa" w:w="1991"/>
          </w:tcPr>
          <w:p>
            <w:pPr>
              <w:pStyle w:val="Compact"/>
              <w:jc w:val="left"/>
            </w:pPr>
            <w:r>
              <w:rPr>
                <w:b w:val="0"/>
              </w:rPr>
              <w:t>gemma:latest</w:t>
            </w:r>
          </w:p>
        </w:tc>
        <w:tc>
          <w:tcPr>
            <w:tcW w:type="dxa" w:w="668"/>
          </w:tcPr>
          <w:p>
            <w:pPr>
              <w:pStyle w:val="Compact"/>
              <w:jc w:val="left"/>
            </w:pPr>
            <w:r>
              <w:rPr>
                <w:b w:val="0"/>
              </w:rPr>
              <w:t>Local</w:t>
            </w:r>
          </w:p>
        </w:tc>
        <w:tc>
          <w:tcPr>
            <w:tcW w:type="dxa" w:w="948"/>
          </w:tcPr>
          <w:p>
            <w:pPr>
              <w:pStyle w:val="Compact"/>
              <w:jc w:val="left"/>
            </w:pPr>
            <w:r>
              <w:rPr>
                <w:b w:val="0"/>
              </w:rPr>
              <w:t>7B</w:t>
            </w:r>
          </w:p>
        </w:tc>
        <w:tc>
          <w:tcPr>
            <w:tcW w:type="dxa" w:w="668"/>
          </w:tcPr>
          <w:p>
            <w:pPr>
              <w:pStyle w:val="Compact"/>
              <w:jc w:val="center"/>
            </w:pPr>
            <w:r>
              <w:rPr>
                <w:b w:val="0"/>
              </w:rPr>
              <w:t>62.66%</w:t>
            </w:r>
          </w:p>
        </w:tc>
        <w:tc>
          <w:tcPr>
            <w:tcW w:type="dxa" w:w="853"/>
          </w:tcPr>
          <w:p>
            <w:pPr>
              <w:pStyle w:val="Compact"/>
              <w:jc w:val="center"/>
            </w:pPr>
            <w:r>
              <w:rPr>
                <w:b w:val="0"/>
              </w:rPr>
              <w:t>58.47%</w:t>
            </w:r>
          </w:p>
        </w:tc>
        <w:tc>
          <w:tcPr>
            <w:tcW w:type="dxa" w:w="668"/>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673"/>
          </w:tcPr>
          <w:p>
            <w:pPr>
              <w:pStyle w:val="Compact"/>
              <w:jc w:val="left"/>
            </w:pPr>
            <w:r>
              <w:rPr>
                <w:b w:val="0"/>
              </w:rPr>
              <w:t>5.17</w:t>
            </w:r>
          </w:p>
        </w:tc>
      </w:tr>
      <w:tr>
        <w:tc>
          <w:tcPr>
            <w:tcW w:type="dxa" w:w="1991"/>
          </w:tcPr>
          <w:p>
            <w:pPr>
              <w:pStyle w:val="Compact"/>
              <w:jc w:val="left"/>
            </w:pPr>
            <w:r>
              <w:rPr>
                <w:b w:val="0"/>
              </w:rPr>
              <w:t>qwen2.5:14b</w:t>
            </w:r>
          </w:p>
        </w:tc>
        <w:tc>
          <w:tcPr>
            <w:tcW w:type="dxa" w:w="668"/>
          </w:tcPr>
          <w:p>
            <w:pPr>
              <w:pStyle w:val="Compact"/>
              <w:jc w:val="left"/>
            </w:pPr>
            <w:r>
              <w:rPr>
                <w:b w:val="0"/>
              </w:rPr>
              <w:t>Local</w:t>
            </w:r>
          </w:p>
        </w:tc>
        <w:tc>
          <w:tcPr>
            <w:tcW w:type="dxa" w:w="948"/>
          </w:tcPr>
          <w:p>
            <w:pPr>
              <w:pStyle w:val="Compact"/>
              <w:jc w:val="left"/>
            </w:pPr>
            <w:r>
              <w:rPr>
                <w:b w:val="0"/>
              </w:rPr>
              <w:t>14B</w:t>
            </w:r>
          </w:p>
        </w:tc>
        <w:tc>
          <w:tcPr>
            <w:tcW w:type="dxa" w:w="668"/>
          </w:tcPr>
          <w:p>
            <w:pPr>
              <w:pStyle w:val="Compact"/>
              <w:jc w:val="center"/>
            </w:pPr>
            <w:r>
              <w:rPr>
                <w:b w:val="0"/>
              </w:rPr>
              <w:t>61.06%</w:t>
            </w:r>
          </w:p>
        </w:tc>
        <w:tc>
          <w:tcPr>
            <w:tcW w:type="dxa" w:w="853"/>
          </w:tcPr>
          <w:p>
            <w:pPr>
              <w:pStyle w:val="Compact"/>
              <w:jc w:val="center"/>
            </w:pPr>
            <w:r>
              <w:rPr>
                <w:b w:val="0"/>
              </w:rPr>
              <w:t>57.60%</w:t>
            </w:r>
          </w:p>
        </w:tc>
        <w:tc>
          <w:tcPr>
            <w:tcW w:type="dxa" w:w="668"/>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673"/>
          </w:tcPr>
          <w:p>
            <w:pPr>
              <w:pStyle w:val="Compact"/>
              <w:jc w:val="left"/>
            </w:pPr>
            <w:r>
              <w:rPr>
                <w:b w:val="0"/>
              </w:rPr>
              <w:t>1.57</w:t>
            </w:r>
          </w:p>
        </w:tc>
      </w:tr>
      <w:tr>
        <w:tc>
          <w:tcPr>
            <w:tcW w:type="dxa" w:w="1991"/>
          </w:tcPr>
          <w:p>
            <w:pPr>
              <w:pStyle w:val="Compact"/>
              <w:jc w:val="left"/>
            </w:pPr>
            <w:r>
              <w:rPr>
                <w:b w:val="0"/>
              </w:rPr>
              <w:t>llama3.1:8b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60.72%</w:t>
            </w:r>
          </w:p>
        </w:tc>
        <w:tc>
          <w:tcPr>
            <w:tcW w:type="dxa" w:w="853"/>
          </w:tcPr>
          <w:p>
            <w:pPr>
              <w:pStyle w:val="Compact"/>
              <w:jc w:val="center"/>
            </w:pPr>
            <w:r>
              <w:rPr>
                <w:b w:val="0"/>
              </w:rPr>
              <w:t>53.70%</w:t>
            </w:r>
          </w:p>
        </w:tc>
        <w:tc>
          <w:tcPr>
            <w:tcW w:type="dxa" w:w="668"/>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673"/>
          </w:tcPr>
          <w:p>
            <w:pPr>
              <w:pStyle w:val="Compact"/>
              <w:jc w:val="left"/>
            </w:pPr>
            <w:r>
              <w:rPr>
                <w:b w:val="0"/>
              </w:rPr>
              <w:t>5.03</w:t>
            </w:r>
          </w:p>
        </w:tc>
      </w:tr>
      <w:tr>
        <w:tc>
          <w:tcPr>
            <w:tcW w:type="dxa" w:w="1991"/>
          </w:tcPr>
          <w:p>
            <w:pPr>
              <w:pStyle w:val="Compact"/>
              <w:jc w:val="left"/>
            </w:pPr>
            <w:r>
              <w:rPr>
                <w:b w:val="0"/>
              </w:rPr>
              <w:t>qwen3:8b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53.65%</w:t>
            </w:r>
          </w:p>
        </w:tc>
        <w:tc>
          <w:tcPr>
            <w:tcW w:type="dxa" w:w="853"/>
          </w:tcPr>
          <w:p>
            <w:pPr>
              <w:pStyle w:val="Compact"/>
              <w:jc w:val="center"/>
            </w:pPr>
            <w:r>
              <w:rPr>
                <w:b w:val="0"/>
              </w:rPr>
              <w:t>46.75%</w:t>
            </w:r>
          </w:p>
        </w:tc>
        <w:tc>
          <w:tcPr>
            <w:tcW w:type="dxa" w:w="668"/>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673"/>
          </w:tcPr>
          <w:p>
            <w:pPr>
              <w:pStyle w:val="Compact"/>
              <w:jc w:val="left"/>
            </w:pPr>
            <w:r>
              <w:rPr>
                <w:b w:val="0"/>
              </w:rPr>
              <w:t>4.56</w:t>
            </w:r>
          </w:p>
        </w:tc>
      </w:tr>
      <w:tr>
        <w:tc>
          <w:tcPr>
            <w:tcW w:type="dxa" w:w="1991"/>
          </w:tcPr>
          <w:p>
            <w:pPr>
              <w:pStyle w:val="Compact"/>
              <w:jc w:val="left"/>
            </w:pPr>
            <w:r>
              <w:rPr>
                <w:b w:val="0"/>
              </w:rPr>
              <w:t>mistral-nemo:latest</w:t>
            </w:r>
          </w:p>
        </w:tc>
        <w:tc>
          <w:tcPr>
            <w:tcW w:type="dxa" w:w="668"/>
          </w:tcPr>
          <w:p>
            <w:pPr>
              <w:pStyle w:val="Compact"/>
              <w:jc w:val="left"/>
            </w:pPr>
            <w:r>
              <w:rPr>
                <w:b w:val="0"/>
              </w:rPr>
              <w:t>Local</w:t>
            </w:r>
          </w:p>
        </w:tc>
        <w:tc>
          <w:tcPr>
            <w:tcW w:type="dxa" w:w="948"/>
          </w:tcPr>
          <w:p>
            <w:pPr>
              <w:pStyle w:val="Compact"/>
              <w:jc w:val="left"/>
            </w:pPr>
            <w:r>
              <w:rPr>
                <w:b w:val="0"/>
              </w:rPr>
              <w:t>12B</w:t>
            </w:r>
          </w:p>
        </w:tc>
        <w:tc>
          <w:tcPr>
            <w:tcW w:type="dxa" w:w="668"/>
          </w:tcPr>
          <w:p>
            <w:pPr>
              <w:pStyle w:val="Compact"/>
              <w:jc w:val="center"/>
            </w:pPr>
            <w:r>
              <w:rPr>
                <w:b w:val="0"/>
              </w:rPr>
              <w:t>53.07%</w:t>
            </w:r>
          </w:p>
        </w:tc>
        <w:tc>
          <w:tcPr>
            <w:tcW w:type="dxa" w:w="853"/>
          </w:tcPr>
          <w:p>
            <w:pPr>
              <w:pStyle w:val="Compact"/>
              <w:jc w:val="center"/>
            </w:pPr>
            <w:r>
              <w:rPr>
                <w:b w:val="0"/>
              </w:rPr>
              <w:t>58.13%</w:t>
            </w:r>
          </w:p>
        </w:tc>
        <w:tc>
          <w:tcPr>
            <w:tcW w:type="dxa" w:w="668"/>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673"/>
          </w:tcPr>
          <w:p>
            <w:pPr>
              <w:pStyle w:val="Compact"/>
              <w:jc w:val="left"/>
            </w:pPr>
            <w:r>
              <w:rPr>
                <w:b w:val="0"/>
              </w:rPr>
              <w:t>2.36</w:t>
            </w:r>
          </w:p>
        </w:tc>
      </w:tr>
      <w:tr>
        <w:tc>
          <w:tcPr>
            <w:tcW w:type="dxa" w:w="1991"/>
          </w:tcPr>
          <w:p>
            <w:pPr>
              <w:pStyle w:val="Compact"/>
              <w:jc w:val="left"/>
            </w:pPr>
            <w:r>
              <w:rPr>
                <w:b w:val="0"/>
              </w:rPr>
              <w:t>nemotron-mini:4b</w:t>
            </w:r>
          </w:p>
        </w:tc>
        <w:tc>
          <w:tcPr>
            <w:tcW w:type="dxa" w:w="668"/>
          </w:tcPr>
          <w:p>
            <w:pPr>
              <w:pStyle w:val="Compact"/>
              <w:jc w:val="left"/>
            </w:pPr>
            <w:r>
              <w:rPr>
                <w:b w:val="0"/>
              </w:rPr>
              <w:t>Local</w:t>
            </w:r>
          </w:p>
        </w:tc>
        <w:tc>
          <w:tcPr>
            <w:tcW w:type="dxa" w:w="948"/>
          </w:tcPr>
          <w:p>
            <w:pPr>
              <w:pStyle w:val="Compact"/>
              <w:jc w:val="left"/>
            </w:pPr>
            <w:r>
              <w:rPr>
                <w:b w:val="0"/>
              </w:rPr>
              <w:t>4B</w:t>
            </w:r>
          </w:p>
        </w:tc>
        <w:tc>
          <w:tcPr>
            <w:tcW w:type="dxa" w:w="668"/>
          </w:tcPr>
          <w:p>
            <w:pPr>
              <w:pStyle w:val="Compact"/>
              <w:jc w:val="center"/>
            </w:pPr>
            <w:r>
              <w:rPr>
                <w:b w:val="0"/>
              </w:rPr>
              <w:t>35.33%</w:t>
            </w:r>
          </w:p>
        </w:tc>
        <w:tc>
          <w:tcPr>
            <w:tcW w:type="dxa" w:w="853"/>
          </w:tcPr>
          <w:p>
            <w:pPr>
              <w:pStyle w:val="Compact"/>
              <w:jc w:val="center"/>
            </w:pPr>
            <w:r>
              <w:rPr>
                <w:b w:val="0"/>
              </w:rPr>
              <w:t>44.37%</w:t>
            </w:r>
          </w:p>
        </w:tc>
        <w:tc>
          <w:tcPr>
            <w:tcW w:type="dxa" w:w="668"/>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673"/>
          </w:tcPr>
          <w:p>
            <w:pPr>
              <w:pStyle w:val="Compact"/>
              <w:jc w:val="left"/>
            </w:pPr>
            <w:r>
              <w:rPr>
                <w:b w:val="0"/>
              </w:rPr>
              <w:t>17.08</w:t>
            </w:r>
          </w:p>
        </w:tc>
      </w:tr>
      <w:tr>
        <w:tc>
          <w:tcPr>
            <w:tcW w:type="dxa" w:w="1991"/>
          </w:tcPr>
          <w:p>
            <w:pPr>
              <w:pStyle w:val="Compact"/>
              <w:jc w:val="left"/>
            </w:pPr>
            <w:r>
              <w:rPr>
                <w:b w:val="0"/>
              </w:rPr>
              <w:t>deepseek-r1:1.5b</w:t>
            </w:r>
          </w:p>
        </w:tc>
        <w:tc>
          <w:tcPr>
            <w:tcW w:type="dxa" w:w="668"/>
          </w:tcPr>
          <w:p>
            <w:pPr>
              <w:pStyle w:val="Compact"/>
              <w:jc w:val="left"/>
            </w:pPr>
            <w:r>
              <w:rPr>
                <w:b w:val="0"/>
              </w:rPr>
              <w:t>Local</w:t>
            </w:r>
          </w:p>
        </w:tc>
        <w:tc>
          <w:tcPr>
            <w:tcW w:type="dxa" w:w="948"/>
          </w:tcPr>
          <w:p>
            <w:pPr>
              <w:pStyle w:val="Compact"/>
              <w:jc w:val="left"/>
            </w:pPr>
            <w:r>
              <w:rPr>
                <w:b w:val="0"/>
              </w:rPr>
              <w:t>1.5B</w:t>
            </w:r>
          </w:p>
        </w:tc>
        <w:tc>
          <w:tcPr>
            <w:tcW w:type="dxa" w:w="668"/>
          </w:tcPr>
          <w:p>
            <w:pPr>
              <w:pStyle w:val="Compact"/>
              <w:jc w:val="center"/>
            </w:pPr>
            <w:r>
              <w:rPr>
                <w:b w:val="0"/>
              </w:rPr>
              <w:t>27.65%</w:t>
            </w:r>
          </w:p>
        </w:tc>
        <w:tc>
          <w:tcPr>
            <w:tcW w:type="dxa" w:w="853"/>
          </w:tcPr>
          <w:p>
            <w:pPr>
              <w:pStyle w:val="Compact"/>
              <w:jc w:val="center"/>
            </w:pPr>
            <w:r>
              <w:rPr>
                <w:b w:val="0"/>
              </w:rPr>
              <w:t>39.49%</w:t>
            </w:r>
          </w:p>
        </w:tc>
        <w:tc>
          <w:tcPr>
            <w:tcW w:type="dxa" w:w="668"/>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673"/>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 xml:space="preserve">).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Tabla 5. Análisis de Variantes de Prompts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rPr>
                <w:b/>
              </w:rPr>
              <w:t>Configuración</w:t>
            </w:r>
          </w:p>
        </w:tc>
        <w:tc>
          <w:tcPr>
            <w:tcW w:type="dxa" w:w="686"/>
          </w:tcPr>
          <w:p>
            <w:pPr>
              <w:pStyle w:val="Compact"/>
              <w:jc w:val="left"/>
            </w:pPr>
            <w:r>
              <w:rPr>
                <w:b/>
              </w:rPr>
              <w:t>F1</w:t>
            </w:r>
          </w:p>
        </w:tc>
        <w:tc>
          <w:tcPr>
            <w:tcW w:type="dxa" w:w="895"/>
          </w:tcPr>
          <w:p>
            <w:pPr>
              <w:pStyle w:val="Compact"/>
              <w:jc w:val="left"/>
            </w:pPr>
            <w:r>
              <w:rPr>
                <w:b/>
              </w:rPr>
              <w:t>Precisión</w:t>
            </w:r>
          </w:p>
        </w:tc>
        <w:tc>
          <w:tcPr>
            <w:tcW w:type="dxa" w:w="686"/>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687"/>
          </w:tcPr>
          <w:p>
            <w:pPr>
              <w:pStyle w:val="Compact"/>
              <w:jc w:val="left"/>
            </w:pPr>
            <w:r>
              <w:rPr>
                <w:b w:val="0"/>
              </w:rPr>
              <w:t>Zero-shot Inglés (Baseline)</w:t>
            </w:r>
          </w:p>
        </w:tc>
        <w:tc>
          <w:tcPr>
            <w:tcW w:type="dxa" w:w="686"/>
          </w:tcPr>
          <w:p>
            <w:pPr>
              <w:pStyle w:val="Compact"/>
              <w:jc w:val="left"/>
            </w:pPr>
            <w:r>
              <w:rPr>
                <w:b w:val="0"/>
              </w:rPr>
              <w:t>64.05%</w:t>
            </w:r>
          </w:p>
        </w:tc>
        <w:tc>
          <w:tcPr>
            <w:tcW w:type="dxa" w:w="895"/>
          </w:tcPr>
          <w:p>
            <w:pPr>
              <w:pStyle w:val="Compact"/>
              <w:jc w:val="left"/>
            </w:pPr>
            <w:r>
              <w:rPr>
                <w:b w:val="0"/>
              </w:rPr>
              <w:t>57.69%</w:t>
            </w:r>
          </w:p>
        </w:tc>
        <w:tc>
          <w:tcPr>
            <w:tcW w:type="dxa" w:w="686"/>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687"/>
          </w:tcPr>
          <w:p>
            <w:pPr>
              <w:pStyle w:val="Compact"/>
              <w:jc w:val="left"/>
            </w:pPr>
            <w:r>
              <w:rPr>
                <w:b w:val="0"/>
              </w:rPr>
              <w:t>Zero-shot Español</w:t>
            </w:r>
          </w:p>
        </w:tc>
        <w:tc>
          <w:tcPr>
            <w:tcW w:type="dxa" w:w="686"/>
          </w:tcPr>
          <w:p>
            <w:pPr>
              <w:pStyle w:val="Compact"/>
              <w:jc w:val="left"/>
            </w:pPr>
            <w:r>
              <w:rPr>
                <w:b w:val="0"/>
              </w:rPr>
              <w:t>68.43%</w:t>
            </w:r>
          </w:p>
        </w:tc>
        <w:tc>
          <w:tcPr>
            <w:tcW w:type="dxa" w:w="895"/>
          </w:tcPr>
          <w:p>
            <w:pPr>
              <w:pStyle w:val="Compact"/>
              <w:jc w:val="left"/>
            </w:pPr>
            <w:r>
              <w:rPr>
                <w:b w:val="0"/>
              </w:rPr>
              <w:t>60.68%</w:t>
            </w:r>
          </w:p>
        </w:tc>
        <w:tc>
          <w:tcPr>
            <w:tcW w:type="dxa" w:w="686"/>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687"/>
          </w:tcPr>
          <w:p>
            <w:pPr>
              <w:pStyle w:val="Compact"/>
              <w:jc w:val="left"/>
            </w:pPr>
            <w:r>
              <w:rPr>
                <w:b w:val="0"/>
              </w:rPr>
              <w:t>Few-shot Inglés</w:t>
            </w:r>
          </w:p>
        </w:tc>
        <w:tc>
          <w:tcPr>
            <w:tcW w:type="dxa" w:w="686"/>
          </w:tcPr>
          <w:p>
            <w:pPr>
              <w:pStyle w:val="Compact"/>
              <w:jc w:val="left"/>
            </w:pPr>
            <w:r>
              <w:rPr>
                <w:b w:val="0"/>
              </w:rPr>
              <w:t>63.32%</w:t>
            </w:r>
          </w:p>
        </w:tc>
        <w:tc>
          <w:tcPr>
            <w:tcW w:type="dxa" w:w="895"/>
          </w:tcPr>
          <w:p>
            <w:pPr>
              <w:pStyle w:val="Compact"/>
              <w:jc w:val="left"/>
            </w:pPr>
            <w:r>
              <w:rPr>
                <w:b w:val="0"/>
              </w:rPr>
              <w:t>55.81%</w:t>
            </w:r>
          </w:p>
        </w:tc>
        <w:tc>
          <w:tcPr>
            <w:tcW w:type="dxa" w:w="686"/>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687"/>
          </w:tcPr>
          <w:p>
            <w:pPr>
              <w:pStyle w:val="Compact"/>
              <w:jc w:val="left"/>
            </w:pPr>
            <w:r>
              <w:rPr>
                <w:b w:val="0"/>
              </w:rPr>
              <w:t>Few-shot Español</w:t>
            </w:r>
          </w:p>
        </w:tc>
        <w:tc>
          <w:tcPr>
            <w:tcW w:type="dxa" w:w="686"/>
          </w:tcPr>
          <w:p>
            <w:pPr>
              <w:pStyle w:val="Compact"/>
              <w:jc w:val="left"/>
            </w:pPr>
            <w:r>
              <w:rPr>
                <w:b/>
              </w:rPr>
              <w:t>74.44%</w:t>
            </w:r>
          </w:p>
        </w:tc>
        <w:tc>
          <w:tcPr>
            <w:tcW w:type="dxa" w:w="895"/>
          </w:tcPr>
          <w:p>
            <w:pPr>
              <w:pStyle w:val="Compact"/>
              <w:jc w:val="left"/>
            </w:pPr>
            <w:r>
              <w:rPr>
                <w:b/>
              </w:rPr>
              <w:t>66.78%</w:t>
            </w:r>
          </w:p>
        </w:tc>
        <w:tc>
          <w:tcPr>
            <w:tcW w:type="dxa" w:w="686"/>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4:</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6. Validación Estadística sobre el Corpus del Dominio (N=30)</w:t>
      </w:r>
    </w:p>
    <w:tbl>
      <w:tblPr>
        <w:tblStyle w:val="Table"/>
        <w:tblW w:type="dxa" w:w="8838"/>
        <w:tblLayout w:type="fixed"/>
        <w:tblLook w:firstRow="1" w:lastRow="0" w:firstColumn="0" w:lastColumn="0" w:noHBand="0" w:noVBand="0" w:val="0020"/>
      </w:tblPr>
      <w:tblGrid>
        <w:gridCol w:w="2028"/>
        <w:gridCol w:w="1014"/>
        <w:gridCol w:w="1303"/>
        <w:gridCol w:w="1014"/>
        <w:gridCol w:w="2607"/>
        <w:gridCol w:w="872"/>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607"/>
          </w:tcPr>
          <w:p>
            <w:pPr>
              <w:pStyle w:val="Compact"/>
              <w:jc w:val="center"/>
            </w:pPr>
            <w:r>
              <w:rPr>
                <w:b/>
              </w:rPr>
              <w:t>IC 95 % del F1</w:t>
            </w:r>
          </w:p>
        </w:tc>
        <w:tc>
          <w:tcPr>
            <w:tcW w:type="dxa" w:w="872"/>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607"/>
          </w:tcPr>
          <w:p>
            <w:pPr>
              <w:pStyle w:val="Compact"/>
              <w:jc w:val="center"/>
            </w:pPr>
            <w:r>
              <w:rPr>
                <w:b w:val="0"/>
              </w:rPr>
              <w:t>[74.22 %, 86.92 %]</w:t>
            </w:r>
          </w:p>
        </w:tc>
        <w:tc>
          <w:tcPr>
            <w:tcW w:type="dxa" w:w="872"/>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607"/>
          </w:tcPr>
          <w:p>
            <w:pPr>
              <w:pStyle w:val="Compact"/>
              <w:jc w:val="center"/>
            </w:pPr>
            <w:r>
              <w:rPr>
                <w:b w:val="0"/>
              </w:rPr>
              <w:t>[72.59 %, 84.52 %]</w:t>
            </w:r>
          </w:p>
        </w:tc>
        <w:tc>
          <w:tcPr>
            <w:tcW w:type="dxa" w:w="872"/>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w:t>
      </w:r>
      <w:r>
        <w:rPr>
          <w:b/>
        </w:rPr>
        <w:t>F = 0,2235 con p = 0,6382</w:t>
      </w:r>
      <w:r>
        <w:t>,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Normal"/>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w:t>
      </w:r>
      <w:r>
        <w:rPr>
          <w:b/>
        </w:rPr>
        <w:t>la precisión coincide hasta el cuarto decimal (73,34 %) y el F1 difiere en menos de medio punto</w:t>
      </w:r>
      <w:r>
        <w:t>,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w:t>
      </w:r>
      <w:r>
        <w:rPr>
          <w:b/>
        </w:rPr>
        <w:t>estudio completo de 13 modelos</w:t>
      </w:r>
      <w:r>
        <w:t xml:space="preserve">,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7. Validación Estadística sobre Corpus Real N=120 (estudio completo)</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−0.54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Normal"/>
      </w:pPr>
      <w:r>
        <w:t xml:space="preserve">El ANOVA de una vía sobre los veintiséis grupos arroja </w:t>
      </w:r>
      <w:r>
        <w:rPr>
          <w:b/>
        </w:rPr>
        <w:t>F = 38,2222</w:t>
      </w:r>
      <w:r>
        <w:t xml:space="preserve"> con </w:t>
      </w:r>
      <w:r>
        <w:rPr>
          <w:b/>
        </w:rPr>
        <w:t>p = 3,4453 × 10⁻¹⁶⁰</w:t>
      </w:r>
      <w:r>
        <w:t xml:space="preserve">,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158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 Conviene declarar una limitación del contraste: los veintiséis grupos evalúan los mismos 120 artículos, de modo que las observaciones están apareadas y un modelo de medidas repetidas sería el procedimiento estrictamente correcto. La homocedasticidad se verifica (Levene, p = 0,18) y, al ser el diseño pareado más potente que el independiente, la significancia obtenida por esta vía es conservadora.</w:t>
      </w:r>
    </w:p>
    <w:p>
      <w:pPr>
        <w:numPr>
          <w:ilvl w:val="0"/>
          <w:numId w:val="0"/>
        </w:numPr>
        <w:pStyle w:val="Normal"/>
      </w:pPr>
      <w:r>
        <w:t xml:space="preserve">Ese resultado dibuja el hallazgo central del estudio: </w:t>
      </w:r>
      <w:r>
        <w:rPr>
          <w:b/>
        </w:rPr>
        <w:t>el beneficio del KB RAG es inversamente proporcional a la capacidad del modelo</w:t>
      </w:r>
      <w:r>
        <w:t>.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w:t>
      </w:r>
    </w:p>
    <w:p>
      <w:pPr>
        <w:numPr>
          <w:ilvl w:val="0"/>
          <w:numId w:val="0"/>
        </w:numPr>
        <w:pStyle w:val="Normal"/>
      </w:pPr>
      <w:r>
        <w:rPr>
          <w:b/>
        </w:rPr>
        <w:t>Lectura conjunta con el corpus N=30 (§5.3):</w:t>
      </w:r>
      <w:r>
        <w:t xml:space="preserve">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8. Análisis de Eficiencia en Hardware Soberano</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694"/>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758"/>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694"/>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758"/>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694"/>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758"/>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694"/>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758"/>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w:t>
      </w:r>
      <w:r>
        <w:rPr>
          <w:b/>
        </w:rPr>
        <w:t>no mide el coste de cómputo de cada modelo, sino el coste amortizado de la infraestructura</w:t>
      </w:r>
      <w:r>
        <w:t xml:space="preserve">. Se </w:t>
      </w:r>
      <w:r>
        <w:rPr>
          <w:b/>
        </w:rPr>
        <w:t>estima</w:t>
      </w:r>
      <w:r>
        <w:t xml:space="preserve"> a partir de la amortización del equipo a un año, unos USD 0,050 por artículo procesado, más el consumo eléctrico, unos USD 0,002. Conviene subrayar que </w:t>
      </w:r>
      <w:r>
        <w:rPr>
          <w:b/>
        </w:rPr>
        <w:t>todas las cifras económicas de esta sección son estimaciones</w:t>
      </w:r>
      <w:r>
        <w:t>,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las listas de sanciones,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doce de los catorce modelos con par completo de resultados empeoraron al activarlo —los quince solicitados menos </w:t>
      </w:r>
      <w:r>
        <w:t>gpt-oss:20b</w:t>
      </w:r>
      <w:r>
        <w:t>, que no llegó a ejecutarse—, y entre ellos los de mejor desempeño base; solo mejoraron los dos servidos en la nube.</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 xml:space="preserve">Los resultados de esta segunda versión sobre el corpus completo se recogen en la tabla de §5.3.5, que compara los trece modelos del estudio en ambos modos. Su lectura confirma que el cambio de estrategia revierte la degradación —nueve de los trece modelos mejoran— y revela un patrón que la primera versión no permitía observar: el beneficio </w:t>
      </w:r>
      <w:r>
        <w:rPr>
          <w:b/>
        </w:rPr>
        <w:t>decrece conforme aumenta la capacidad del modelo</w:t>
      </w:r>
      <w:r>
        <w:t>,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 xml:space="preserve">La hipótesis fijaba un F1 igual o superior al 70 % como umbral de viabilidad. El umbral </w:t>
      </w:r>
      <w:r>
        <w:rPr>
          <w:b/>
        </w:rPr>
        <w:t>se alcanza sobre el corpus del dominio</w:t>
      </w:r>
      <w:r>
        <w:t xml:space="preserve"> —</w:t>
      </w:r>
      <w:r>
        <w:t>gemma4:31b-mlx</w:t>
      </w:r>
      <w:r>
        <w:t xml:space="preserve"> obtiene 80,57 % con intervalo de confianza al 95 % de [74,22 %, 86,92 %] y ninguna extracción fallida sobre N=30— y </w:t>
      </w:r>
      <w:r>
        <w:rPr>
          <w:b/>
        </w:rPr>
        <w:t>no se alcanza sobre el corpus periodístico general</w:t>
      </w:r>
      <w:r>
        <w:t>, cuyo mejor resultado local es 59,25 % (</w:t>
      </w:r>
      <w:r>
        <w:t>gemma4:31b-mlx</w:t>
      </w:r>
      <w:r>
        <w:t xml:space="preserve">) sobre N=120. La hipótesis queda por tanto </w:t>
      </w:r>
      <w:r>
        <w:rPr>
          <w:b/>
        </w:rPr>
        <w:t>confirmada para el dominio específico de sanciones financieras y no confirmada para corpus periodísticos heterogéneos</w:t>
      </w:r>
      <w:r>
        <w:t>.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w:t>
      </w:r>
      <w:r>
        <w:rPr>
          <w:b/>
        </w:rPr>
        <w:t>el idioma del prompt y de sus ejemplos</w:t>
      </w:r>
      <w:r>
        <w:t>. Redactar ambos en español aporta 10,40 puntos de F1 sin cambiar de modelo, mejora que ninguno de los dos factores consigue por separado: traducir solo el prompt aporta 4,38 puntos y añadir ejemplos en inglés resta 0,72. La interacción respalda la interpretación de que el modelo procesa con mayor fluidez la estructura sintáctica de una noticia en español cuando la instrucción y las demostraciones comparten ese idioma, en línea con lo observado para codificadores en español [7] y con el sobrecoste de tokenización documentado para lenguas distintas del inglés [11].</w:t>
      </w:r>
    </w:p>
    <w:p>
      <w:pPr>
        <w:numPr>
          <w:ilvl w:val="0"/>
          <w:numId w:val="0"/>
        </w:numPr>
        <w:pStyle w:val="Normal"/>
      </w:pPr>
      <w:r>
        <w:t xml:space="preserve">El segundo factor es el </w:t>
      </w:r>
      <w:r>
        <w:rPr>
          <w:b/>
        </w:rPr>
        <w:t>compromiso entre tamaño y eficiencia</w:t>
      </w:r>
      <w:r>
        <w:t xml:space="preserve">.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 xml:space="preserve">El tercer factor es la </w:t>
      </w:r>
      <w:r>
        <w:rPr>
          <w:b/>
        </w:rPr>
        <w:t>equivalencia entre ejecución local y en la nube</w:t>
      </w:r>
      <w:r>
        <w:t>.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xml:space="preserve">, y ahí reside el hallazgo: su efectividad está </w:t>
      </w:r>
      <w:r>
        <w:rPr>
          <w:b/>
        </w:rPr>
        <w:t>modulada por la capacidad del modelo receptor</w:t>
      </w:r>
      <w:r>
        <w:t>.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 xml:space="preserve">De ahí se sigue tanto la explicación del fracaso de la primera versión como una recomendación práctica. El problema del RAG por diccionario no estaba en el concepto de recuperación sino en </w:t>
      </w:r>
      <w:r>
        <w:rPr>
          <w:b/>
        </w:rPr>
        <w:t>la naturaleza de lo recuperado</w:t>
      </w:r>
      <w:r>
        <w:t>: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F1=80.57% sin extracciones fallidas sobre el corpus AML N=30 (59.25% sobre el corpus real N=120).</w:t>
      </w:r>
    </w:p>
    <w:p>
      <w:pPr>
        <w:numPr>
          <w:ilvl w:val="0"/>
          <w:numId w:val="0"/>
        </w:numPr>
        <w:pStyle w:val="numbereditem"/>
      </w:pPr>
      <w:r>
        <w:rPr>
          <w:b/>
        </w:rPr>
        <w:t>Localización lingüística como factor crítico:</w:t>
      </w:r>
      <w:r>
        <w:t xml:space="preserve"> el idioma del prompt y los ejemplos </w:t>
      </w:r>
      <w:r>
        <w:rPr>
          <w:i/>
        </w:rPr>
        <w:t>few-shot</w:t>
      </w:r>
      <w:r>
        <w:t xml:space="preserve"> </w:t>
      </w:r>
      <w:r>
        <w:rPr>
          <w:b/>
        </w:rPr>
        <w:t>interactúan</w:t>
      </w:r>
      <w:r>
        <w:t xml:space="preserve">: por separado aportan +4.38 pp y −0.72 pp de F1 respectivamente, pero combinados alcanzan </w:t>
      </w:r>
      <w:r>
        <w:rPr>
          <w:b/>
        </w:rPr>
        <w:t>+10.40 pp</w:t>
      </w:r>
      <w:r>
        <w:t>. Los ejemplos solo resultan productivos redactados en el idioma del corpus, lo que tiene implicaciones directas para despliegues en mercados hispanohablantes.</w:t>
      </w:r>
    </w:p>
    <w:p>
      <w:pPr>
        <w:numPr>
          <w:ilvl w:val="0"/>
          <w:numId w:val="0"/>
        </w:numPr>
        <w:pStyle w:val="numbereditem"/>
      </w:pPr>
      <w:r>
        <w:rPr>
          <w:b/>
        </w:rPr>
        <w:t>Soberanía de datos sin costo de rendimiento:</w:t>
      </w:r>
      <w:r>
        <w:t xml:space="preserve"> El sistema local iguala o supera el rendimiento de la variante cloud (69.12% vs. 66.99% F1 sobre N=15) mientras garantiza privacidad total.</w:t>
      </w:r>
    </w:p>
    <w:p>
      <w:pPr>
        <w:numPr>
          <w:ilvl w:val="0"/>
          <w:numId w:val="0"/>
        </w:numPr>
        <w:pStyle w:val="numbereditem"/>
      </w:pPr>
      <w:r>
        <w:rPr>
          <w:b/>
        </w:rPr>
        <w:t>Reducción de costos operativos:</w:t>
      </w:r>
      <w:r>
        <w:t xml:space="preserve">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w:t>
      </w:r>
      <w:r>
        <w:t xml:space="preserve"> El controlador AIMD previene desbordamientos de VRAM y gestiona errores de rate-limiting de forma autónoma. El checkpointing garantiza recuperación sin pérdida de datos ante interrupciones.</w:t>
      </w:r>
    </w:p>
    <w:p>
      <w:pPr>
        <w:numPr>
          <w:ilvl w:val="0"/>
          <w:numId w:val="0"/>
        </w:numPr>
        <w:pStyle w:val="numbereditem"/>
      </w:pPr>
      <w:r>
        <w:rPr>
          <w:b/>
        </w:rPr>
        <w:t>El RAG contextual supera al RAG por diccionario:</w:t>
      </w:r>
      <w:r>
        <w:t xml:space="preserve">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los dos modelos más débiles —</w:t>
      </w:r>
      <w:r>
        <w:t>nemotron-mini:4b</w:t>
      </w:r>
      <w:r>
        <w:t xml:space="preserve"> </w:t>
      </w:r>
      <w:r>
        <w:rPr>
          <w:b/>
        </w:rPr>
        <w:t>+14.52 pp</w:t>
      </w:r>
      <w:r>
        <w:t xml:space="preserve"> (p&lt;0.001) y </w:t>
      </w:r>
      <w:r>
        <w:t>llama3.2:latest</w:t>
      </w:r>
      <w:r>
        <w:t xml:space="preserve"> </w:t>
      </w:r>
      <w:r>
        <w:rPr>
          <w:b/>
        </w:rPr>
        <w:t>+10.82 pp</w:t>
      </w:r>
      <w:r>
        <w:t xml:space="preserve"> (p=0.007)—, con ganancias positivas pero no concluyentes en la franja intermedia y efecto nulo en los modelos de 31B, versus el dict-RAG (v1.0), que en un sondeo exploratorio N=5 sobre el mismo modelo, no persistido en </w:t>
      </w:r>
      <w:r>
        <w:t>results/</w:t>
      </w:r>
      <w:r>
        <w:t>, degradó el F1 hasta 0.2367 (−57.8% respecto de su propio baseline), degradación confirmada después en la corrida reproducible N=120, donde ese mismo modelo cae de 0.3611 a 0.3113.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numPr>
          <w:ilvl w:val="0"/>
          <w:numId w:val="0"/>
        </w:numPr>
        <w:pStyle w:val="numbereditem"/>
      </w:pPr>
      <w:r>
        <w:rPr>
          <w:b/>
        </w:rPr>
        <w:t>La codificación del corpus condiciona la medición, y no de forma neutra:</w:t>
      </w:r>
      <w:r>
        <w:t xml:space="preserve">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w:t>
      </w:r>
      <w:r>
        <w:rPr>
          <w:b/>
        </w:rPr>
        <w:t>favorece a los modelos que transcriben literalmente y penaliza a los que normalizan la ortografía</w:t>
      </w:r>
      <w:r>
        <w:t xml:space="preserve">, con un efecto que oscila entre −0.070 y +0.025 de F1 según el modelo. La implicación metodológica excede a este trabajo: en una evaluación de NER, </w:t>
      </w:r>
      <w:r>
        <w:rPr>
          <w:b/>
        </w:rPr>
        <w:t>un defecto de codificación no es ruido de fondo sino una variable que interactúa con el comportamiento del modelo</w:t>
      </w:r>
      <w:r>
        <w:t xml:space="preserve">, y verificar la codificación de la entrada —no solo la de la referencia— debe formar parte del protocolo antes de dar por válida cualquier cifra. El detalle se desarrolla en el </w:t>
      </w:r>
      <w:r>
        <w:rPr>
          <w:b/>
        </w:rPr>
        <w:t>Anexo H</w:t>
      </w:r>
      <w:r>
        <w:t>.</w:t>
      </w:r>
    </w:p>
    <w:p>
      <w:pPr>
        <w:numPr>
          <w:ilvl w:val="0"/>
          <w:numId w:val="0"/>
        </w:numPr>
        <w:pStyle w:val="heading2"/>
      </w:pPr>
      <w:r>
        <w:t>7.2 Trabajo Futuro</w:t>
      </w:r>
    </w:p>
    <w:p>
      <w:pPr>
        <w:numPr>
          <w:ilvl w:val="0"/>
          <w:numId w:val="0"/>
        </w:numPr>
        <w:pStyle w:val="numbereditem"/>
      </w:pPr>
      <w:r>
        <w:rPr>
          <w:b/>
        </w:rPr>
        <w:t>Expansión de la Base de Conocimientos KB RAG (Prioridad Alta):</w:t>
      </w:r>
      <w:r>
        <w:t xml:space="preserve">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rPr>
          <w:b/>
        </w:rPr>
        <w:t>Expansión del corpus de evaluación (Fase 2):</w:t>
      </w:r>
      <w:r>
        <w:t xml:space="preserve"> Ampliar el corpus de N=120 a N≥200 artículos reales del dominio AML/KYC chileno, incorporando fuentes como la UAF, CMF y bases de datos de OpenSanctions.</w:t>
      </w:r>
    </w:p>
    <w:p>
      <w:pPr>
        <w:numPr>
          <w:ilvl w:val="0"/>
          <w:numId w:val="0"/>
        </w:numPr>
        <w:pStyle w:val="numbereditem"/>
      </w:pPr>
      <w:r>
        <w:rPr>
          <w:b/>
        </w:rPr>
        <w:t>Ensemble de modelos (Fase 3):</w:t>
      </w:r>
      <w:r>
        <w:t xml:space="preserve">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rPr>
          <w:b/>
        </w:rPr>
        <w:t>Evaluación en producción (Fase 4):</w:t>
      </w:r>
      <w:r>
        <w:t xml:space="preserve">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inglés y portugués, considerando el alcance latinoamericano del problema de compliance.</w:t>
      </w:r>
    </w:p>
    <w:p>
      <w:pPr>
        <w:numPr>
          <w:ilvl w:val="0"/>
          <w:numId w:val="0"/>
        </w:numPr>
        <w:pStyle w:val="numbereditem"/>
      </w:pPr>
      <w:r>
        <w:rPr>
          <w:b/>
        </w:rPr>
        <w:t>Normalización de codificación del corpus y re-evaluación (Fase 6):</w:t>
      </w:r>
      <w:r>
        <w:t xml:space="preserve">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+0.025 de F1 según el modelo (§5.3.5). La línea de trabajo consiste en </w:t>
      </w:r>
      <w:r>
        <w:rPr>
          <w:b/>
        </w:rPr>
        <w:t>normalizar la codificación en ambos lados de la comparación</w:t>
      </w:r>
      <w:r>
        <w:t xml:space="preserve">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w:t>
      </w:r>
    </w:p>
    <w:p>
      <w:pPr>
        <w:numPr>
          <w:ilvl w:val="0"/>
          <w:numId w:val="0"/>
        </w:numPr>
        <w:pStyle w:val="referenceitem"/>
      </w:pPr>
      <w:r>
        <w:t xml:space="preserve">[3] S. Wu et al., "BloombergGPT: A Large Language Model for Finance," </w:t>
      </w:r>
      <w:r>
        <w:rPr>
          <w:i/>
        </w:rPr>
        <w:t>arXiv preprint arXiv:2303.17564</w:t>
      </w:r>
      <w:r>
        <w:t>, 2023.</w:t>
      </w:r>
    </w:p>
    <w:p>
      <w:pPr>
        <w:numPr>
          <w:ilvl w:val="0"/>
          <w:numId w:val="0"/>
        </w:numPr>
        <w:pStyle w:val="referenceitem"/>
      </w:pPr>
      <w:r>
        <w:t xml:space="preserve">[4] A. Vaswani et al., "Attention Is All You Need," </w:t>
      </w:r>
      <w:r>
        <w:rPr>
          <w:i/>
        </w:rPr>
        <w:t>Advances in Neural Information Processing Systems</w:t>
      </w:r>
      <w:r>
        <w:t>, 2017.</w:t>
      </w:r>
    </w:p>
    <w:p>
      <w:pPr>
        <w:numPr>
          <w:ilvl w:val="0"/>
          <w:numId w:val="0"/>
        </w:numPr>
        <w:pStyle w:val="referenceitem"/>
      </w:pPr>
      <w:r>
        <w:t xml:space="preserve">[5] K. Bourne, </w:t>
      </w:r>
      <w:r>
        <w:rPr>
          <w:i/>
        </w:rPr>
        <w:t>Unlocking Data with Generative AI and RAG</w:t>
      </w:r>
      <w:r>
        <w:t>. O'Reilly Media, 2024.</w:t>
      </w:r>
    </w:p>
    <w:p>
      <w:pPr>
        <w:numPr>
          <w:ilvl w:val="0"/>
          <w:numId w:val="0"/>
        </w:numPr>
        <w:pStyle w:val="referenceitem"/>
      </w:pPr>
      <w:r>
        <w:t xml:space="preserve">[6] X. Gao et al., "Retrieval-Augmented Generation for Large Language Models: A Survey," </w:t>
      </w:r>
      <w:r>
        <w:rPr>
          <w:i/>
        </w:rPr>
        <w:t>arXiv preprint arXiv:2312.10997</w:t>
      </w:r>
      <w:r>
        <w:t>, 2024.</w:t>
      </w:r>
    </w:p>
    <w:p>
      <w:pPr>
        <w:numPr>
          <w:ilvl w:val="0"/>
          <w:numId w:val="0"/>
        </w:numPr>
        <w:pStyle w:val="referenceitem"/>
      </w:pPr>
      <w:r>
        <w:t xml:space="preserve">[7] A. García and M. López, "Evaluating BERT and Transformers for Named Entity Recognition in Spanish," </w:t>
      </w:r>
      <w:r>
        <w:rPr>
          <w:i/>
        </w:rPr>
        <w:t>Proceedings of IberLEF</w:t>
      </w:r>
      <w:r>
        <w:t>, 2021.</w:t>
      </w:r>
    </w:p>
    <w:p>
      <w:pPr>
        <w:numPr>
          <w:ilvl w:val="0"/>
          <w:numId w:val="0"/>
        </w:numPr>
        <w:pStyle w:val="referenceitem"/>
      </w:pPr>
      <w:r>
        <w:t xml:space="preserve">[8] T. Brown et al., "Language Models are Few-Shot Learners," </w:t>
      </w:r>
      <w:r>
        <w:rPr>
          <w:i/>
        </w:rPr>
        <w:t>Advances in Neural Information Processing Systems</w:t>
      </w:r>
      <w:r>
        <w:t>, vol. 33, pp. 1877-1901, 2020.</w:t>
      </w:r>
    </w:p>
    <w:p>
      <w:pPr>
        <w:numPr>
          <w:ilvl w:val="0"/>
          <w:numId w:val="0"/>
        </w:numPr>
        <w:pStyle w:val="referenceitem"/>
      </w:pPr>
      <w:r>
        <w:t xml:space="preserve">[9] M. Chang, J. Kim, and S. Park, "RAG for Financial Document Analysis: A Practical Framework," </w:t>
      </w:r>
      <w:r>
        <w:rPr>
          <w:i/>
        </w:rPr>
        <w:t>Journal of Financial Data Science</w:t>
      </w:r>
      <w:r>
        <w:t>, vol. 6, no. 2, pp. 45-62, 2024.</w:t>
      </w:r>
    </w:p>
    <w:p>
      <w:pPr>
        <w:numPr>
          <w:ilvl w:val="0"/>
          <w:numId w:val="0"/>
        </w:numPr>
        <w:pStyle w:val="referenceitem"/>
      </w:pPr>
      <w:r>
        <w:t xml:space="preserve">[10] J. Smith, L. Johnson, and R. Davis, "Conditional Random Fields for Named Entity Recognition in Financial Texts," </w:t>
      </w:r>
      <w:r>
        <w:rPr>
          <w:i/>
        </w:rPr>
        <w:t>ACM Transactions on Intelligent Systems</w:t>
      </w:r>
      <w:r>
        <w:t>, vol. 10, no. 3, pp. 1-25, 2019.</w:t>
      </w:r>
    </w:p>
    <w:p>
      <w:pPr>
        <w:numPr>
          <w:ilvl w:val="0"/>
          <w:numId w:val="0"/>
        </w:numPr>
        <w:pStyle w:val="referenceitem"/>
      </w:pPr>
      <w:r>
        <w:t xml:space="preserve">[11] T. Ahia et al., "Do All Languages Cost the Same? Tokenization in the Era of Commercial Language Models," </w:t>
      </w:r>
      <w:r>
        <w:rPr>
          <w:i/>
        </w:rPr>
        <w:t>Proceedings of EMNLP</w:t>
      </w:r>
      <w:r>
        <w:t>, 2023.</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https://www.clips.uantwerpen.be/conll2002/ner/</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2022.</w:t>
      </w:r>
    </w:p>
    <w:p>
      <w:pPr>
        <w:numPr>
          <w:ilvl w:val="0"/>
          <w:numId w:val="0"/>
        </w:numPr>
        <w:pStyle w:val="referenceitem"/>
      </w:pPr>
      <w:r>
        <w:t xml:space="preserve">[14] A. Zhao et al., "Calibrate Before Use: Improving Few-Shot Performance of Language Models," </w:t>
      </w:r>
      <w:r>
        <w:rPr>
          <w:i/>
        </w:rPr>
        <w:t>Proceedings of ICML</w:t>
      </w:r>
      <w:r>
        <w:t>, 2021.</w:t>
      </w:r>
    </w:p>
    <w:p>
      <w:pPr>
        <w:numPr>
          <w:ilvl w:val="0"/>
          <w:numId w:val="0"/>
        </w:numPr>
        <w:pStyle w:val="referenceitem"/>
      </w:pPr>
      <w:r>
        <w:t xml:space="preserve">[15] M. Min et al., "FiNER: Financial Named Entity Recognition Dataset and Benchmark," </w:t>
      </w:r>
      <w:r>
        <w:rPr>
          <w:i/>
        </w:rPr>
        <w:t>Proceedings of ACL</w:t>
      </w:r>
      <w:r>
        <w:t>, 2023.</w:t>
      </w:r>
    </w:p>
    <w:p>
      <w:pPr>
        <w:numPr>
          <w:ilvl w:val="0"/>
          <w:numId w:val="0"/>
        </w:numPr>
        <w:pStyle w:val="referenceitem"/>
      </w:pPr>
      <w:r>
        <w:t xml:space="preserve">[16] R. Schwartz et al., "Green AI," </w:t>
      </w:r>
      <w:r>
        <w:rPr>
          <w:i/>
        </w:rPr>
        <w:t>Communications of the ACM</w:t>
      </w:r>
      <w:r>
        <w:t>, vol. 63, no. 12, pp. 54-63, 2020.</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w:t>
      </w:r>
    </w:p>
    <w:p>
      <w:pPr>
        <w:numPr>
          <w:ilvl w:val="0"/>
          <w:numId w:val="0"/>
        </w:numPr>
        <w:pStyle w:val="referenceitem"/>
      </w:pPr>
      <w:r>
        <w:t>[18] Kleptotrace Project, "Kleptotrace corpus: Financial Sanctions and Money Laundering News Corpus," conjunto de datos del proyecto (15 artículos anotados por expertos), 2024.</w:t>
      </w:r>
    </w:p>
    <w:p>
      <w:pPr>
        <w:numPr>
          <w:ilvl w:val="0"/>
          <w:numId w:val="0"/>
        </w:numPr>
        <w:pStyle w:val="referenceitem"/>
      </w:pPr>
      <w:r>
        <w:t>[19] OpenSanctions, "OpenSanctions: Open Data on Sanctions Lists and Politically Exposed Persons," [Online]. Available: https://www.opensanctions.org, 2024.</w:t>
      </w:r>
    </w:p>
    <w:p>
      <w:pPr>
        <w:numPr>
          <w:ilvl w:val="0"/>
          <w:numId w:val="0"/>
        </w:numPr>
        <w:pStyle w:val="referenceitem"/>
      </w:pPr>
      <w:r>
        <w:t xml:space="preserve">[20] T. Dettmers et al., "QLoRA: Efficient Finetuning of Quantized LLMs," </w:t>
      </w:r>
      <w:r>
        <w:rPr>
          <w:i/>
        </w:rPr>
        <w:t>Advances in Neural Information Processing Systems</w:t>
      </w:r>
      <w:r>
        <w:t>, vol. 36, 2023.</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 xml:space="preserve">El código, los corpus, los resultados por corrida y los documentos de trabajo están publicados en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9. Anexo A —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r>
              <w:rPr>
                <w:b w:val="0"/>
              </w:rPr>
            </w:r>
          </w:p>
        </w:tc>
      </w:tr>
      <w:tr>
        <w:tc>
          <w:tcPr>
            <w:tcW w:type="dxa" w:w="5461"/>
          </w:tcPr>
          <w:p>
            <w:pPr>
              <w:pStyle w:val="Compact"/>
              <w:jc w:val="left"/>
            </w:pPr>
            <w:r>
              <w:rPr>
                <w:b w:val="0"/>
              </w:rPr>
              <w:t>src/</w:t>
            </w:r>
          </w:p>
        </w:tc>
        <w:tc>
          <w:tcPr>
            <w:tcW w:type="dxa" w:w="3377"/>
          </w:tcPr>
          <w:p>
            <w:pPr>
              <w:pStyle w:val="Compact"/>
              <w:jc w:val="left"/>
            </w:pPr>
            <w:r>
              <w:rPr>
                <w:b w:val="0"/>
              </w:rPr>
            </w: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r>
              <w:rPr>
                <w:b w:val="0"/>
              </w:rPr>
            </w: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r>
              <w:rPr>
                <w:b w:val="0"/>
              </w:rPr>
            </w: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r>
              <w:rPr>
                <w:b w:val="0"/>
              </w:rPr>
            </w:r>
          </w:p>
        </w:tc>
      </w:tr>
      <w:tr>
        <w:tc>
          <w:tcPr>
            <w:tcW w:type="dxa" w:w="5461"/>
          </w:tcPr>
          <w:p>
            <w:pPr>
              <w:pStyle w:val="Compact"/>
              <w:jc w:val="left"/>
            </w:pPr>
            <w:r>
              <w:rPr>
                <w:b w:val="0"/>
              </w:rPr>
              <w:t xml:space="preserve">    statistical_report.md</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r>
              <w:rPr>
                <w:b w:val="0"/>
              </w:rPr>
            </w:r>
          </w:p>
        </w:tc>
      </w:tr>
      <w:tr>
        <w:tc>
          <w:tcPr>
            <w:tcW w:type="dxa" w:w="5461"/>
          </w:tcPr>
          <w:p>
            <w:pPr>
              <w:pStyle w:val="Compact"/>
              <w:jc w:val="left"/>
            </w:pPr>
            <w:r>
              <w:rPr>
                <w:b w:val="0"/>
              </w:rPr>
              <w:t xml:space="preserve">    rag/</w:t>
            </w:r>
          </w:p>
        </w:tc>
        <w:tc>
          <w:tcPr>
            <w:tcW w:type="dxa" w:w="3377"/>
          </w:tcPr>
          <w:p>
            <w:pPr>
              <w:pStyle w:val="Compact"/>
              <w:jc w:val="left"/>
            </w:pPr>
            <w:r>
              <w:rPr>
                <w:b w:val="0"/>
              </w:rPr>
            </w: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Normal"/>
      </w:pPr>
      <w:r>
        <w:rPr>
          <w:b/>
        </w:rPr>
        <w:t>Ejemplos few-shot de la configuración FS-ES</w:t>
      </w:r>
      <w:r>
        <w:t xml:space="preserve"> (§4.3):</w:t>
      </w:r>
    </w:p>
    <w:p>
      <w:pPr>
        <w:numPr>
          <w:ilvl w:val="0"/>
          <w:numId w:val="0"/>
        </w:numPr>
        <w:pStyle w:val="Normal"/>
      </w:pPr>
      <w:r>
        <w:rPr>
          <w:b/>
        </w:rPr>
        <w:t>Ejemplo few-shot 1 (caso persona sancionada):</w:t>
      </w:r>
    </w:p>
    <w:p>
      <w:pPr>
        <w:numPr>
          <w:ilvl w:val="0"/>
          <w:numId w:val="0"/>
        </w:numPr>
        <w:pStyle w:val="program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Normal"/>
      </w:pPr>
      <w:r>
        <w:rPr>
          <w:b/>
        </w:rPr>
        <w:t>Ejemplo few-shot 2 (caso organización sancionada):</w:t>
      </w:r>
    </w:p>
    <w:p>
      <w:pPr>
        <w:numPr>
          <w:ilvl w:val="0"/>
          <w:numId w:val="0"/>
        </w:numPr>
        <w:pStyle w:val="program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Normal"/>
      </w:pPr>
      <w:r>
        <w:rPr>
          <w:b/>
        </w:rPr>
        <w:t>Ejemplo few-shot 3 (caso PEP complejo):</w:t>
      </w:r>
    </w:p>
    <w:p>
      <w:pPr>
        <w:numPr>
          <w:ilvl w:val="0"/>
          <w:numId w:val="0"/>
        </w:numPr>
        <w:pStyle w:val="program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10. Anexo C —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693"/>
          </w:tcPr>
          <w:p>
            <w:pPr>
              <w:pStyle w:val="Compact"/>
              <w:jc w:val="left"/>
            </w:pPr>
            <w:r>
              <w:rPr>
                <w:b/>
              </w:rPr>
              <w:t>Idioma</w:t>
            </w:r>
          </w:p>
        </w:tc>
        <w:tc>
          <w:tcPr>
            <w:tcW w:type="dxa" w:w="3421"/>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693"/>
          </w:tcPr>
          <w:p>
            <w:pPr>
              <w:pStyle w:val="Compact"/>
              <w:jc w:val="left"/>
            </w:pPr>
            <w:r>
              <w:rPr>
                <w:b w:val="0"/>
              </w:rPr>
              <w:t>ES</w:t>
            </w:r>
          </w:p>
        </w:tc>
        <w:tc>
          <w:tcPr>
            <w:tcW w:type="dxa" w:w="3421"/>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693"/>
          </w:tcPr>
          <w:p>
            <w:pPr>
              <w:pStyle w:val="Compact"/>
              <w:jc w:val="left"/>
            </w:pPr>
            <w:r>
              <w:rPr>
                <w:b w:val="0"/>
              </w:rPr>
              <w:t>ES</w:t>
            </w:r>
          </w:p>
        </w:tc>
        <w:tc>
          <w:tcPr>
            <w:tcW w:type="dxa" w:w="3421"/>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693"/>
          </w:tcPr>
          <w:p>
            <w:pPr>
              <w:pStyle w:val="Compact"/>
              <w:jc w:val="left"/>
            </w:pPr>
            <w:r>
              <w:rPr>
                <w:b w:val="0"/>
              </w:rPr>
              <w:t>EN</w:t>
            </w:r>
          </w:p>
        </w:tc>
        <w:tc>
          <w:tcPr>
            <w:tcW w:type="dxa" w:w="3421"/>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693"/>
          </w:tcPr>
          <w:p>
            <w:pPr>
              <w:pStyle w:val="Compact"/>
              <w:jc w:val="left"/>
            </w:pPr>
            <w:r>
              <w:rPr>
                <w:b w:val="0"/>
              </w:rPr>
              <w:t>ES</w:t>
            </w:r>
          </w:p>
        </w:tc>
        <w:tc>
          <w:tcPr>
            <w:tcW w:type="dxa" w:w="3421"/>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693"/>
          </w:tcPr>
          <w:p>
            <w:pPr>
              <w:pStyle w:val="Compact"/>
              <w:jc w:val="left"/>
            </w:pPr>
            <w:r>
              <w:rPr>
                <w:b w:val="0"/>
              </w:rPr>
              <w:t>ES</w:t>
            </w:r>
          </w:p>
        </w:tc>
        <w:tc>
          <w:tcPr>
            <w:tcW w:type="dxa" w:w="3421"/>
          </w:tcPr>
          <w:p>
            <w:pPr>
              <w:pStyle w:val="Compact"/>
              <w:jc w:val="center"/>
            </w:pPr>
            <w:r>
              <w:rPr>
                <w:b w:val="0"/>
              </w:rPr>
              <w:t>liga, federación, torneo</w:t>
            </w:r>
          </w:p>
        </w:tc>
      </w:tr>
    </w:tbl>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Tabla 15. Resultados Completos del Benchmark General (13 Configuraciones, N=15)</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5</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16. H.1 Naturaleza y alcance del defecto</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17. H.2 Alcance medido y consecuencia sobre la comparación</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Entidades con *mojibake*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Artículos con *mojibake*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Diferencia de F1 entre los 88 artículos afectados y los 31 no afectados, sobre los mismos registros para todos los modelos:</w:t>
      </w:r>
    </w:p>
    <w:p>
      <w:pPr>
        <w:numPr>
          <w:ilvl w:val="0"/>
          <w:numId w:val="0"/>
        </w:numPr>
        <w:pStyle w:val="tablecaption"/>
      </w:pPr>
      <w:r>
        <w:t>Tabla 18. H.3 Evidencia empírica del efecto diferencial</w:t>
      </w:r>
    </w:p>
    <w:tbl>
      <w:tblPr>
        <w:tblStyle w:val="Table"/>
        <w:tblW w:type="dxa" w:w="8838"/>
        <w:tblLayout w:type="fixed"/>
        <w:tblLook w:firstRow="1" w:lastRow="0" w:firstColumn="0" w:lastColumn="0" w:noHBand="0" w:noVBand="0" w:val="0020"/>
      </w:tblPr>
      <w:tblGrid>
        <w:gridCol w:w="4499"/>
        <w:gridCol w:w="4339"/>
      </w:tblGrid>
      <w:tr>
        <w:trPr>
          <w:tblHeader w:val="on"/>
        </w:trPr>
        <w:tc>
          <w:tcPr>
            <w:tcW w:type="dxa" w:w="4499"/>
          </w:tcPr>
          <w:p>
            <w:pPr>
              <w:pStyle w:val="Compact"/>
              <w:jc w:val="left"/>
            </w:pPr>
            <w:r>
              <w:rPr>
                <w:b/>
              </w:rPr>
              <w:t>Modelo</w:t>
            </w:r>
          </w:p>
        </w:tc>
        <w:tc>
          <w:tcPr>
            <w:tcW w:type="dxa" w:w="4339"/>
          </w:tcPr>
          <w:p>
            <w:pPr>
              <w:pStyle w:val="Compact"/>
              <w:jc w:val="left"/>
            </w:pPr>
            <w:r>
              <w:rPr>
                <w:b/>
              </w:rPr>
              <w:t>Δ F1 (con *mojibake* − sin)</w:t>
            </w:r>
          </w:p>
        </w:tc>
      </w:tr>
      <w:tr>
        <w:tc>
          <w:tcPr>
            <w:tcW w:type="dxa" w:w="4499"/>
          </w:tcPr>
          <w:p>
            <w:pPr>
              <w:pStyle w:val="Compact"/>
              <w:jc w:val="left"/>
            </w:pPr>
            <w:r>
              <w:rPr>
                <w:b w:val="0"/>
              </w:rPr>
              <w:t>gemma4:latest (baseline)</w:t>
            </w:r>
          </w:p>
        </w:tc>
        <w:tc>
          <w:tcPr>
            <w:tcW w:type="dxa" w:w="4339"/>
          </w:tcPr>
          <w:p>
            <w:pPr>
              <w:pStyle w:val="Compact"/>
              <w:jc w:val="left"/>
            </w:pPr>
            <w:r>
              <w:rPr>
                <w:b/>
              </w:rPr>
              <w:t>−0.0695</w:t>
            </w:r>
          </w:p>
        </w:tc>
      </w:tr>
      <w:tr>
        <w:tc>
          <w:tcPr>
            <w:tcW w:type="dxa" w:w="4499"/>
          </w:tcPr>
          <w:p>
            <w:pPr>
              <w:pStyle w:val="Compact"/>
              <w:jc w:val="left"/>
            </w:pPr>
            <w:r>
              <w:rPr>
                <w:b w:val="0"/>
              </w:rPr>
              <w:t>gemma4:12b-mlx (baseline)</w:t>
            </w:r>
          </w:p>
        </w:tc>
        <w:tc>
          <w:tcPr>
            <w:tcW w:type="dxa" w:w="4339"/>
          </w:tcPr>
          <w:p>
            <w:pPr>
              <w:pStyle w:val="Compact"/>
              <w:jc w:val="left"/>
            </w:pPr>
            <w:r>
              <w:rPr>
                <w:b w:val="0"/>
              </w:rPr>
              <w:t>−0.0422</w:t>
            </w:r>
          </w:p>
        </w:tc>
      </w:tr>
      <w:tr>
        <w:tc>
          <w:tcPr>
            <w:tcW w:type="dxa" w:w="4499"/>
          </w:tcPr>
          <w:p>
            <w:pPr>
              <w:pStyle w:val="Compact"/>
              <w:jc w:val="left"/>
            </w:pPr>
            <w:r>
              <w:rPr>
                <w:b w:val="0"/>
              </w:rPr>
              <w:t>gemma4:31b-mlx (baseline)</w:t>
            </w:r>
          </w:p>
        </w:tc>
        <w:tc>
          <w:tcPr>
            <w:tcW w:type="dxa" w:w="4339"/>
          </w:tcPr>
          <w:p>
            <w:pPr>
              <w:pStyle w:val="Compact"/>
              <w:jc w:val="left"/>
            </w:pPr>
            <w:r>
              <w:rPr>
                <w:b w:val="0"/>
              </w:rPr>
              <w:t>−0.0395</w:t>
            </w:r>
          </w:p>
        </w:tc>
      </w:tr>
      <w:tr>
        <w:tc>
          <w:tcPr>
            <w:tcW w:type="dxa" w:w="4499"/>
          </w:tcPr>
          <w:p>
            <w:pPr>
              <w:pStyle w:val="Compact"/>
              <w:jc w:val="left"/>
            </w:pPr>
            <w:r>
              <w:rPr>
                <w:b w:val="0"/>
              </w:rPr>
              <w:t>llama3.1:8b (KB RAG)</w:t>
            </w:r>
          </w:p>
        </w:tc>
        <w:tc>
          <w:tcPr>
            <w:tcW w:type="dxa" w:w="4339"/>
          </w:tcPr>
          <w:p>
            <w:pPr>
              <w:pStyle w:val="Compact"/>
              <w:jc w:val="left"/>
            </w:pPr>
            <w:r>
              <w:rPr>
                <w:b w:val="0"/>
              </w:rPr>
              <w:t>−0.0004</w:t>
            </w:r>
          </w:p>
        </w:tc>
      </w:tr>
      <w:tr>
        <w:tc>
          <w:tcPr>
            <w:tcW w:type="dxa" w:w="4499"/>
          </w:tcPr>
          <w:p>
            <w:pPr>
              <w:pStyle w:val="Compact"/>
              <w:jc w:val="left"/>
            </w:pPr>
            <w:r>
              <w:rPr>
                <w:b w:val="0"/>
              </w:rPr>
              <w:t>mistral-nemo:latest (KB RAG)</w:t>
            </w:r>
          </w:p>
        </w:tc>
        <w:tc>
          <w:tcPr>
            <w:tcW w:type="dxa" w:w="4339"/>
          </w:tcPr>
          <w:p>
            <w:pPr>
              <w:pStyle w:val="Compact"/>
              <w:jc w:val="left"/>
            </w:pPr>
            <w:r>
              <w:rPr>
                <w:b w:val="0"/>
              </w:rPr>
              <w:t>+0.0122</w:t>
            </w:r>
          </w:p>
        </w:tc>
      </w:tr>
      <w:tr>
        <w:tc>
          <w:tcPr>
            <w:tcW w:type="dxa" w:w="4499"/>
          </w:tcPr>
          <w:p>
            <w:pPr>
              <w:pStyle w:val="Compact"/>
              <w:jc w:val="left"/>
            </w:pPr>
            <w:r>
              <w:rPr>
                <w:b w:val="0"/>
              </w:rPr>
              <w:t>deepseek-r1:1.5b (baseline)</w:t>
            </w:r>
          </w:p>
        </w:tc>
        <w:tc>
          <w:tcPr>
            <w:tcW w:type="dxa" w:w="4339"/>
          </w:tcPr>
          <w:p>
            <w:pPr>
              <w:pStyle w:val="Compact"/>
              <w:jc w:val="left"/>
            </w:pPr>
            <w:r>
              <w:rPr>
                <w:b w:val="0"/>
              </w:rPr>
              <w:t>+0.0199</w:t>
            </w:r>
          </w:p>
        </w:tc>
      </w:tr>
      <w:tr>
        <w:tc>
          <w:tcPr>
            <w:tcW w:type="dxa" w:w="4499"/>
          </w:tcPr>
          <w:p>
            <w:pPr>
              <w:pStyle w:val="Compact"/>
              <w:jc w:val="left"/>
            </w:pPr>
            <w:r>
              <w:rPr>
                <w:b w:val="0"/>
              </w:rPr>
              <w:t>gemma:latest (KB RAG)</w:t>
            </w:r>
          </w:p>
        </w:tc>
        <w:tc>
          <w:tcPr>
            <w:tcW w:type="dxa" w:w="4339"/>
          </w:tcPr>
          <w:p>
            <w:pPr>
              <w:pStyle w:val="Compact"/>
              <w:jc w:val="left"/>
            </w:pPr>
            <w:r>
              <w:rPr>
                <w:b/>
              </w:rPr>
              <w:t>+0.0249</w:t>
            </w:r>
          </w:p>
        </w:tc>
      </w:tr>
    </w:tbl>
    <w:p>
      <w:pPr>
        <w:numPr>
          <w:ilvl w:val="0"/>
          <w:numId w:val="0"/>
        </w:numPr>
        <w:pStyle w:val="Normal"/>
      </w:pPr>
      <w:r>
        <w:t xml:space="preserve">El rango entre extremos alcanza </w:t>
      </w:r>
      <w:r>
        <w:rPr>
          <w:b/>
        </w:rPr>
        <w:t>9,4 puntos porcentuales</w:t>
      </w:r>
      <w:r>
        <w:t>.</w:t>
      </w:r>
    </w:p>
    <w:p>
      <w:pPr>
        <w:numPr>
          <w:ilvl w:val="0"/>
          <w:numId w:val="0"/>
        </w:numPr>
        <w:pStyle w:val="p1a"/>
      </w:pPr>
      <w:r>
        <w:rPr>
          <w:b/>
        </w:rPr>
        <w:t>Cautela metodológica.</w:t>
      </w:r>
      <w:r>
        <w:t xml:space="preserve"> Los artículos afectados podrían ser además más largos o intrínsecamente más difíciles, lo que confundiría la magnitud absoluta de cada Δ. Sin embargo, la dificultad desplazaría a todos los modelos en la misma dirección; </w:t>
      </w:r>
      <w:r>
        <w:rPr>
          <w:b/>
        </w:rPr>
        <w:t>la dispersión entre modelos sobre registros idénticos</w:t>
      </w:r>
      <w:r>
        <w:t xml:space="preserve"> es lo que acredita una interacción específica de cada modelo. Una versión previa de esta tabla situaba a </w:t>
      </w:r>
      <w:r>
        <w:t>gpt-oss:20b</w:t>
      </w:r>
      <w:r>
        <w:t xml:space="preserve"> en el extremo positivo con +0,091, y se advirtió entonces que esa fila era la menos fiable por estar dominada por un artefacto del arnés. Corregido el artefacto y repetida la medición, su valor real es </w:t>
      </w:r>
      <w:r>
        <w:rPr>
          <w:b/>
        </w:rPr>
        <w:t>−0,034</w:t>
      </w:r>
      <w:r>
        <w:t>, dentro del rango del resto. El episodio ilustra la necesidad de descartar defectos de ejecución antes de interpretar un valor extremo.</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