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102A43"/>
          <w:left w:val="single" w:sz="0" w:space="0" w:color="102A43"/>
          <w:bottom w:val="single" w:sz="0" w:space="0" w:color="102A43"/>
          <w:right w:val="single" w:sz="0" w:space="0" w:color="102A43"/>
          <w:insideH w:val="single" w:sz="0" w:space="0" w:color="102A43"/>
          <w:insideV w:val="single" w:sz="0" w:space="0" w:color="102A43"/>
        </w:tblBorders>
      </w:tblPr>
      <w:tblGrid>
        <w:gridCol w:w="10368"/>
      </w:tblGrid>
      <w:tr>
        <w:tc>
          <w:tcPr>
            <w:tcW w:type="dxa" w:w="10368"/>
            <w:shd w:fill="102A43"/>
            <w:tcMar>
              <w:top w:w="250" w:type="dxa"/>
              <w:start w:w="280" w:type="dxa"/>
              <w:bottom w:w="240" w:type="dxa"/>
              <w:end w:w="280" w:type="dxa"/>
            </w:tcMar>
            <w:vAlign w:val="center"/>
          </w:tcPr>
          <w:p>
            <w:pPr>
              <w:spacing w:after="80"/>
            </w:pPr>
            <w:r>
              <w:rPr>
                <w:rFonts w:ascii="Aptos" w:hAnsi="Aptos"/>
                <w:b/>
                <w:color w:val="E4A11B"/>
                <w:sz w:val="22"/>
              </w:rPr>
              <w:t>COPILOT + EAI</w:t>
            </w:r>
          </w:p>
          <w:p>
            <w:pPr>
              <w:spacing w:after="100"/>
            </w:pPr>
            <w:r>
              <w:rPr>
                <w:rFonts w:ascii="Aptos Display" w:hAnsi="Aptos Display"/>
                <w:b/>
                <w:color w:val="FFFFFF"/>
                <w:sz w:val="48"/>
              </w:rPr>
              <w:t>From AI answers to business outcomes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FFFFFF"/>
                <w:sz w:val="23"/>
              </w:rPr>
              <w:t>Give people the Copilot experience they know, with the control, workflow and evidence the enterprise needs.</w:t>
            </w:r>
          </w:p>
        </w:tc>
      </w:tr>
    </w:tbl>
    <w:p>
      <w:pPr>
        <w:spacing w:before="180" w:after="60" w:line="259" w:lineRule="auto"/>
      </w:pPr>
      <w:r>
        <w:rPr>
          <w:rFonts w:ascii="Aptos" w:hAnsi="Aptos"/>
          <w:b/>
          <w:color w:val="0E8A7A"/>
          <w:sz w:val="17"/>
        </w:rPr>
        <w:t>THE SIMPLE PROPOSITION</w:t>
      </w:r>
    </w:p>
    <w:p>
      <w:pPr>
        <w:spacing w:before="0" w:after="120" w:line="259" w:lineRule="auto"/>
      </w:pPr>
      <w:r>
        <w:rPr>
          <w:rFonts w:ascii="Aptos" w:hAnsi="Aptos"/>
          <w:b/>
          <w:color w:val="102A43"/>
          <w:sz w:val="25"/>
        </w:rPr>
        <w:t>Copilot helps people ask, find and create. EAI helps the business connect, decide and act - safely across Microsoft and non-Microsoft systems.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</w:tblPr>
      <w:tblGrid>
        <w:gridCol w:w="5184"/>
        <w:gridCol w:w="5184"/>
      </w:tblGrid>
      <w:tr>
        <w:tc>
          <w:tcPr>
            <w:tcW w:type="dxa" w:w="5184"/>
            <w:tcMar>
              <w:top w:w="150" w:type="dxa"/>
              <w:start w:w="190" w:type="dxa"/>
              <w:bottom w:w="140" w:type="dxa"/>
              <w:end w:w="190" w:type="dxa"/>
            </w:tcMar>
            <w:vAlign w:val="center"/>
            <w:shd w:fill="F4F7FA"/>
          </w:tcPr>
          <w:p>
            <w:pPr>
              <w:spacing w:after="60"/>
            </w:pPr>
            <w:r>
              <w:rPr>
                <w:rFonts w:ascii="Aptos" w:hAnsi="Aptos"/>
                <w:b/>
                <w:color w:val="627D98"/>
                <w:sz w:val="17"/>
              </w:rPr>
              <w:t>MICROSOFT BRINGS</w:t>
            </w:r>
          </w:p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02A43"/>
                <w:sz w:val="21"/>
              </w:rPr>
              <w:t>The workplace, content, analytics, identity and AI platform.</w:t>
            </w:r>
          </w:p>
        </w:tc>
        <w:tc>
          <w:tcPr>
            <w:tcW w:type="dxa" w:w="5184"/>
            <w:tcMar>
              <w:top w:w="150" w:type="dxa"/>
              <w:start w:w="190" w:type="dxa"/>
              <w:bottom w:w="140" w:type="dxa"/>
              <w:end w:w="190" w:type="dxa"/>
            </w:tcMar>
            <w:vAlign w:val="center"/>
            <w:shd w:fill="EAF7F4"/>
          </w:tcPr>
          <w:p>
            <w:pPr>
              <w:spacing w:after="60"/>
            </w:pPr>
            <w:r>
              <w:rPr>
                <w:rFonts w:ascii="Aptos" w:hAnsi="Aptos"/>
                <w:b/>
                <w:color w:val="0E8A7A"/>
                <w:sz w:val="17"/>
              </w:rPr>
              <w:t>EAI ADDS</w:t>
            </w:r>
          </w:p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102A43"/>
                <w:sz w:val="21"/>
              </w:rPr>
              <w:t>The governed business layer that connects data, decisions, workflows and actions.</w:t>
            </w:r>
          </w:p>
        </w:tc>
      </w:tr>
    </w:tbl>
    <w:p>
      <w:pPr>
        <w:spacing w:before="160" w:after="20" w:line="259" w:lineRule="auto"/>
      </w:pPr>
      <w:r>
        <w:rPr>
          <w:rFonts w:ascii="Aptos" w:hAnsi="Aptos"/>
          <w:b/>
          <w:color w:val="0E8A7A"/>
          <w:sz w:val="17"/>
        </w:rPr>
        <w:t>WHY CUSTOMERS BUY EAI WITH COPILOT</w:t>
      </w:r>
    </w:p>
    <w:p>
      <w:pPr>
        <w:keepNext/>
        <w:spacing w:before="100" w:after="20"/>
      </w:pPr>
      <w:r>
        <w:rPr>
          <w:rFonts w:ascii="Aptos" w:hAnsi="Aptos"/>
          <w:b/>
          <w:color w:val="0E8A7A"/>
          <w:sz w:val="22"/>
        </w:rPr>
        <w:t xml:space="preserve">01  </w:t>
      </w:r>
      <w:r>
        <w:rPr>
          <w:rFonts w:ascii="Aptos" w:hAnsi="Aptos"/>
          <w:b/>
          <w:color w:val="102A43"/>
          <w:sz w:val="22"/>
        </w:rPr>
        <w:t>Complete the work</w:t>
      </w:r>
    </w:p>
    <w:p>
      <w:pPr>
        <w:spacing w:before="0" w:after="80" w:line="250" w:lineRule="auto"/>
        <w:ind w:left="490"/>
      </w:pPr>
      <w:r>
        <w:rPr>
          <w:rFonts w:ascii="Aptos" w:hAnsi="Aptos"/>
          <w:b w:val="0"/>
          <w:color w:val="243B53"/>
          <w:sz w:val="18"/>
        </w:rPr>
        <w:t>Move beyond search and summaries to authorized actions, approvals and persistent workflows.</w:t>
      </w:r>
    </w:p>
    <w:p>
      <w:pPr>
        <w:keepNext/>
        <w:spacing w:before="100" w:after="20"/>
      </w:pPr>
      <w:r>
        <w:rPr>
          <w:rFonts w:ascii="Aptos" w:hAnsi="Aptos"/>
          <w:b/>
          <w:color w:val="0E8A7A"/>
          <w:sz w:val="22"/>
        </w:rPr>
        <w:t xml:space="preserve">02  </w:t>
      </w:r>
      <w:r>
        <w:rPr>
          <w:rFonts w:ascii="Aptos" w:hAnsi="Aptos"/>
          <w:b/>
          <w:color w:val="102A43"/>
          <w:sz w:val="22"/>
        </w:rPr>
        <w:t>Connect the whole business</w:t>
      </w:r>
    </w:p>
    <w:p>
      <w:pPr>
        <w:spacing w:before="0" w:after="80" w:line="250" w:lineRule="auto"/>
        <w:ind w:left="490"/>
      </w:pPr>
      <w:r>
        <w:rPr>
          <w:rFonts w:ascii="Aptos" w:hAnsi="Aptos"/>
          <w:b w:val="0"/>
          <w:color w:val="243B53"/>
          <w:sz w:val="18"/>
        </w:rPr>
        <w:t>Use one business process across SharePoint, Fabric, operational systems, SaaS platforms and EAI data.</w:t>
      </w:r>
    </w:p>
    <w:p>
      <w:pPr>
        <w:keepNext/>
        <w:spacing w:before="100" w:after="20"/>
      </w:pPr>
      <w:r>
        <w:rPr>
          <w:rFonts w:ascii="Aptos" w:hAnsi="Aptos"/>
          <w:b/>
          <w:color w:val="0E8A7A"/>
          <w:sz w:val="22"/>
        </w:rPr>
        <w:t xml:space="preserve">03  </w:t>
      </w:r>
      <w:r>
        <w:rPr>
          <w:rFonts w:ascii="Aptos" w:hAnsi="Aptos"/>
          <w:b/>
          <w:color w:val="102A43"/>
          <w:sz w:val="22"/>
        </w:rPr>
        <w:t>Keep control</w:t>
      </w:r>
    </w:p>
    <w:p>
      <w:pPr>
        <w:spacing w:before="0" w:after="80" w:line="250" w:lineRule="auto"/>
        <w:ind w:left="490"/>
      </w:pPr>
      <w:r>
        <w:rPr>
          <w:rFonts w:ascii="Aptos" w:hAnsi="Aptos"/>
          <w:b w:val="0"/>
          <w:color w:val="243B53"/>
          <w:sz w:val="18"/>
        </w:rPr>
        <w:t>Use EAI CIAM to securely include customers and partners outside the enterprise Entra tenant, while preserving tenant isolation, permissions and audit.</w:t>
      </w:r>
    </w:p>
    <w:p>
      <w:pPr>
        <w:keepNext/>
        <w:spacing w:before="100" w:after="20"/>
      </w:pPr>
      <w:r>
        <w:rPr>
          <w:rFonts w:ascii="Aptos" w:hAnsi="Aptos"/>
          <w:b/>
          <w:color w:val="0E8A7A"/>
          <w:sz w:val="22"/>
        </w:rPr>
        <w:t xml:space="preserve">04  </w:t>
      </w:r>
      <w:r>
        <w:rPr>
          <w:rFonts w:ascii="Aptos" w:hAnsi="Aptos"/>
          <w:b/>
          <w:color w:val="102A43"/>
          <w:sz w:val="22"/>
        </w:rPr>
        <w:t>Scale what works</w:t>
      </w:r>
    </w:p>
    <w:p>
      <w:pPr>
        <w:spacing w:before="0" w:after="80" w:line="250" w:lineRule="auto"/>
        <w:ind w:left="490"/>
      </w:pPr>
      <w:r>
        <w:rPr>
          <w:rFonts w:ascii="Aptos" w:hAnsi="Aptos"/>
          <w:b w:val="0"/>
          <w:color w:val="243B53"/>
          <w:sz w:val="18"/>
        </w:rPr>
        <w:t>Reuse business models, prompts, document intelligence and workflow IP across customers and channels.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10" w:space="0" w:color="0E8A7A"/>
          <w:left w:val="single" w:sz="10" w:space="0" w:color="0E8A7A"/>
          <w:bottom w:val="single" w:sz="10" w:space="0" w:color="0E8A7A"/>
          <w:right w:val="single" w:sz="10" w:space="0" w:color="0E8A7A"/>
          <w:insideH w:val="single" w:sz="10" w:space="0" w:color="0E8A7A"/>
          <w:insideV w:val="single" w:sz="10" w:space="0" w:color="0E8A7A"/>
        </w:tblBorders>
      </w:tblPr>
      <w:tblGrid>
        <w:gridCol w:w="10368"/>
      </w:tblGrid>
      <w:tr>
        <w:tc>
          <w:tcPr>
            <w:tcW w:type="dxa" w:w="10368"/>
            <w:shd w:fill="EAF7F4"/>
            <w:tcMar>
              <w:top w:w="150" w:type="dxa"/>
              <w:start w:w="210" w:type="dxa"/>
              <w:bottom w:w="140" w:type="dxa"/>
              <w:end w:w="21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0E8A7A"/>
                <w:sz w:val="17"/>
              </w:rPr>
              <w:t>THE SALES TEST</w:t>
            </w:r>
          </w:p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102A43"/>
                <w:sz w:val="20"/>
              </w:rPr>
              <w:t>Use Microsoft alone for simple search, drafting or analytics. Add EAI when the customer needs a cross-system process that must be completed, controlled and measured.</w:t>
            </w:r>
          </w:p>
        </w:tc>
      </w:tr>
    </w:tbl>
    <w:p>
      <w:pPr>
        <w:spacing w:before="140" w:after="40" w:line="259" w:lineRule="auto"/>
      </w:pPr>
      <w:r>
        <w:rPr>
          <w:rFonts w:ascii="Aptos" w:hAnsi="Aptos"/>
          <w:b/>
          <w:color w:val="0E8A7A"/>
          <w:sz w:val="17"/>
        </w:rPr>
        <w:t>30-SECOND TALK TRACK</w:t>
      </w:r>
    </w:p>
    <w:p>
      <w:pPr>
        <w:spacing w:before="0" w:after="40" w:line="259" w:lineRule="auto"/>
      </w:pPr>
      <w:r>
        <w:rPr>
          <w:rFonts w:ascii="Aptos" w:hAnsi="Aptos"/>
          <w:b w:val="0"/>
          <w:color w:val="243B53"/>
          <w:sz w:val="20"/>
        </w:rPr>
        <w:t>"We are not replacing Microsoft Copilot. We make it more valuable. Copilot meets users where they work; EAI connects that experience to the customer's real data, rules and processes so work is completed safely and the outcome can be measured."</w:t>
      </w:r>
    </w:p>
    <w:p>
      <w:pPr>
        <w:spacing w:before="160" w:after="60" w:line="259" w:lineRule="auto"/>
      </w:pPr>
      <w:r>
        <w:rPr>
          <w:rFonts w:ascii="Aptos" w:hAnsi="Aptos"/>
          <w:b/>
          <w:color w:val="0E8A7A"/>
          <w:sz w:val="17"/>
        </w:rPr>
        <w:t>THE CUSTOMER RESULT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102A43"/>
          <w:left w:val="single" w:sz="0" w:space="0" w:color="102A43"/>
          <w:bottom w:val="single" w:sz="0" w:space="0" w:color="102A43"/>
          <w:right w:val="single" w:sz="0" w:space="0" w:color="102A43"/>
          <w:insideH w:val="single" w:sz="0" w:space="0" w:color="102A43"/>
          <w:insideV w:val="single" w:sz="0" w:space="0" w:color="102A43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102A43"/>
            <w:tcMar>
              <w:top w:w="150" w:type="dxa"/>
              <w:start w:w="150" w:type="dxa"/>
              <w:bottom w:w="145" w:type="dxa"/>
              <w:end w:w="15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" w:hAnsi="Aptos"/>
                <w:b/>
                <w:color w:val="E4A11B"/>
                <w:sz w:val="18"/>
              </w:rPr>
              <w:t>FASTER DELIVERY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FFFFFF"/>
                <w:sz w:val="17"/>
              </w:rPr>
              <w:t>Less integration and rework</w:t>
            </w:r>
          </w:p>
        </w:tc>
        <w:tc>
          <w:tcPr>
            <w:tcW w:type="dxa" w:w="3456"/>
            <w:shd w:fill="102A43"/>
            <w:tcMar>
              <w:top w:w="150" w:type="dxa"/>
              <w:start w:w="150" w:type="dxa"/>
              <w:bottom w:w="145" w:type="dxa"/>
              <w:end w:w="15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" w:hAnsi="Aptos"/>
                <w:b/>
                <w:color w:val="E4A11B"/>
                <w:sz w:val="18"/>
              </w:rPr>
              <w:t>SAFER ACTION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FFFFFF"/>
                <w:sz w:val="17"/>
              </w:rPr>
              <w:t>Control at every business step</w:t>
            </w:r>
          </w:p>
        </w:tc>
        <w:tc>
          <w:tcPr>
            <w:tcW w:type="dxa" w:w="3456"/>
            <w:shd w:fill="102A43"/>
            <w:tcMar>
              <w:top w:w="150" w:type="dxa"/>
              <w:start w:w="150" w:type="dxa"/>
              <w:bottom w:w="145" w:type="dxa"/>
              <w:end w:w="15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" w:hAnsi="Aptos"/>
                <w:b/>
                <w:color w:val="E4A11B"/>
                <w:sz w:val="18"/>
              </w:rPr>
              <w:t>MEASURABLE RETURN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FFFFFF"/>
                <w:sz w:val="17"/>
              </w:rPr>
              <w:t>Value per completed journey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20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ptos" w:hAnsi="Aptos"/>
        <w:b w:val="0"/>
        <w:color w:val="627D98"/>
        <w:sz w:val="16"/>
      </w:rPr>
      <w:t>Microsoft provides the platform. EAI turns it into a governed business outcome.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b/>
        <w:color w:val="627D98"/>
        <w:sz w:val="16"/>
      </w:rPr>
      <w:t>ENTERPRISEAI GROUP  |  SALES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243B5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Copilot with EAI - Sales One-Pager</dc:title>
  <dc:subject>Sales positioning for Microsoft Copilot and the EAI Platform</dc:subject>
  <dc:creator>EnterpriseAI Group</dc:creator>
  <cp:keywords>Microsoft Copilot, EAI Platform, sales brief, business value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