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b/>
          <w:color w:val="1F3A5F"/>
          <w:sz w:val="40"/>
        </w:rPr>
        <w:t>Offline &amp; Cloud Model Evaluation for the AI Tutor</w:t>
      </w:r>
    </w:p>
    <w:p>
      <w:pPr>
        <w:pStyle w:val="Normal"/>
        <w:rPr/>
      </w:pPr>
      <w:r>
        <w:rPr>
          <w:i/>
          <w:color w:val="555555"/>
          <w:sz w:val="23"/>
        </w:rPr>
        <w:t>Ranking 44 tutor models — local open-source, cloud open-weight (Vertex Model Garden), and proprietary — on the real production tutoring engine</w:t>
      </w:r>
    </w:p>
    <w:p>
      <w:pPr>
        <w:pStyle w:val="Normal"/>
        <w:rPr/>
      </w:pPr>
      <w:r>
        <w:rPr>
          <w:color w:val="555555"/>
          <w:sz w:val="19"/>
        </w:rPr>
        <w:t>Pixel Design Labs LLC — AI Tutor   ·   44 models scored   ·   June 2026</w:t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We evaluated </w:t>
      </w:r>
      <w:r>
        <w:rPr>
          <w:b/>
          <w:i w:val="false"/>
        </w:rPr>
        <w:t>44 candidate tutor models</w:t>
      </w:r>
      <w:r>
        <w:rPr>
          <w:b w:val="false"/>
          <w:i w:val="false"/>
        </w:rPr>
        <w:t xml:space="preserve"> on the AI Tutor's real production tutoring engine, using one identical harness of 60 single-turn lesson scenarios. Every model drives the tutor end-to-end (posing questions, grading answers, and advancing through a lesson via tool-calls); scoring is held constant on Anthropic models and is cross-family, so no model grades itself. </w:t>
      </w:r>
      <w:r>
        <w:rPr>
          <w:b/>
          <w:i w:val="false"/>
        </w:rPr>
        <w:t>0 scenarios errored</w:t>
      </w:r>
      <w:r>
        <w:rPr>
          <w:b w:val="false"/>
          <w:i w:val="false"/>
        </w:rPr>
        <w:t xml:space="preserve"> across the final dataset.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The frontier ceiling is </w:t>
      </w:r>
      <w:r>
        <w:rPr>
          <w:b/>
          <w:i w:val="false"/>
        </w:rPr>
        <w:t>Claude Opus 4.7 at 90%</w:t>
      </w:r>
      <w:r>
        <w:rPr>
          <w:b w:val="false"/>
          <w:i w:val="false"/>
        </w:rPr>
        <w:t xml:space="preserve">. The strongest non-Anthropic model is </w:t>
      </w:r>
      <w:r>
        <w:rPr>
          <w:b/>
          <w:i w:val="false"/>
        </w:rPr>
        <w:t>Grok 4.1-fast (reasoning) at 72%</w:t>
      </w:r>
      <w:r>
        <w:rPr>
          <w:b w:val="false"/>
          <w:i w:val="false"/>
        </w:rPr>
        <w:t xml:space="preserve"> </w:t>
      </w:r>
      <w:r>
        <w:rPr>
          <w:b w:val="false"/>
          <w:i w:val="false"/>
        </w:rPr>
        <w:t>which was</w:t>
      </w:r>
      <w:r>
        <w:rPr>
          <w:b w:val="false"/>
          <w:i w:val="false"/>
        </w:rPr>
        <w:t xml:space="preserve"> served as open-weight Model-as-a-Service through Google Vertex AI Model Garden </w:t>
      </w:r>
      <w:r>
        <w:rPr>
          <w:b w:val="false"/>
          <w:i w:val="false"/>
        </w:rPr>
        <w:t xml:space="preserve">and </w:t>
      </w:r>
      <w:r>
        <w:rPr>
          <w:b w:val="false"/>
          <w:i w:val="false"/>
        </w:rPr>
        <w:t xml:space="preserve"> beats every Gemini variant and trails only the three Claude models. A dense band of </w:t>
      </w:r>
      <w:r>
        <w:rPr>
          <w:b/>
          <w:i w:val="false"/>
        </w:rPr>
        <w:t>cloud-hosted open-weight</w:t>
      </w:r>
      <w:r>
        <w:rPr>
          <w:b w:val="false"/>
          <w:i w:val="false"/>
        </w:rPr>
        <w:t xml:space="preserve"> models follows: </w:t>
      </w:r>
      <w:r>
        <w:rPr>
          <w:b/>
          <w:i w:val="false"/>
        </w:rPr>
        <w:t>Qwen3-Coder 480B (68%)</w:t>
      </w:r>
      <w:r>
        <w:rPr>
          <w:b w:val="false"/>
          <w:i w:val="false"/>
        </w:rPr>
        <w:t xml:space="preserve">, </w:t>
      </w:r>
      <w:r>
        <w:rPr>
          <w:b/>
          <w:i w:val="false"/>
        </w:rPr>
        <w:t>GLM-4.7 (67%)</w:t>
      </w:r>
      <w:r>
        <w:rPr>
          <w:b w:val="false"/>
          <w:i w:val="false"/>
        </w:rPr>
        <w:t xml:space="preserve">, </w:t>
      </w:r>
      <w:r>
        <w:rPr>
          <w:b/>
          <w:i w:val="false"/>
        </w:rPr>
        <w:t>Qwen3-Next-80B-Instruct (65%)</w:t>
      </w:r>
      <w:r>
        <w:rPr>
          <w:b w:val="false"/>
          <w:i w:val="false"/>
        </w:rPr>
        <w:t xml:space="preserve">, and </w:t>
      </w:r>
      <w:r>
        <w:rPr>
          <w:b/>
          <w:i w:val="false"/>
        </w:rPr>
        <w:t>Qwen3-235B (63%)</w:t>
      </w:r>
      <w:r>
        <w:rPr>
          <w:b w:val="false"/>
          <w:i w:val="false"/>
        </w:rPr>
        <w:t xml:space="preserve"> ,  all of which beat the best locally-run open model.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For </w:t>
      </w:r>
      <w:r>
        <w:rPr>
          <w:b/>
          <w:i w:val="false"/>
        </w:rPr>
        <w:t>on-device</w:t>
      </w:r>
      <w:r>
        <w:rPr>
          <w:b w:val="false"/>
          <w:i w:val="false"/>
        </w:rPr>
        <w:t xml:space="preserve"> deployment in low-connectivity schools, the picks are </w:t>
      </w:r>
      <w:r>
        <w:rPr>
          <w:b/>
          <w:i w:val="false"/>
        </w:rPr>
        <w:t>qwen2.5:3b (45%)</w:t>
      </w:r>
      <w:r>
        <w:rPr>
          <w:b w:val="false"/>
          <w:i w:val="false"/>
        </w:rPr>
        <w:t xml:space="preserve"> for phone/tablet and </w:t>
      </w:r>
      <w:r>
        <w:rPr>
          <w:b/>
          <w:i w:val="false"/>
        </w:rPr>
        <w:t>qwen2.5:7b (52%, rubric 0.71)</w:t>
      </w:r>
      <w:r>
        <w:rPr>
          <w:b w:val="false"/>
          <w:i w:val="false"/>
        </w:rPr>
        <w:t xml:space="preserve"> for a laptop or school server. These are stock models with no tutor-specific tuning — a baseline, and the gap to the ceiling is the target for prompt/fine-tuning.</w:t>
      </w:r>
    </w:p>
    <w:p>
      <w:pPr>
        <w:pStyle w:val="Heading1"/>
        <w:rPr/>
      </w:pPr>
      <w:r>
        <w:rPr/>
        <w:t>2. Objective &amp; Context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The pilot runs on a hosted Anthropic model. For </w:t>
      </w:r>
      <w:r>
        <w:rPr>
          <w:b/>
          <w:i w:val="false"/>
        </w:rPr>
        <w:t>data-residency</w:t>
      </w:r>
      <w:r>
        <w:rPr>
          <w:b w:val="false"/>
          <w:i w:val="false"/>
        </w:rPr>
        <w:t xml:space="preserve"> and </w:t>
      </w:r>
      <w:r>
        <w:rPr>
          <w:b/>
          <w:i w:val="false"/>
        </w:rPr>
        <w:t>offline use</w:t>
      </w:r>
      <w:r>
        <w:rPr>
          <w:b w:val="false"/>
          <w:i w:val="false"/>
        </w:rPr>
        <w:t xml:space="preserve"> in low-connectivity schools (Mozambique, Tanzania), we need to know which models can drive the tutor well — both models small enough to run </w:t>
      </w:r>
      <w:r>
        <w:rPr>
          <w:b/>
          <w:i w:val="false"/>
        </w:rPr>
        <w:t>on-device</w:t>
      </w:r>
      <w:r>
        <w:rPr>
          <w:b w:val="false"/>
          <w:i w:val="false"/>
        </w:rPr>
        <w:t xml:space="preserve"> and large open-weight models we could host ourselves or reach cheaply via cloud Model-as-a-Service (MaaS). This study ranks them on how well they run our </w:t>
      </w:r>
      <w:r>
        <w:rPr>
          <w:b/>
          <w:i w:val="false"/>
        </w:rPr>
        <w:t>real tutoring engine</w:t>
      </w:r>
      <w:r>
        <w:rPr>
          <w:b w:val="false"/>
          <w:i w:val="false"/>
        </w:rPr>
        <w:t>, not a toy benchmark.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Three serving modes are compared head-to-head on the same harness: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Proprietary</w:t>
      </w:r>
      <w:r>
        <w:rPr>
          <w:b w:val="false"/>
        </w:rPr>
        <w:t xml:space="preserve"> — hosted vendor APIs (Anthropic Claude, Google Gemini).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Cloud MaaS</w:t>
      </w:r>
      <w:r>
        <w:rPr>
          <w:b w:val="false"/>
        </w:rPr>
        <w:t xml:space="preserve"> — open-weight models served pay-per-token through Google Vertex AI Model Garden's OpenAI-compatible endpoint (DeepSeek, Kimi, Qwen3, Grok, GLM). No GPU endpoints are deployed; billing is per-token only.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Local OSS</w:t>
      </w:r>
      <w:r>
        <w:rPr>
          <w:b w:val="false"/>
        </w:rPr>
        <w:t xml:space="preserve"> — open-source models run locally via Ollama on an 8 GB CPU laptop (≤9B) or a free Google Colab T4 GPU (7–14B), the realistic offline deployment targets.</w:t>
      </w:r>
    </w:p>
    <w:p>
      <w:pPr>
        <w:pStyle w:val="Heading1"/>
        <w:rPr/>
      </w:pPr>
      <w:r>
        <w:rPr/>
        <w:t>3. Methodology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Tutor under test:</w:t>
      </w:r>
      <w:r>
        <w:rPr>
          <w:b w:val="false"/>
        </w:rPr>
        <w:t xml:space="preserve"> each model drives the production `simple_tutor` engine, controlling pedagogy through tool-calls (pose question → grade answer → advance).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Scorers held constant on Anthropic</w:t>
      </w:r>
      <w:r>
        <w:rPr>
          <w:b w:val="false"/>
        </w:rPr>
        <w:t xml:space="preserve"> (our trusted reference): the rubric </w:t>
      </w:r>
      <w:r>
        <w:rPr>
          <w:b/>
        </w:rPr>
        <w:t>judge</w:t>
      </w:r>
      <w:r>
        <w:rPr>
          <w:b w:val="false"/>
        </w:rPr>
        <w:t xml:space="preserve"> (claude-haiku-4-5) and the </w:t>
      </w:r>
      <w:r>
        <w:rPr>
          <w:b/>
        </w:rPr>
        <w:t>student-simulator</w:t>
      </w:r>
      <w:r>
        <w:rPr>
          <w:b w:val="false"/>
        </w:rPr>
        <w:t xml:space="preserve"> are the same models used in production, so every tutor model is graded on an identical, high-quality yardstick.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Cross-family grading:</w:t>
      </w:r>
      <w:r>
        <w:rPr>
          <w:b w:val="false"/>
        </w:rPr>
        <w:t xml:space="preserve"> the pass/fail grader excludes the tutor's own vendor, so a model never grades itself.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Test set:</w:t>
      </w:r>
      <w:r>
        <w:rPr>
          <w:b w:val="false"/>
        </w:rPr>
        <w:t xml:space="preserve"> 60 single-turn lesson scenarios (math + reading, multiple student personas), each scored </w:t>
      </w:r>
      <w:r>
        <w:rPr>
          <w:b/>
        </w:rPr>
        <w:t>pass/fail</w:t>
      </w:r>
      <w:r>
        <w:rPr>
          <w:b w:val="false"/>
        </w:rPr>
        <w:t xml:space="preserve"> plus a </w:t>
      </w:r>
      <w:r>
        <w:rPr>
          <w:b/>
        </w:rPr>
        <w:t>0–1 rubric</w:t>
      </w:r>
      <w:r>
        <w:rPr>
          <w:b w:val="false"/>
        </w:rPr>
        <w:t xml:space="preserve"> quality score.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Provider abstraction:</w:t>
      </w:r>
      <w:r>
        <w:rPr>
          <w:b w:val="false"/>
        </w:rPr>
        <w:t xml:space="preserve"> the engine routes any provider through a pluggable client layer (`apps/llm/client.py`). Cloud MaaS models reach Vertex through `VertexModelGardenClient` (OpenAI-compatible endpoint, Application Default Credentials, per-region routing); local models go through the Ollama client.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Hardware:</w:t>
      </w:r>
      <w:r>
        <w:rPr>
          <w:b w:val="false"/>
        </w:rPr>
        <w:t xml:space="preserve"> ≤9B local models on an 8 GB CPU laptop; 7–14B local models on a free Colab T4 GPU; cloud + MaaS models via API. Same scenarios throughout → directly comparable.</w:t>
      </w:r>
    </w:p>
    <w:p>
      <w:pPr>
        <w:pStyle w:val="Heading1"/>
        <w:rPr/>
      </w:pPr>
      <w:r>
        <w:rPr/>
        <w:t>4. Combined Leaderboard — all 44 models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Single ranking by pass rate. </w:t>
      </w:r>
      <w:r>
        <w:rPr>
          <w:b/>
          <w:i w:val="false"/>
        </w:rPr>
        <w:t>Pass</w:t>
      </w:r>
      <w:r>
        <w:rPr>
          <w:b w:val="false"/>
          <w:i w:val="false"/>
        </w:rPr>
        <w:t xml:space="preserve"> = cross-family pass rate (primary metric). </w:t>
      </w:r>
      <w:r>
        <w:rPr>
          <w:b/>
          <w:i w:val="false"/>
        </w:rPr>
        <w:t>Rubric</w:t>
      </w:r>
      <w:r>
        <w:rPr>
          <w:b w:val="false"/>
          <w:i w:val="false"/>
        </w:rPr>
        <w:t xml:space="preserve"> = mean 0–1 teaching-quality score (Anthropic-Haiku judge). </w:t>
      </w:r>
      <w:r>
        <w:rPr>
          <w:b/>
          <w:i w:val="false"/>
        </w:rPr>
        <w:t>Top failure</w:t>
      </w:r>
      <w:r>
        <w:rPr>
          <w:b w:val="false"/>
          <w:i w:val="false"/>
        </w:rPr>
        <w:t xml:space="preserve"> = the single biggest bottleneck category for that model, with its count. Every model ran the identical 60-scenario harness with </w:t>
      </w:r>
      <w:r>
        <w:rPr>
          <w:b/>
          <w:i w:val="false"/>
        </w:rPr>
        <w:t>0 errors</w:t>
      </w:r>
      <w:r>
        <w:rPr>
          <w:b w:val="false"/>
          <w:i w:val="false"/>
        </w:rPr>
        <w:t>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#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Model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Type · Vendor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Rubric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Top failure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claude-opus-4-7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Anthropic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90%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0.88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(3)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claude-haiku-4-5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Anthropic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82%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(5)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claude-sonnet-4-6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Anthropic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(6)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grok-4.1-fast-reasoning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xAI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72%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(7)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qwen3-coder-480b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(8)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glm-4.7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Zhipu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67%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(8)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gemini-2.5-flash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Google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65%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(9)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qwen3-next-80b-instruct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Qwen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65%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(12)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qwen3-235b-instruct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63%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diagnostic (7)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deepseek-v3.2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DeepSeek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(8)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gemini-3.1-pro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Google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(9)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glm-5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Zhipu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(9)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grok-4.1-fast-non-reasoning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xAI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(10)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kimi-k2-thinking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Moonshot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(12)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qwen2.5:14b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55%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(11)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mistral-nemo:12b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Mistral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53%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0.67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(10)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qwen2.5:7b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52%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crosscutting (9)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gemini-3.5-flash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Google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crosscutting (8)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19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grok-4.20-non-reasoning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xAI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crosscutting (9)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deepseek-v3.1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DeepSeek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(13)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grok-4.20-reasoning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xAI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0.65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(11)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qwen2.5:3b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Qwen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(11)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gemini-2.5-pro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Proprietary · Google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43%*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(10)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glm4:9b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Zhipu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crosscutting (9)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granite3.1-dense:8b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IBM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0.56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(13)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llama3.1:8b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Meta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(13)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mistral:7b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Mistral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32%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(15)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llama3.2:3b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Meta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(13)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29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qwen2.5:1.5b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(13)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deepseek-r1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DeepSeek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22%†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(14)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hermes3:8b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Nous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0.43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(15)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llama3-groq-tool-use:8b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Meta/Groq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(13)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command-r7b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Cohere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(17)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granite3.1-dense:2b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IBM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math (18)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granite3.1-moe:3b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IBM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0.37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(16)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36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aya-expanse:8b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Cohere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(17)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llama3.2:1b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Meta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0.29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(17)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38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nemotron-mini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NVIDIA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(16)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39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qwen2.5:0.5b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7%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0.37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(17)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hermes3:3b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Nous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(19)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41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qwen3-next-80b-thinking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Cloud MaaS · Qwen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2%†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0.34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(18)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falcon3:10b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TII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0.32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(19)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43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gemma2:2b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Google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0.32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(19)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44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phi4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Local OSS · Microsoft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0.33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persona handling (19)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b w:val="false"/>
          <w:i/>
          <w:color w:val="555555"/>
          <w:sz w:val="18"/>
        </w:rPr>
        <w:t>* gemini-2.5-pro suspect (Pro scores below Flash — likely a thinking-mode harness interaction, not true capability).</w:t>
      </w:r>
    </w:p>
    <w:p>
      <w:pPr>
        <w:pStyle w:val="Normal"/>
        <w:spacing w:before="0" w:after="120"/>
        <w:rPr/>
      </w:pPr>
      <w:r>
        <w:rPr>
          <w:b w:val="false"/>
          <w:i/>
          <w:color w:val="555555"/>
          <w:sz w:val="18"/>
        </w:rPr>
        <w:t xml:space="preserve">† </w:t>
      </w:r>
      <w:r>
        <w:rPr>
          <w:b w:val="false"/>
          <w:i/>
          <w:color w:val="555555"/>
          <w:sz w:val="18"/>
        </w:rPr>
        <w:t>deepseek-r1 / qwen3-next-thinking: reasoning-token truncation before the tool call (task-fit artifact; their instruct siblings score far higher), not raw capability.</w:t>
      </w:r>
    </w:p>
    <w:p>
      <w:pPr>
        <w:pStyle w:val="Normal"/>
        <w:spacing w:before="0" w:after="120"/>
        <w:rPr/>
      </w:pPr>
      <w:r>
        <w:rPr>
          <w:b w:val="false"/>
          <w:i/>
          <w:color w:val="555555"/>
          <w:sz w:val="18"/>
        </w:rPr>
        <w:t xml:space="preserve">‡ </w:t>
      </w:r>
      <w:r>
        <w:rPr>
          <w:b w:val="false"/>
          <w:i/>
          <w:color w:val="555555"/>
          <w:sz w:val="18"/>
        </w:rPr>
        <w:t>falcon3 / gemma2 / phi4: tool-protocol failures (no/garbled tool-calls), not teaching failures.</w:t>
      </w:r>
    </w:p>
    <w:p>
      <w:pPr>
        <w:pStyle w:val="Heading1"/>
        <w:rPr/>
      </w:pPr>
      <w:r>
        <w:rPr/>
        <w:t>5. Results by Tier</w:t>
      </w:r>
    </w:p>
    <w:p>
      <w:pPr>
        <w:pStyle w:val="Heading2"/>
        <w:rPr/>
      </w:pPr>
      <w:r>
        <w:rPr/>
        <w:t>5.1 Proprietary benchmark ceiling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Model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Vendor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Rubric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claude-opus-4-7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Anthropic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90%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0.88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claude-haiku-4-5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Anthropic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82%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0.86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claude-sonnet-4-6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Anthropic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78%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0.82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gemini-2.5-flash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Google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65%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0.74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gemini-3.1-pro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Google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58%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gemini-3.5-flash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Google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50%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0.66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gemini-2.5-pro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Google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43%*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0.64</w:t>
            </w:r>
          </w:p>
        </w:tc>
      </w:tr>
    </w:tbl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Claude Opus 4.7 (90%) sets the ceiling; Haiku 4.5 (82%) edging Sonnet 4.6 (78%) is plausible for this strong recent small model. </w:t>
      </w:r>
      <w:r>
        <w:rPr>
          <w:b/>
          <w:i w:val="false"/>
        </w:rPr>
        <w:t>Gemini Pro anomaly:</w:t>
      </w:r>
      <w:r>
        <w:rPr>
          <w:b w:val="false"/>
          <w:i w:val="false"/>
        </w:rPr>
        <w:t xml:space="preserve"> the Pro models score below the Flash models (2.5-flash 65% &gt; 3.1-pro 58% &gt; 2.5-pro 43%), which is backwards — the Pro models returned empty responses in id-probing (thinking-mode), so the Pro rows are </w:t>
      </w:r>
      <w:r>
        <w:rPr>
          <w:b/>
          <w:i w:val="false"/>
        </w:rPr>
        <w:t>suspect pending a diagnostic</w:t>
      </w:r>
      <w:r>
        <w:rPr>
          <w:b w:val="false"/>
          <w:i w:val="false"/>
        </w:rPr>
        <w:t xml:space="preserve"> rather than a true capability ranking.</w:t>
      </w:r>
    </w:p>
    <w:p>
      <w:pPr>
        <w:pStyle w:val="Heading2"/>
        <w:rPr/>
      </w:pPr>
      <w:r>
        <w:rPr/>
        <w:t>5.2 Cloud open-weight via Vertex Model Garden (MaaS)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Open-weight models served pay-per-token through Vertex AI Model Garden's OpenAI-compatible endpoint. All ran with 0 harness errors.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Model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Vendor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Rubric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grok-4.1-fast-reasoning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xAI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reasoning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72%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qwen3-coder-480b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instruct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0.76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glm-4.7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Zhipu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0.75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qwen3-next-80b-instruct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instruct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65%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qwen3-235b-instruct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instruct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63%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0.74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deepseek-v3.2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non-thinking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glm-5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Zhipu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grok-4.1-fast-non-reasoning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xAI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non-reasoning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0.72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kimi-k2-thinking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Moonshot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thinking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grok-4.20-non-reasoning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xAI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non-reasoning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0.64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deepseek-v3.1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non-thinking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grok-4.20-reasoning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xAI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reasoning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0.65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deepseek-r1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DeepSeek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thinking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22%†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qwen3-next-80b-thinking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Qwen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thinking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2%†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0.34</w:t>
            </w:r>
          </w:p>
        </w:tc>
      </w:tr>
    </w:tbl>
    <w:p>
      <w:pPr>
        <w:pStyle w:val="Heading2"/>
        <w:rPr/>
      </w:pPr>
      <w:r>
        <w:rPr/>
        <w:t>5.3 Local open-source (on-device deployment candidates)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Run locally via Ollama — the realistic offline targets. Device tier indicates where the model fits.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Model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Params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Device tier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Pass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Rubric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qwen2.5:14b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14B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 / server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55%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0.66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mistral-nemo:12b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 / server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53%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0.67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qwen2.5:7b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52%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0.71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qwen2.5:3b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45%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0.61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glm4:9b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43%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0.6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granite3.1-dense:8b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0.56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llama3.1:8b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33%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mistral:7b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32%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0.54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llama3.2:3b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0.46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qwen2.5:1.5b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1.5B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hermes3:8b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0.43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llama3-groq-tool-use:8b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22%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0.46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command-r7b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granite3.1-dense:2b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0.41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granite3.1-moe:3b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15%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aya-expanse:8b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GPU laptop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0.38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llama3.2:1b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0.29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nemotron-mini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~4B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0.39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qwen2.5:0.5b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0.5B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0.37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hermes3:3b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0.34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falcon3:10b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10B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gemma2:2b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2B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phone / tablet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0.32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18"/>
                <w:szCs w:val="22"/>
                <w:lang w:val="en-US" w:eastAsia="en-US" w:bidi="ar-SA"/>
              </w:rPr>
              <w:t>phi4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14B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0%‡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0.33</w:t>
            </w:r>
          </w:p>
        </w:tc>
      </w:tr>
    </w:tbl>
    <w:p>
      <w:pPr>
        <w:pStyle w:val="Heading1"/>
        <w:rPr/>
      </w:pPr>
      <w:r>
        <w:rPr/>
        <w:t>6. Key Findings &amp; Insights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The frontier ceiling is Claude Opus 4.7 at 90%.</w:t>
      </w:r>
      <w:r>
        <w:rPr>
          <w:b w:val="false"/>
        </w:rPr>
        <w:t xml:space="preserve"> The best locally-run open model (qwen2.5:14b, 55%) reaches ~61% of that — a real but closeable gap, especially given no tutor-specific tuning has been applied yet.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Grok 4.1-fast (reasoning, 72%) is the best non-Anthropic model in the benchmark</w:t>
      </w:r>
      <w:r>
        <w:rPr>
          <w:b w:val="false"/>
        </w:rPr>
        <w:t xml:space="preserve"> — ahead of every Gemini, DeepSeek, Qwen, and GLM, and behind only the three Claude models. As cloud MaaS it is a strong frontier option when on-device isn't required.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A cloud open-weight tier rivals proprietary Flash models.</w:t>
      </w:r>
      <w:r>
        <w:rPr>
          <w:b w:val="false"/>
        </w:rPr>
        <w:t xml:space="preserve"> Qwen3-Coder 480B (68%), GLM-4.7 (67%), Qwen3-Next-80B-Instruct (65%), and Qwen3-235B (63%) all beat Gemini 2.5 Flash (65%) or sit alongside it — and beat every locally-run open model. Hostable open weights can reach the Flash tier.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Instruct/non-thinking beats pure-thinking for this tool-driven tutor.</w:t>
      </w:r>
      <w:r>
        <w:rPr>
          <w:b w:val="false"/>
        </w:rPr>
        <w:t xml:space="preserve"> The biggest single effect in the study: qwen3-next-80b-</w:t>
      </w:r>
      <w:r>
        <w:rPr>
          <w:b/>
        </w:rPr>
        <w:t>thinking</w:t>
      </w:r>
      <w:r>
        <w:rPr>
          <w:b w:val="false"/>
        </w:rPr>
        <w:t xml:space="preserve"> scored 2% versus 65% for its </w:t>
      </w:r>
      <w:r>
        <w:rPr>
          <w:b/>
        </w:rPr>
        <w:t>instruct</w:t>
      </w:r>
      <w:r>
        <w:rPr>
          <w:b w:val="false"/>
        </w:rPr>
        <w:t xml:space="preserve"> sibling, and deepseek-r1 (reasoning-only) scored 22%. Reasoning tokens exhaust the response budget before the model emits its tool-call. </w:t>
      </w:r>
      <w:r>
        <w:rPr>
          <w:b/>
        </w:rPr>
        <w:t>Default to instruct/non-thinking variants</w:t>
      </w:r>
      <w:r>
        <w:rPr>
          <w:b w:val="false"/>
        </w:rPr>
        <w:t xml:space="preserve"> for the tutor.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Reasoning mode is model-dependent.</w:t>
      </w:r>
      <w:r>
        <w:rPr>
          <w:b w:val="false"/>
        </w:rPr>
        <w:t xml:space="preserve"> It helps Grok 4.1-fast (72% reasoning vs 57% non-reasoning) but hurts Grok 4.20 (45% vs 48%). Test both modes per model rather than assuming reasoning always helps.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Newer is not always better.</w:t>
      </w:r>
      <w:r>
        <w:rPr>
          <w:b w:val="false"/>
        </w:rPr>
        <w:t xml:space="preserve"> GLM-4.7 (67%) beats GLM-5 (57%), and Grok 4.1-fast beats Grok 4.20 on both modes. Always re-measure new versions against the harness.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Model family matters more than size.</w:t>
      </w:r>
      <w:r>
        <w:rPr>
          <w:b w:val="false"/>
        </w:rPr>
        <w:t xml:space="preserve"> mistral-nemo:12b (53%) beats llama3.1:8b (33%) by 20 points; picking the right family beats simply going bigger.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Universal weak spots: math reasoning and persona/tone adaptation</w:t>
      </w:r>
      <w:r>
        <w:rPr>
          <w:b w:val="false"/>
        </w:rPr>
        <w:t xml:space="preserve"> are the top two failure categories across nearly the entire field — both addressable with targeted prompt or fine-tuning on the chosen model.</w:t>
      </w:r>
    </w:p>
    <w:p>
      <w:pPr>
        <w:pStyle w:val="ListNumber"/>
        <w:numPr>
          <w:ilvl w:val="0"/>
          <w:numId w:val="4"/>
        </w:numPr>
        <w:rPr/>
      </w:pPr>
      <w:r>
        <w:rPr>
          <w:b/>
        </w:rPr>
        <w:t>Three local models scored 0% on a tool-protocol failure, not a teaching failure</w:t>
      </w:r>
      <w:r>
        <w:rPr>
          <w:b w:val="false"/>
        </w:rPr>
        <w:t xml:space="preserve"> (falcon3:10b, gemma2:2b, phi4) — they emit no or malformed tool-calls. phi4 (a strong 14B) is worth recovering with a format-specific parser, as was done for GLM-4.</w:t>
      </w:r>
    </w:p>
    <w:p>
      <w:pPr>
        <w:pStyle w:val="Heading1"/>
        <w:rPr/>
      </w:pPr>
      <w:r>
        <w:rPr/>
        <w:t>7. Data Integrity &amp; Reliability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The Qwen3/Grok/GLM batch was first run during a </w:t>
      </w:r>
      <w:r>
        <w:rPr>
          <w:b/>
          <w:i w:val="false"/>
        </w:rPr>
        <w:t>client-side internet outage</w:t>
      </w:r>
      <w:r>
        <w:rPr>
          <w:b w:val="false"/>
          <w:i w:val="false"/>
        </w:rPr>
        <w:t xml:space="preserve">. The tutoring itself completed (tool-calls verified working), but the Anthropic rubric-judge calls failed with `APIConnectionError` for 7 of 10 models, which the harness recorded as scenario </w:t>
      </w:r>
      <w:r>
        <w:rPr>
          <w:b/>
          <w:i w:val="false"/>
        </w:rPr>
        <w:t>failures</w:t>
      </w:r>
      <w:r>
        <w:rPr>
          <w:b w:val="false"/>
          <w:i w:val="false"/>
        </w:rPr>
        <w:t xml:space="preserve"> — making several capable models appear to score 0%.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 xml:space="preserve">This was caught by inspecting per-model judge-failure counts rather than trusting raw pass rates: the three models that ran during connected windows had 0 judge failures, while the others had 56–60 of 60. Once connectivity returned, the affected models were re-run; </w:t>
      </w:r>
      <w:r>
        <w:rPr>
          <w:b/>
          <w:i w:val="false"/>
        </w:rPr>
        <w:t>every number in this report comes from a run with `judge_failed = 0`.</w:t>
      </w:r>
      <w:r>
        <w:rPr>
          <w:b w:val="false"/>
          <w:i w:val="false"/>
        </w:rPr>
        <w:t xml:space="preserve"> The episode is a reminder to verify judge health before trusting a sweep — and a flagged follow-up is to harden the harness so a judge connectivity failure is recorded as an </w:t>
      </w:r>
      <w:r>
        <w:rPr>
          <w:b/>
          <w:i w:val="false"/>
        </w:rPr>
        <w:t>errored</w:t>
      </w:r>
      <w:r>
        <w:rPr>
          <w:b w:val="false"/>
          <w:i w:val="false"/>
        </w:rPr>
        <w:t xml:space="preserve"> scenario (or retried) rather than silently scored as a model failure.</w:t>
      </w:r>
    </w:p>
    <w:p>
      <w:pPr>
        <w:pStyle w:val="Heading1"/>
        <w:rPr/>
      </w:pPr>
      <w:r>
        <w:rPr/>
        <w:t>8. Cost &amp; Footprint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Local OSS:</w:t>
      </w:r>
      <w:r>
        <w:rPr>
          <w:b w:val="false"/>
        </w:rPr>
        <w:t xml:space="preserve"> ≤9B models ran on an 8 GB CPU laptop (zero infra cost); 7–14B on a free Colab T4. Fully offline-capable — the deployment goal.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Cloud MaaS (Vertex Model Garden):</w:t>
      </w:r>
      <w:r>
        <w:rPr>
          <w:b w:val="false"/>
        </w:rPr>
        <w:t xml:space="preserve"> pay-per-token only, no hourly endpoint charge (no GPU endpoints deployed). A 60-scenario single-turn sweep is roughly US$0.50–$2 per model.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Scoring:</w:t>
      </w:r>
      <w:r>
        <w:rPr>
          <w:b w:val="false"/>
        </w:rPr>
        <w:t xml:space="preserve"> Anthropic judge + student-simulator calls are constant across every run and are a small, fixed per-sweep cost.</w:t>
      </w:r>
    </w:p>
    <w:p>
      <w:pPr>
        <w:pStyle w:val="Heading1"/>
        <w:rPr/>
      </w:pPr>
      <w:r>
        <w:rPr/>
        <w:t>9. Limitations &amp; Next Steps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Single-turn only.</w:t>
      </w:r>
      <w:r>
        <w:rPr>
          <w:b w:val="false"/>
        </w:rPr>
        <w:t xml:space="preserve"> This sweep uses the 60 single-turn scenarios for fast, comparable signal; multi-turn evaluation of the finalists is the next measurement step.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Stock models, no tuning.</w:t>
      </w:r>
      <w:r>
        <w:rPr>
          <w:b w:val="false"/>
        </w:rPr>
        <w:t xml:space="preserve"> All scores are out-of-the-box. The gap to the ceiling is the target for prompt-engineering and fine-tuning on the leading candidates.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Suspect rows to diagnose:</w:t>
      </w:r>
      <w:r>
        <w:rPr>
          <w:b w:val="false"/>
        </w:rPr>
        <w:t xml:space="preserve"> the Gemini-Pro anomaly and the 0% tool-protocol models (phi4, falcon3) are under-measured by harness artifacts, not ability — worth re-scoring.</w:t>
      </w:r>
    </w:p>
    <w:p>
      <w:pPr>
        <w:pStyle w:val="ListBullet"/>
        <w:numPr>
          <w:ilvl w:val="0"/>
          <w:numId w:val="1"/>
        </w:numPr>
        <w:rPr/>
      </w:pPr>
      <w:r>
        <w:rPr>
          <w:b/>
        </w:rPr>
        <w:t>Recommended path:</w:t>
      </w:r>
      <w:r>
        <w:rPr>
          <w:b w:val="false"/>
        </w:rPr>
        <w:t xml:space="preserve"> (1) prompt-tune the leading on-device candidate (qwen2.5:7b / :3b) on math + persona; (2) decide the deployment tier (3B on-device vs 7–14B on a school server vs cloud MaaS for connected sites); (3) re-measure finalists multi-turn.</w:t>
      </w:r>
    </w:p>
    <w:p>
      <w:pPr>
        <w:pStyle w:val="Heading1"/>
        <w:rPr/>
      </w:pPr>
      <w:r>
        <w:rPr/>
        <w:t>10. Reproducibility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The entire benchmark is scripted and the headline table in this report is generated directly from committed data. To reproduce or extend it:</w:t>
      </w:r>
    </w:p>
    <w:p>
      <w:pPr>
        <w:pStyle w:val="Heading2"/>
        <w:rPr/>
      </w:pPr>
      <w:r>
        <w:rPr/>
        <w:t>10.1 What lives where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`offline_eval/cloud_models.txt` — the model matrix: `provider/model  safe_name  [region]` (third column = Vertex region; differs per model — most are `global`).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`offline_eval/run_cloud.sh` — runs the harness once per model, swapping only the tutor.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`offline_eval/_probe_cloud_models.py` — 1-token reachability probe; validates IDs/regions before a full run.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`offline_eval/aggregate.py` — ranks `results/*.json` into the leaderboard.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`offline_eval/leaderboard_combined.csv` — the combined table as data (this report's §4 is built from it via `offline_eval/_make_report.py`).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`offline_eval/results/*.json` — per-model run records (a curated set is committed for reproducibility).</w:t>
      </w:r>
    </w:p>
    <w:p>
      <w:pPr>
        <w:pStyle w:val="ListBullet"/>
        <w:numPr>
          <w:ilvl w:val="0"/>
          <w:numId w:val="1"/>
        </w:numPr>
        <w:rPr/>
      </w:pPr>
      <w:r>
        <w:rPr>
          <w:b w:val="false"/>
        </w:rPr>
        <w:t>Integration: `apps/llm/client.py::VertexModelGardenClient`. Design + plan: `docs/superpowers/specs/2026-06-17-vertex-model-garden-eval-design.md` and the matching plan under `docs/superpowers/plans/`.</w:t>
      </w:r>
    </w:p>
    <w:p>
      <w:pPr>
        <w:pStyle w:val="Heading2"/>
        <w:rPr/>
      </w:pPr>
      <w:r>
        <w:rPr/>
        <w:t>10.2 How the swap works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The harness sets the `TUTOR_MODEL_OVERRIDE="provider/model"` environment variable, which routes only the tutor through the chosen model. The judge and student-simulator stay on Anthropic, so the yardstick is identical for every model and the grader is always cross-family.</w:t>
      </w:r>
    </w:p>
    <w:p>
      <w:pPr>
        <w:pStyle w:val="Heading2"/>
        <w:rPr/>
      </w:pPr>
      <w:r>
        <w:rPr/>
        <w:t>10.3 Google Cloud setup (Vertex Model Garden MaaS)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</w:rPr>
        <w:t>Authenticate Application Default Credentials and pin the project. Auth is isolated in a dedicated config directory so it never touches a personal gcloud profile: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export CLOUDSDK_CONFIG="$HOME/.config/gcloud-pixeldesignlabs"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gcloud auth application-default login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gcloud auth application-default set-quota-project ai-tutor-499714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</w:rPr>
        <w:t>Enable the Vertex AI API: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gcloud services enable aiplatform.googleapis.com --project=ai-tutor-499714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</w:rPr>
        <w:t>In Model Garden (console.cloud.google.com/agent-platform/model-garden), enable each model — choose the “… API Service” (MaaS, pay-per-token) cards, not the “Serve with …” / GPU-endpoint cards. The card shows the exact model ID and region.</w:t>
      </w:r>
    </w:p>
    <w:p>
      <w:pPr>
        <w:pStyle w:val="ListNumber"/>
        <w:numPr>
          <w:ilvl w:val="0"/>
          <w:numId w:val="4"/>
        </w:numPr>
        <w:rPr/>
      </w:pPr>
      <w:r>
        <w:rPr>
          <w:b w:val="false"/>
        </w:rPr>
        <w:t>`.env` carries `CLOUDSDK_CONFIG` + `GOOGLE_CLOUD_PROJECT` so the harness picks up the isolated credentials automatically (it calls `load_dotenv()`).</w:t>
      </w:r>
    </w:p>
    <w:p>
      <w:pPr>
        <w:pStyle w:val="Heading2"/>
        <w:rPr/>
      </w:pPr>
      <w:r>
        <w:rPr/>
        <w:t>10.4 Run a sweep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# validate model IDs + regions are reachable (cheap):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CLOUDSDK_CONFIG=$HOME/.config/gcloud-pixeldesignlabs \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venv/bin/python offline_eval/_probe_cloud_models.py</w:t>
      </w:r>
    </w:p>
    <w:p>
      <w:pPr>
        <w:pStyle w:val="Normal"/>
        <w:spacing w:before="0" w:after="80"/>
        <w:ind w:start="432"/>
        <w:rPr/>
      </w:pPr>
      <w:r>
        <w:rPr/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# run the full sweep (skips models that already have results/*.json):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CLOUDSDK_CONFIG=$HOME/.config/gcloud-pixeldesignlabs \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t>bash offline_eval/run_cloud.sh</w:t>
      </w:r>
    </w:p>
    <w:p>
      <w:pPr>
        <w:pStyle w:val="Normal"/>
        <w:spacing w:before="0" w:after="80"/>
        <w:ind w:start="432"/>
        <w:rPr/>
      </w:pPr>
      <w:r>
        <w:rPr/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# rebuild the leaderboard + CSV + this report: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venv/bin/python offline_eval/aggregate.py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venv/bin/python offline_eval/_make_report.py</w:t>
      </w:r>
    </w:p>
    <w:p>
      <w:pPr>
        <w:pStyle w:val="Heading2"/>
        <w:rPr/>
      </w:pPr>
      <w:r>
        <w:rPr/>
        <w:t>10.5 Verify judge health (do this before trusting a sweep)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A network/judge outage during a run can silently score capable models as failures (see §7). After any sweep, confirm each model's judge-failure count is zero: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grep -c "judge call failed\|APIConnectionError" offline_eval/results/&lt;safe&gt;.log   # expect 0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Re-run any affected model once connectivity returns:</w:t>
      </w:r>
    </w:p>
    <w:p>
      <w:pPr>
        <w:pStyle w:val="Normal"/>
        <w:spacing w:before="0" w:after="80"/>
        <w:ind w:start="432"/>
        <w:rPr/>
      </w:pPr>
      <w:r>
        <w:rPr>
          <w:rFonts w:ascii="Consolas" w:hAnsi="Consolas"/>
          <w:sz w:val="18"/>
        </w:rPr>
        <w:t>CLOUD_MODELS_FILE=&lt;subset.txt&gt; FORCE=1 bash offline_eval/run_cloud.sh</w:t>
      </w:r>
    </w:p>
    <w:p>
      <w:pPr>
        <w:pStyle w:val="Heading2"/>
        <w:rPr/>
      </w:pPr>
      <w:r>
        <w:rPr/>
        <w:t>10.6 Add a new model</w:t>
      </w:r>
    </w:p>
    <w:p>
      <w:pPr>
        <w:pStyle w:val="Normal"/>
        <w:spacing w:before="0" w:after="120"/>
        <w:rPr/>
      </w:pPr>
      <w:r>
        <w:rPr>
          <w:b w:val="false"/>
          <w:i w:val="false"/>
        </w:rPr>
        <w:t>Append one row to `cloud_models.txt` (`provider/model  safe_name  region`), add the same candidate to `_probe_cloud_models.py`, then run §10.4. No code changes are needed for a new Vertex MaaS model — the provider client is generic.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LibreOffice/26.2.4.2$Linux_X86_64 LibreOffice_project/620$Build-2</Application>
  <AppVersion>15.0000</AppVersion>
  <Pages>8</Pages>
  <Words>2550</Words>
  <Characters>14774</Characters>
  <CharactersWithSpaces>16743</CharactersWithSpaces>
  <Paragraphs>589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2026-06-19T17:44:27Z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