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simple_tutor — Engineering Handover</w:t>
      </w:r>
    </w:p>
    <w:p>
      <w:r>
        <w:rPr>
          <w:b w:val="0"/>
          <w:i/>
          <w:color w:val="55635F"/>
        </w:rPr>
        <w:t>AI Tutor platform · multi-turn tutoring engine and evaluation harness</w:t>
      </w:r>
    </w:p>
    <w:p>
      <w:r>
        <w:rPr>
          <w:b w:val="0"/>
          <w:i w:val="0"/>
          <w:color w:val="55635F"/>
          <w:sz w:val="19"/>
        </w:rPr>
        <w:t>Prepared 2026-07-21 · branch pixeldesignlabs-dev-portuguese · covers evaluation fix-cycles 0–11 (Jul 16–21, 2026)</w:t>
      </w:r>
    </w:p>
    <w:p>
      <w:pPr>
        <w:pStyle w:val="Heading1"/>
      </w:pPr>
      <w:r>
        <w:rPr>
          <w:color w:val="0E7C6B"/>
        </w:rPr>
        <w:t>1. Purpose and scope of this document</w:t>
      </w:r>
    </w:p>
    <w:p>
      <w:r>
        <w:rPr>
          <w:b w:val="0"/>
          <w:i w:val="0"/>
        </w:rPr>
        <w:t>This document hands over the simple_tutor engine — the production tutoring engine of the AI Tutor platform — to its incoming owner. It consolidates three living documents maintained in the repository: the engine handover report (evals/reports/engine_handover_2026-07-20.md), the bottleneck analysis that started the latest fix arc (evals/reports/multi_turn_bottlenecks_2026-07-18.md), and the per-cycle change log (offline_eval/multi_turn_results/fixcheck/_cycle_log.md). Everything stated here is reproducible from those files and from the run artifacts referenced throughout.</w:t>
      </w:r>
    </w:p>
    <w:p>
      <w:r>
        <w:rPr>
          <w:b w:val="0"/>
          <w:i w:val="0"/>
        </w:rPr>
        <w:t>The short version: over twelve evaluation cycles in six days, the multi-turn pass rate of the engine across three evaluation models rose from 17/60 (28%) to 53/60 (88%), with every deadlock class and every wrong-verdict class eliminated. The engine did not get a bigger model or a longer prompt — it got a series of small, evidence-driven protocol repairs, each traced to specific failing transcripts, implemented test-first, and verified by re-running the identical twenty-scenario benchmark.</w:t>
      </w:r>
    </w:p>
    <w:p>
      <w:pPr>
        <w:pStyle w:val="Heading1"/>
      </w:pPr>
      <w:r>
        <w:rPr>
          <w:color w:val="0E7C6B"/>
        </w:rPr>
        <w:t>2. What the engine is</w:t>
      </w:r>
    </w:p>
    <w:p>
      <w:r>
        <w:rPr>
          <w:b w:val="0"/>
          <w:i w:val="0"/>
        </w:rPr>
        <w:t>apps/tutoring/simple_tutor/ is the default production engine (the kill-switch SIMPLE_TUTOR_ENGINE=off reverts to the legacy conversational tutor). Its core design decision is that the platform — not the language model — owns question state. When the tutor LLM wants to ask a question it must register it through a pose_question tool call, which the engine persists as the session's single InFlightQuestion row ("the slot"). When the student answers, the LLM calls record_answer and a server-side grader compares the answer against the slot's stored reference. The model is never asked to remember which question is live, because an earlier architecture that trusted it to do so mis-graded whenever one turn mixed praise with a new question.</w:t>
      </w:r>
    </w:p>
    <w:p>
      <w:r>
        <w:rPr>
          <w:b w:val="0"/>
          <w:i w:val="0"/>
        </w:rPr>
        <w:t>Each student message triggers at most two LLM calls. Call 1 lets the model decide which tools to fire (grade the answer, pose a question, request a figure). The engine dispatches those tools server-side, applying its guard stack (next section). Call 2 feeds the tool results back so the model composes the student-facing reply with the grading verdict in hand; Call 2 also carries the repair mechanism — when Call 1 skipped a tool the protocol expected, Call 2 is constrained to make exactly that call, so a repaired turn costs no more than a normal one.</w:t>
      </w:r>
    </w:p>
    <w:p>
      <w:r>
        <w:rPr>
          <w:b w:val="0"/>
          <w:i w:val="0"/>
        </w:rPr>
        <w:t>Turn behaviour is derived, never stored: a slot plus an answer-like student intent means the turn is a grading turn; no slot means a teaching/posing turn; conversational intents (clarification, pushback, off-topic, non-engagement — classified deterministically) suppress grading and leave the slot live. Per-model-family prompt variants exist for evaluation runs only (Qwen receives a Markdown variant; Gemini and Kimi receive targeted rule add-ons); production runs the base prompt with no family override.</w:t>
      </w:r>
    </w:p>
    <w:p>
      <w:pPr>
        <w:pStyle w:val="Heading1"/>
      </w:pPr>
      <w:r>
        <w:rPr>
          <w:color w:val="0E7C6B"/>
        </w:rPr>
        <w:t>3. The guard stack — and the incident behind each layer</w:t>
      </w:r>
    </w:p>
    <w:p>
      <w:r>
        <w:rPr>
          <w:b w:val="0"/>
          <w:i w:val="0"/>
        </w:rPr>
        <w:t>Every defensive layer below exists because a specific failure was observed in an evaluation sweep and traced in transcripts. All are env-toggleable, and most are gated to non-Anthropic model families, meaning production behaviour is unchanged by them.</w:t>
      </w:r>
    </w:p>
    <w:tbl>
      <w:tblPr>
        <w:tblStyle w:val="LightGrid-Accent1"/>
        <w:tblW w:type="auto" w:w="0"/>
        <w:tblLook w:firstColumn="1" w:firstRow="1" w:lastColumn="0" w:lastRow="0" w:noHBand="0" w:noVBand="1" w:val="04A0"/>
      </w:tblPr>
      <w:tblGrid>
        <w:gridCol w:w="4320"/>
        <w:gridCol w:w="4320"/>
      </w:tblGrid>
      <w:tr>
        <w:tc>
          <w:tcPr>
            <w:tcW w:type="dxa" w:w="3168"/>
          </w:tcPr>
          <w:p>
            <w:r/>
            <w:r>
              <w:rPr>
                <w:b/>
                <w:sz w:val="18"/>
              </w:rPr>
              <w:t>Layer</w:t>
            </w:r>
          </w:p>
        </w:tc>
        <w:tc>
          <w:tcPr>
            <w:tcW w:type="dxa" w:w="6624"/>
          </w:tcPr>
          <w:p>
            <w:r/>
            <w:r>
              <w:rPr>
                <w:b/>
                <w:sz w:val="18"/>
              </w:rPr>
              <w:t>Why it exists (the incident)</w:t>
            </w:r>
          </w:p>
        </w:tc>
      </w:tr>
      <w:tr>
        <w:tc>
          <w:tcPr>
            <w:tcW w:type="dxa" w:w="3168"/>
          </w:tcPr>
          <w:p>
            <w:r/>
            <w:r>
              <w:rPr>
                <w:sz w:val="18"/>
              </w:rPr>
              <w:t>Forced pose/grade + adaptive gate</w:t>
            </w:r>
          </w:p>
        </w:tc>
        <w:tc>
          <w:tcPr>
            <w:tcW w:type="dxa" w:w="6624"/>
          </w:tcPr>
          <w:p>
            <w:r/>
            <w:r>
              <w:rPr>
                <w:sz w:val="18"/>
              </w:rPr>
              <w:t>Open-weight models narrate questions as prose without calling the tool (Qwen: 3% compliance unforced) → no gradable slot → session stalls. The gate keeps compliant models unforced until their first miss.</w:t>
            </w:r>
          </w:p>
        </w:tc>
      </w:tr>
      <w:tr>
        <w:tc>
          <w:tcPr>
            <w:tcW w:type="dxa" w:w="3168"/>
          </w:tcPr>
          <w:p>
            <w:r/>
            <w:r>
              <w:rPr>
                <w:sz w:val="18"/>
              </w:rPr>
              <w:t>Call-2 repair</w:t>
            </w:r>
          </w:p>
        </w:tc>
        <w:tc>
          <w:tcPr>
            <w:tcW w:type="dxa" w:w="6624"/>
          </w:tcPr>
          <w:p>
            <w:r/>
            <w:r>
              <w:rPr>
                <w:sz w:val="18"/>
              </w:rPr>
              <w:t>Providers that ignore tool_choice get the skipped tool re-demanded on Call 2 at no extra call cost.</w:t>
            </w:r>
          </w:p>
        </w:tc>
      </w:tr>
      <w:tr>
        <w:tc>
          <w:tcPr>
            <w:tcW w:type="dxa" w:w="3168"/>
          </w:tcPr>
          <w:p>
            <w:r/>
            <w:r>
              <w:rPr>
                <w:sz w:val="18"/>
              </w:rPr>
              <w:t>Anti-desync guard (intent-gated)</w:t>
            </w:r>
          </w:p>
        </w:tc>
        <w:tc>
          <w:tcPr>
            <w:tcW w:type="dxa" w:w="6624"/>
          </w:tcPr>
          <w:p>
            <w:r/>
            <w:r>
              <w:rPr>
                <w:sz w:val="18"/>
              </w:rPr>
              <w:t>Gemini posed over unanswered questions 161× in one sweep, swapping the question under the student. Blocks a new pose only when the student attempted an answer; "idk" still allows a pivot (the ungated version deadlocked — cycle 4's lesson).</w:t>
            </w:r>
          </w:p>
        </w:tc>
      </w:tr>
      <w:tr>
        <w:tc>
          <w:tcPr>
            <w:tcW w:type="dxa" w:w="3168"/>
          </w:tcPr>
          <w:p>
            <w:r/>
            <w:r>
              <w:rPr>
                <w:sz w:val="18"/>
              </w:rPr>
              <w:t>Anti-repetition (reject once, then force-advance)</w:t>
            </w:r>
          </w:p>
        </w:tc>
        <w:tc>
          <w:tcPr>
            <w:tcW w:type="dxa" w:w="6624"/>
          </w:tcPr>
          <w:p>
            <w:r/>
            <w:r>
              <w:rPr>
                <w:sz w:val="18"/>
              </w:rPr>
              <w:t>Re-asks of already-answered questions burned turns. First re-ask of an already-correct stem is rejected with corrective feedback; a re-pose is accepted (a turn must never end slotless) and the step force-advances after a streak.</w:t>
            </w:r>
          </w:p>
        </w:tc>
      </w:tr>
      <w:tr>
        <w:tc>
          <w:tcPr>
            <w:tcW w:type="dxa" w:w="3168"/>
          </w:tcPr>
          <w:p>
            <w:r/>
            <w:r>
              <w:rPr>
                <w:sz w:val="18"/>
              </w:rPr>
              <w:t>Slot rendering + divergence strip</w:t>
            </w:r>
          </w:p>
        </w:tc>
        <w:tc>
          <w:tcPr>
            <w:tcW w:type="dxa" w:w="6624"/>
          </w:tcPr>
          <w:p>
            <w:r/>
            <w:r>
              <w:rPr>
                <w:sz w:val="18"/>
              </w:rPr>
              <w:t>Cycle 7's headline fix: the model's visible question and its registered question could differ, so students were graded against questions they never saw. The question block is now rendered server-side from the slot; a divergent trailing prose question is stripped.</w:t>
            </w:r>
          </w:p>
        </w:tc>
      </w:tr>
      <w:tr>
        <w:tc>
          <w:tcPr>
            <w:tcW w:type="dxa" w:w="3168"/>
          </w:tcPr>
          <w:p>
            <w:r/>
            <w:r>
              <w:rPr>
                <w:sz w:val="18"/>
              </w:rPr>
              <w:t>Semantic dispatch order</w:t>
            </w:r>
          </w:p>
        </w:tc>
        <w:tc>
          <w:tcPr>
            <w:tcW w:type="dxa" w:w="6624"/>
          </w:tcPr>
          <w:p>
            <w:r/>
            <w:r>
              <w:rPr>
                <w:sz w:val="18"/>
              </w:rPr>
              <w:t>record_answer grades the question the student SAW: an existing slot is graded before a same-turn pose replaces it; a fresh pose never grades the current message; late registration of a previous prose question still poses first (cycle 8).</w:t>
            </w:r>
          </w:p>
        </w:tc>
      </w:tr>
      <w:tr>
        <w:tc>
          <w:tcPr>
            <w:tcW w:type="dxa" w:w="3168"/>
          </w:tcPr>
          <w:p>
            <w:r/>
            <w:r>
              <w:rPr>
                <w:sz w:val="18"/>
              </w:rPr>
              <w:t>Pose-after-correct + auto-pose fallback</w:t>
            </w:r>
          </w:p>
        </w:tc>
        <w:tc>
          <w:tcPr>
            <w:tcW w:type="dxa" w:w="6624"/>
          </w:tcPr>
          <w:p>
            <w:r/>
            <w:r>
              <w:rPr>
                <w:sz w:val="18"/>
              </w:rPr>
              <w:t>On correct verdicts models wrote the next question in prose only, or declined to pose at all ("That's it — well done." followed by nothing). Call 2 is required to register the next question, and if it still declines, the engine poses the next unused pool question deterministically (cycles 8–9).</w:t>
            </w:r>
          </w:p>
        </w:tc>
      </w:tr>
      <w:tr>
        <w:tc>
          <w:tcPr>
            <w:tcW w:type="dxa" w:w="3168"/>
          </w:tcPr>
          <w:p>
            <w:r/>
            <w:r>
              <w:rPr>
                <w:sz w:val="18"/>
              </w:rPr>
              <w:t>Malformed-pose salvage</w:t>
            </w:r>
          </w:p>
        </w:tc>
        <w:tc>
          <w:tcPr>
            <w:tcW w:type="dxa" w:w="6624"/>
          </w:tcPr>
          <w:p>
            <w:r/>
            <w:r>
              <w:rPr>
                <w:sz w:val="18"/>
              </w:rPr>
              <w:t>Strict validation initially REJECTED malformed poses (optionless MCQs, letter references on numeric slots). Models that cannot act on corrective feedback turned every rejection into a deadlock (kimi 5/20, qwen 4/20 in the first cycle-8 legs). Salvage converts them into the nearest valid slot: catalog options and correct letter adopted by stem match, or mcq↔short_numeric conversion. Engine guards for weak models must repair, not reject.</w:t>
            </w:r>
          </w:p>
        </w:tc>
      </w:tr>
      <w:tr>
        <w:tc>
          <w:tcPr>
            <w:tcW w:type="dxa" w:w="3168"/>
          </w:tcPr>
          <w:p>
            <w:r/>
            <w:r>
              <w:rPr>
                <w:sz w:val="18"/>
              </w:rPr>
              <w:t>Catalog letter coherence</w:t>
            </w:r>
          </w:p>
        </w:tc>
        <w:tc>
          <w:tcPr>
            <w:tcW w:type="dxa" w:w="6624"/>
          </w:tcPr>
          <w:p>
            <w:r/>
            <w:r>
              <w:rPr>
                <w:sz w:val="18"/>
              </w:rPr>
              <w:t>The prompt's MCQ letter-rotation discipline (an anti-B-bias rule) made models re-letter catalog questions whose option order is fixed — correct answers were then graded wrong for whole sessions. For catalog questions the correct TEXT is the authority and the letter is derived from the displayed options (cycle 9).</w:t>
            </w:r>
          </w:p>
        </w:tc>
      </w:tr>
      <w:tr>
        <w:tc>
          <w:tcPr>
            <w:tcW w:type="dxa" w:w="3168"/>
          </w:tcPr>
          <w:p>
            <w:r/>
            <w:r>
              <w:rPr>
                <w:sz w:val="18"/>
              </w:rPr>
              <w:t>Vocabulary + tool-JSON scrub</w:t>
            </w:r>
          </w:p>
        </w:tc>
        <w:tc>
          <w:tcPr>
            <w:tcW w:type="dxa" w:w="6624"/>
          </w:tcPr>
          <w:p>
            <w:r/>
            <w:r>
              <w:rPr>
                <w:sz w:val="18"/>
              </w:rPr>
              <w:t>Students saw "we're in POSE/TEACH mode" and orphan "[" bubbles from narrated tool JSON. A deterministic filter strips platform vocabulary, tool-JSON lines, and punctuation-only residue before persistence.</w:t>
            </w:r>
          </w:p>
        </w:tc>
      </w:tr>
      <w:tr>
        <w:tc>
          <w:tcPr>
            <w:tcW w:type="dxa" w:w="3168"/>
          </w:tcPr>
          <w:p>
            <w:r/>
            <w:r>
              <w:rPr>
                <w:sz w:val="18"/>
              </w:rPr>
              <w:t>Slot-aware, phrase-rotating placeholder</w:t>
            </w:r>
          </w:p>
        </w:tc>
        <w:tc>
          <w:tcPr>
            <w:tcW w:type="dxa" w:w="6624"/>
          </w:tcPr>
          <w:p>
            <w:r/>
            <w:r>
              <w:rPr>
                <w:sz w:val="18"/>
              </w:rPr>
              <w:t>The old fixed placeholder promised "Here's the next one:" with no question attached and repeated verbatim (a deadlock signature). It now renders the in-flight question and rotates its phrasing deterministically.</w:t>
            </w:r>
          </w:p>
        </w:tc>
      </w:tr>
      <w:tr>
        <w:tc>
          <w:tcPr>
            <w:tcW w:type="dxa" w:w="3168"/>
          </w:tcPr>
          <w:p>
            <w:r/>
            <w:r>
              <w:rPr>
                <w:sz w:val="18"/>
              </w:rPr>
              <w:t>Pivot guidance at attempt ≥ 3</w:t>
            </w:r>
          </w:p>
        </w:tc>
        <w:tc>
          <w:tcPr>
            <w:tcW w:type="dxa" w:w="6624"/>
          </w:tcPr>
          <w:p>
            <w:r/>
            <w:r>
              <w:rPr>
                <w:sz w:val="18"/>
              </w:rPr>
              <w:t>Sessions ground 15+ turns re-scaffolding one hard question against a disengaged student. The in-flight block now instructs a downshift: pose a strictly simpler question or move on.</w:t>
            </w:r>
          </w:p>
        </w:tc>
      </w:tr>
      <w:tr>
        <w:tc>
          <w:tcPr>
            <w:tcW w:type="dxa" w:w="3168"/>
          </w:tcPr>
          <w:p>
            <w:r/>
            <w:r>
              <w:rPr>
                <w:sz w:val="18"/>
              </w:rPr>
              <w:t>Transient-error retry</w:t>
            </w:r>
          </w:p>
        </w:tc>
        <w:tc>
          <w:tcPr>
            <w:tcW w:type="dxa" w:w="6624"/>
          </w:tcPr>
          <w:p>
            <w:r/>
            <w:r>
              <w:rPr>
                <w:sz w:val="18"/>
              </w:rPr>
              <w:t>Vertex 429/503 responses used to become fallback-reply deadlocks (kimi: 12/20 in one early cycle). Backoff retry absorbed 177 rate-limit hits in a single later sweep with zero deadlocks.</w:t>
            </w:r>
          </w:p>
        </w:tc>
      </w:tr>
    </w:tbl>
    <w:p>
      <w:pPr>
        <w:pStyle w:val="Heading1"/>
      </w:pPr>
      <w:r>
        <w:rPr>
          <w:color w:val="0E7C6B"/>
        </w:rPr>
        <w:t>4. Evaluation infrastructure</w:t>
      </w:r>
    </w:p>
    <w:p>
      <w:r>
        <w:rPr>
          <w:b w:val="0"/>
          <w:i w:val="0"/>
        </w:rPr>
        <w:t>The multi-turn harness (evals/runner.py) drives real engine sessions against an Anthropic-Haiku student simulator that plays five personas (capable, average, struggler, error-prone, non-responder). Every session is scored twice: deterministically (persona-aware turn budgets, repetition detection, tool-syntax leaks, expected end-state) and by a Sonnet-4.6 session-level rubric aligned to science-of-learning principles. The dataset holds 400 balanced scenarios; evals/lint_dataset.py asserts structure, balance, and — since cycle 7 — fixture content quality (float-noise stems, lost MCQ option texts, impossible probability premises). Run headers record git_sha, engine, and tutor_model.</w:t>
      </w:r>
    </w:p>
    <w:p>
      <w:r>
        <w:rPr>
          <w:b w:val="0"/>
          <w:i w:val="0"/>
        </w:rPr>
        <w:t>The fix-cycle benchmark is a fixed 20-scenario seeded draw (--multi-turn --sample 20 --seed 5) run against three models via offline_eval/run_cloud.sh: gemini-2.5-flash (Google API), kimi-k2-thinking and qwen3-next-80b-instruct (Vertex AI Model Garden). The judge and student simulator stay constant across cycles, so cycle-over-cycle deltas isolate engine changes. Cycle-to-cycle noise is about ±2 scenarios per model (tutor sampling is non-deterministic; the judge runs at temperature 0). Data integrity rule: a scenario marked errored is infrastructure (judge or simulator overload), never model failure — re-run those before reading a board.</w:t>
      </w:r>
    </w:p>
    <w:p>
      <w:pPr>
        <w:sectPr>
          <w:pgSz w:w="12240" w:h="15840"/>
          <w:pgMar w:top="1440" w:right="1800" w:bottom="1440" w:left="1800" w:header="720" w:footer="720" w:gutter="0"/>
          <w:cols w:space="720"/>
          <w:docGrid w:linePitch="360"/>
        </w:sectPr>
      </w:pPr>
    </w:p>
    <w:p>
      <w:pPr>
        <w:pStyle w:val="Heading1"/>
      </w:pPr>
      <w:r>
        <w:rPr>
          <w:color w:val="0E7C6B"/>
        </w:rPr>
        <w:t>5. Results — all twelve cycles (cycles as columns)</w:t>
      </w:r>
    </w:p>
    <w:p>
      <w:r>
        <w:rPr>
          <w:b w:val="0"/>
          <w:i w:val="0"/>
          <w:color w:val="55635F"/>
          <w:sz w:val="19"/>
        </w:rPr>
        <w:t>Scenarios passed out of 20 per model, with the pass rate underneath. Cells marked * carry the model's previous result forward: that model was not re-run in that cycle because the cycle's changes did not touch its code paths (gemini after C8; kimi after C9). glm-4.7 and deepseek-v3.1 were evaluated in cycles 0–2 only and then retired from the sweep as already at ceiling — the fix arc targeted the three struggling models; a dash (–) marks cycles where a model was not evaluated. The total row is the 3-model tracked board (gemini + kimi + qwen), which is what every cycle-over-cycle delta in this document refers to.</w:t>
      </w:r>
    </w:p>
    <w:tbl>
      <w:tblPr>
        <w:tblStyle w:val="LightGrid-Accent1"/>
        <w:tblW w:type="auto" w:w="0"/>
        <w:tblLook w:firstColumn="1" w:firstRow="1" w:lastColumn="0" w:lastRow="0" w:noHBand="0" w:noVBand="1" w:val="04A0"/>
      </w:tblPr>
      <w:tblGrid>
        <w:gridCol w:w="1108"/>
        <w:gridCol w:w="1108"/>
        <w:gridCol w:w="1108"/>
        <w:gridCol w:w="1108"/>
        <w:gridCol w:w="1108"/>
        <w:gridCol w:w="1108"/>
        <w:gridCol w:w="1108"/>
        <w:gridCol w:w="1108"/>
        <w:gridCol w:w="1108"/>
        <w:gridCol w:w="1108"/>
        <w:gridCol w:w="1108"/>
        <w:gridCol w:w="1108"/>
        <w:gridCol w:w="1108"/>
      </w:tblGrid>
      <w:tr>
        <w:tc>
          <w:tcPr>
            <w:tcW w:type="dxa" w:w="2160"/>
          </w:tcPr>
          <w:p>
            <w:r/>
            <w:r>
              <w:rPr>
                <w:b/>
                <w:sz w:val="17"/>
              </w:rPr>
              <w:t>Model</w:t>
            </w:r>
          </w:p>
        </w:tc>
        <w:tc>
          <w:tcPr>
            <w:tcW w:type="dxa" w:w="1037"/>
          </w:tcPr>
          <w:p>
            <w:r/>
            <w:r>
              <w:rPr>
                <w:b/>
                <w:sz w:val="17"/>
              </w:rPr>
              <w:t>C0</w:t>
              <w:br/>
              <w:t>Jul 16</w:t>
            </w:r>
          </w:p>
        </w:tc>
        <w:tc>
          <w:tcPr>
            <w:tcW w:type="dxa" w:w="1037"/>
          </w:tcPr>
          <w:p>
            <w:r/>
            <w:r>
              <w:rPr>
                <w:b/>
                <w:sz w:val="17"/>
              </w:rPr>
              <w:t>C1</w:t>
              <w:br/>
              <w:t>Jul 17</w:t>
            </w:r>
          </w:p>
        </w:tc>
        <w:tc>
          <w:tcPr>
            <w:tcW w:type="dxa" w:w="1037"/>
          </w:tcPr>
          <w:p>
            <w:r/>
            <w:r>
              <w:rPr>
                <w:b/>
                <w:sz w:val="17"/>
              </w:rPr>
              <w:t>C2</w:t>
              <w:br/>
              <w:t>Jul 17</w:t>
            </w:r>
          </w:p>
        </w:tc>
        <w:tc>
          <w:tcPr>
            <w:tcW w:type="dxa" w:w="1037"/>
          </w:tcPr>
          <w:p>
            <w:r/>
            <w:r>
              <w:rPr>
                <w:b/>
                <w:sz w:val="17"/>
              </w:rPr>
              <w:t>C3</w:t>
              <w:br/>
              <w:t>Jul 17</w:t>
            </w:r>
          </w:p>
        </w:tc>
        <w:tc>
          <w:tcPr>
            <w:tcW w:type="dxa" w:w="1037"/>
          </w:tcPr>
          <w:p>
            <w:r/>
            <w:r>
              <w:rPr>
                <w:b/>
                <w:sz w:val="17"/>
              </w:rPr>
              <w:t>C4</w:t>
              <w:br/>
              <w:t>Jul 18</w:t>
            </w:r>
          </w:p>
        </w:tc>
        <w:tc>
          <w:tcPr>
            <w:tcW w:type="dxa" w:w="1037"/>
          </w:tcPr>
          <w:p>
            <w:r/>
            <w:r>
              <w:rPr>
                <w:b/>
                <w:sz w:val="17"/>
              </w:rPr>
              <w:t>C5</w:t>
              <w:br/>
              <w:t>Jul 18</w:t>
            </w:r>
          </w:p>
        </w:tc>
        <w:tc>
          <w:tcPr>
            <w:tcW w:type="dxa" w:w="1037"/>
          </w:tcPr>
          <w:p>
            <w:r/>
            <w:r>
              <w:rPr>
                <w:b/>
                <w:sz w:val="17"/>
              </w:rPr>
              <w:t>C6</w:t>
              <w:br/>
              <w:t>Jul 18</w:t>
            </w:r>
          </w:p>
        </w:tc>
        <w:tc>
          <w:tcPr>
            <w:tcW w:type="dxa" w:w="1037"/>
          </w:tcPr>
          <w:p>
            <w:r/>
            <w:r>
              <w:rPr>
                <w:b/>
                <w:sz w:val="17"/>
              </w:rPr>
              <w:t>C7</w:t>
              <w:br/>
              <w:t>Jul 20</w:t>
            </w:r>
          </w:p>
        </w:tc>
        <w:tc>
          <w:tcPr>
            <w:tcW w:type="dxa" w:w="1037"/>
          </w:tcPr>
          <w:p>
            <w:r/>
            <w:r>
              <w:rPr>
                <w:b/>
                <w:sz w:val="17"/>
              </w:rPr>
              <w:t>C8</w:t>
              <w:br/>
              <w:t>Jul 21</w:t>
            </w:r>
          </w:p>
        </w:tc>
        <w:tc>
          <w:tcPr>
            <w:tcW w:type="dxa" w:w="1037"/>
          </w:tcPr>
          <w:p>
            <w:r/>
            <w:r>
              <w:rPr>
                <w:b/>
                <w:sz w:val="17"/>
              </w:rPr>
              <w:t>C9</w:t>
              <w:br/>
              <w:t>Jul 21</w:t>
            </w:r>
          </w:p>
        </w:tc>
        <w:tc>
          <w:tcPr>
            <w:tcW w:type="dxa" w:w="1037"/>
          </w:tcPr>
          <w:p>
            <w:r/>
            <w:r>
              <w:rPr>
                <w:b/>
                <w:sz w:val="17"/>
              </w:rPr>
              <w:t>C10</w:t>
              <w:br/>
              <w:t>Jul 21</w:t>
            </w:r>
          </w:p>
        </w:tc>
        <w:tc>
          <w:tcPr>
            <w:tcW w:type="dxa" w:w="1037"/>
          </w:tcPr>
          <w:p>
            <w:r/>
            <w:r>
              <w:rPr>
                <w:b/>
                <w:sz w:val="17"/>
              </w:rPr>
              <w:t>C11</w:t>
              <w:br/>
              <w:t>Jul 21</w:t>
            </w:r>
          </w:p>
        </w:tc>
      </w:tr>
      <w:tr>
        <w:tc>
          <w:tcPr>
            <w:tcW w:type="dxa" w:w="2160"/>
          </w:tcPr>
          <w:p>
            <w:r/>
            <w:r>
              <w:rPr>
                <w:sz w:val="17"/>
              </w:rPr>
              <w:t>gemini-2.5-flash</w:t>
            </w:r>
          </w:p>
        </w:tc>
        <w:tc>
          <w:tcPr>
            <w:tcW w:type="dxa" w:w="1037"/>
          </w:tcPr>
          <w:p>
            <w:r/>
            <w:r>
              <w:rPr>
                <w:sz w:val="17"/>
              </w:rPr>
              <w:t>7/20</w:t>
              <w:br/>
              <w:t>35%</w:t>
            </w:r>
          </w:p>
        </w:tc>
        <w:tc>
          <w:tcPr>
            <w:tcW w:type="dxa" w:w="1037"/>
          </w:tcPr>
          <w:p>
            <w:r/>
            <w:r>
              <w:rPr>
                <w:sz w:val="17"/>
              </w:rPr>
              <w:t>5/20</w:t>
              <w:br/>
              <w:t>25%</w:t>
            </w:r>
          </w:p>
        </w:tc>
        <w:tc>
          <w:tcPr>
            <w:tcW w:type="dxa" w:w="1037"/>
          </w:tcPr>
          <w:p>
            <w:r/>
            <w:r>
              <w:rPr>
                <w:sz w:val="17"/>
              </w:rPr>
              <w:t>4/20</w:t>
              <w:br/>
              <w:t>20%</w:t>
            </w:r>
          </w:p>
        </w:tc>
        <w:tc>
          <w:tcPr>
            <w:tcW w:type="dxa" w:w="1037"/>
          </w:tcPr>
          <w:p>
            <w:r/>
            <w:r>
              <w:rPr>
                <w:sz w:val="17"/>
              </w:rPr>
              <w:t>8/20</w:t>
              <w:br/>
              <w:t>40%</w:t>
            </w:r>
          </w:p>
        </w:tc>
        <w:tc>
          <w:tcPr>
            <w:tcW w:type="dxa" w:w="1037"/>
          </w:tcPr>
          <w:p>
            <w:r/>
            <w:r>
              <w:rPr>
                <w:sz w:val="17"/>
              </w:rPr>
              <w:t>5/20</w:t>
              <w:br/>
              <w:t>25%</w:t>
            </w:r>
          </w:p>
        </w:tc>
        <w:tc>
          <w:tcPr>
            <w:tcW w:type="dxa" w:w="1037"/>
          </w:tcPr>
          <w:p>
            <w:r/>
            <w:r>
              <w:rPr>
                <w:sz w:val="17"/>
              </w:rPr>
              <w:t>9/20</w:t>
              <w:br/>
              <w:t>45%</w:t>
            </w:r>
          </w:p>
        </w:tc>
        <w:tc>
          <w:tcPr>
            <w:tcW w:type="dxa" w:w="1037"/>
          </w:tcPr>
          <w:p>
            <w:r/>
            <w:r>
              <w:rPr>
                <w:sz w:val="17"/>
              </w:rPr>
              <w:t>10/20</w:t>
              <w:br/>
              <w:t>50%</w:t>
            </w:r>
          </w:p>
        </w:tc>
        <w:tc>
          <w:tcPr>
            <w:tcW w:type="dxa" w:w="1037"/>
          </w:tcPr>
          <w:p>
            <w:r/>
            <w:r>
              <w:rPr>
                <w:sz w:val="17"/>
              </w:rPr>
              <w:t>17/20</w:t>
              <w:br/>
              <w:t>85%</w:t>
            </w:r>
          </w:p>
        </w:tc>
        <w:tc>
          <w:tcPr>
            <w:tcW w:type="dxa" w:w="1037"/>
          </w:tcPr>
          <w:p>
            <w:r/>
            <w:r>
              <w:rPr>
                <w:sz w:val="17"/>
              </w:rPr>
              <w:t>18/20</w:t>
              <w:br/>
              <w:t>90%</w:t>
            </w:r>
          </w:p>
        </w:tc>
        <w:tc>
          <w:tcPr>
            <w:tcW w:type="dxa" w:w="1037"/>
          </w:tcPr>
          <w:p>
            <w:r/>
            <w:r>
              <w:rPr>
                <w:sz w:val="17"/>
              </w:rPr>
              <w:t>18/20*</w:t>
              <w:br/>
              <w:t>90%</w:t>
            </w:r>
          </w:p>
        </w:tc>
        <w:tc>
          <w:tcPr>
            <w:tcW w:type="dxa" w:w="1037"/>
          </w:tcPr>
          <w:p>
            <w:r/>
            <w:r>
              <w:rPr>
                <w:sz w:val="17"/>
              </w:rPr>
              <w:t>18/20*</w:t>
              <w:br/>
              <w:t>90%</w:t>
            </w:r>
          </w:p>
        </w:tc>
        <w:tc>
          <w:tcPr>
            <w:tcW w:type="dxa" w:w="1037"/>
          </w:tcPr>
          <w:p>
            <w:r/>
            <w:r>
              <w:rPr>
                <w:sz w:val="17"/>
              </w:rPr>
              <w:t>18/20*</w:t>
              <w:br/>
              <w:t>90%</w:t>
            </w:r>
          </w:p>
        </w:tc>
      </w:tr>
      <w:tr>
        <w:tc>
          <w:tcPr>
            <w:tcW w:type="dxa" w:w="2160"/>
          </w:tcPr>
          <w:p>
            <w:r/>
            <w:r>
              <w:rPr>
                <w:sz w:val="17"/>
              </w:rPr>
              <w:t>kimi-k2-thinking</w:t>
            </w:r>
          </w:p>
        </w:tc>
        <w:tc>
          <w:tcPr>
            <w:tcW w:type="dxa" w:w="1037"/>
          </w:tcPr>
          <w:p>
            <w:r/>
            <w:r>
              <w:rPr>
                <w:sz w:val="17"/>
              </w:rPr>
              <w:t>3/20</w:t>
              <w:br/>
              <w:t>15%</w:t>
            </w:r>
          </w:p>
        </w:tc>
        <w:tc>
          <w:tcPr>
            <w:tcW w:type="dxa" w:w="1037"/>
          </w:tcPr>
          <w:p>
            <w:r/>
            <w:r>
              <w:rPr>
                <w:sz w:val="17"/>
              </w:rPr>
              <w:t>7/20</w:t>
              <w:br/>
              <w:t>35%</w:t>
            </w:r>
          </w:p>
        </w:tc>
        <w:tc>
          <w:tcPr>
            <w:tcW w:type="dxa" w:w="1037"/>
          </w:tcPr>
          <w:p>
            <w:r/>
            <w:r>
              <w:rPr>
                <w:sz w:val="17"/>
              </w:rPr>
              <w:t>10/20</w:t>
              <w:br/>
              <w:t>50%</w:t>
            </w:r>
          </w:p>
        </w:tc>
        <w:tc>
          <w:tcPr>
            <w:tcW w:type="dxa" w:w="1037"/>
          </w:tcPr>
          <w:p>
            <w:r/>
            <w:r>
              <w:rPr>
                <w:sz w:val="17"/>
              </w:rPr>
              <w:t>12/20</w:t>
              <w:br/>
              <w:t>60%</w:t>
            </w:r>
          </w:p>
        </w:tc>
        <w:tc>
          <w:tcPr>
            <w:tcW w:type="dxa" w:w="1037"/>
          </w:tcPr>
          <w:p>
            <w:r/>
            <w:r>
              <w:rPr>
                <w:sz w:val="17"/>
              </w:rPr>
              <w:t>9/20</w:t>
              <w:br/>
              <w:t>45%</w:t>
            </w:r>
          </w:p>
        </w:tc>
        <w:tc>
          <w:tcPr>
            <w:tcW w:type="dxa" w:w="1037"/>
          </w:tcPr>
          <w:p>
            <w:r/>
            <w:r>
              <w:rPr>
                <w:sz w:val="17"/>
              </w:rPr>
              <w:t>11/20</w:t>
              <w:br/>
              <w:t>55%</w:t>
            </w:r>
          </w:p>
        </w:tc>
        <w:tc>
          <w:tcPr>
            <w:tcW w:type="dxa" w:w="1037"/>
          </w:tcPr>
          <w:p>
            <w:r/>
            <w:r>
              <w:rPr>
                <w:sz w:val="17"/>
              </w:rPr>
              <w:t>9/20</w:t>
              <w:br/>
              <w:t>45%</w:t>
            </w:r>
          </w:p>
        </w:tc>
        <w:tc>
          <w:tcPr>
            <w:tcW w:type="dxa" w:w="1037"/>
          </w:tcPr>
          <w:p>
            <w:r/>
            <w:r>
              <w:rPr>
                <w:sz w:val="17"/>
              </w:rPr>
              <w:t>13/20</w:t>
              <w:br/>
              <w:t>65%</w:t>
            </w:r>
          </w:p>
        </w:tc>
        <w:tc>
          <w:tcPr>
            <w:tcW w:type="dxa" w:w="1037"/>
          </w:tcPr>
          <w:p>
            <w:r/>
            <w:r>
              <w:rPr>
                <w:sz w:val="17"/>
              </w:rPr>
              <w:t>14/20</w:t>
              <w:br/>
              <w:t>70%</w:t>
            </w:r>
          </w:p>
        </w:tc>
        <w:tc>
          <w:tcPr>
            <w:tcW w:type="dxa" w:w="1037"/>
          </w:tcPr>
          <w:p>
            <w:r/>
            <w:r>
              <w:rPr>
                <w:sz w:val="17"/>
              </w:rPr>
              <w:t>18/20</w:t>
              <w:br/>
              <w:t>90%</w:t>
            </w:r>
          </w:p>
        </w:tc>
        <w:tc>
          <w:tcPr>
            <w:tcW w:type="dxa" w:w="1037"/>
          </w:tcPr>
          <w:p>
            <w:r/>
            <w:r>
              <w:rPr>
                <w:sz w:val="17"/>
              </w:rPr>
              <w:t>18/20*</w:t>
              <w:br/>
              <w:t>90%</w:t>
            </w:r>
          </w:p>
        </w:tc>
        <w:tc>
          <w:tcPr>
            <w:tcW w:type="dxa" w:w="1037"/>
          </w:tcPr>
          <w:p>
            <w:r/>
            <w:r>
              <w:rPr>
                <w:sz w:val="17"/>
              </w:rPr>
              <w:t>18/20*</w:t>
              <w:br/>
              <w:t>90%</w:t>
            </w:r>
          </w:p>
        </w:tc>
      </w:tr>
      <w:tr>
        <w:tc>
          <w:tcPr>
            <w:tcW w:type="dxa" w:w="2160"/>
          </w:tcPr>
          <w:p>
            <w:r/>
            <w:r>
              <w:rPr>
                <w:sz w:val="17"/>
              </w:rPr>
              <w:t>qwen3-next-80b</w:t>
            </w:r>
          </w:p>
        </w:tc>
        <w:tc>
          <w:tcPr>
            <w:tcW w:type="dxa" w:w="1037"/>
          </w:tcPr>
          <w:p>
            <w:r/>
            <w:r>
              <w:rPr>
                <w:sz w:val="17"/>
              </w:rPr>
              <w:t>7/20</w:t>
              <w:br/>
              <w:t>35%</w:t>
            </w:r>
          </w:p>
        </w:tc>
        <w:tc>
          <w:tcPr>
            <w:tcW w:type="dxa" w:w="1037"/>
          </w:tcPr>
          <w:p>
            <w:r/>
            <w:r>
              <w:rPr>
                <w:sz w:val="17"/>
              </w:rPr>
              <w:t>8/20</w:t>
              <w:br/>
              <w:t>40%</w:t>
            </w:r>
          </w:p>
        </w:tc>
        <w:tc>
          <w:tcPr>
            <w:tcW w:type="dxa" w:w="1037"/>
          </w:tcPr>
          <w:p>
            <w:r/>
            <w:r>
              <w:rPr>
                <w:sz w:val="17"/>
              </w:rPr>
              <w:t>11/20</w:t>
              <w:br/>
              <w:t>55%</w:t>
            </w:r>
          </w:p>
        </w:tc>
        <w:tc>
          <w:tcPr>
            <w:tcW w:type="dxa" w:w="1037"/>
          </w:tcPr>
          <w:p>
            <w:r/>
            <w:r>
              <w:rPr>
                <w:sz w:val="17"/>
              </w:rPr>
              <w:t>9/20</w:t>
              <w:br/>
              <w:t>45%</w:t>
            </w:r>
          </w:p>
        </w:tc>
        <w:tc>
          <w:tcPr>
            <w:tcW w:type="dxa" w:w="1037"/>
          </w:tcPr>
          <w:p>
            <w:r/>
            <w:r>
              <w:rPr>
                <w:sz w:val="17"/>
              </w:rPr>
              <w:t>8/20</w:t>
              <w:br/>
              <w:t>40%</w:t>
            </w:r>
          </w:p>
        </w:tc>
        <w:tc>
          <w:tcPr>
            <w:tcW w:type="dxa" w:w="1037"/>
          </w:tcPr>
          <w:p>
            <w:r/>
            <w:r>
              <w:rPr>
                <w:sz w:val="17"/>
              </w:rPr>
              <w:t>8/20</w:t>
              <w:br/>
              <w:t>40%</w:t>
            </w:r>
          </w:p>
        </w:tc>
        <w:tc>
          <w:tcPr>
            <w:tcW w:type="dxa" w:w="1037"/>
          </w:tcPr>
          <w:p>
            <w:r/>
            <w:r>
              <w:rPr>
                <w:sz w:val="17"/>
              </w:rPr>
              <w:t>7/20</w:t>
              <w:br/>
              <w:t>35%</w:t>
            </w:r>
          </w:p>
        </w:tc>
        <w:tc>
          <w:tcPr>
            <w:tcW w:type="dxa" w:w="1037"/>
          </w:tcPr>
          <w:p>
            <w:r/>
            <w:r>
              <w:rPr>
                <w:sz w:val="17"/>
              </w:rPr>
              <w:t>11/20</w:t>
              <w:br/>
              <w:t>55%</w:t>
            </w:r>
          </w:p>
        </w:tc>
        <w:tc>
          <w:tcPr>
            <w:tcW w:type="dxa" w:w="1037"/>
          </w:tcPr>
          <w:p>
            <w:r/>
            <w:r>
              <w:rPr>
                <w:sz w:val="17"/>
              </w:rPr>
              <w:t>15/20</w:t>
              <w:br/>
              <w:t>75%</w:t>
            </w:r>
          </w:p>
        </w:tc>
        <w:tc>
          <w:tcPr>
            <w:tcW w:type="dxa" w:w="1037"/>
          </w:tcPr>
          <w:p>
            <w:r/>
            <w:r>
              <w:rPr>
                <w:sz w:val="17"/>
              </w:rPr>
              <w:t>14/20</w:t>
              <w:br/>
              <w:t>70%</w:t>
            </w:r>
          </w:p>
        </w:tc>
        <w:tc>
          <w:tcPr>
            <w:tcW w:type="dxa" w:w="1037"/>
          </w:tcPr>
          <w:p>
            <w:r/>
            <w:r>
              <w:rPr>
                <w:sz w:val="17"/>
              </w:rPr>
              <w:t>16/20</w:t>
              <w:br/>
              <w:t>80%</w:t>
            </w:r>
          </w:p>
        </w:tc>
        <w:tc>
          <w:tcPr>
            <w:tcW w:type="dxa" w:w="1037"/>
          </w:tcPr>
          <w:p>
            <w:r/>
            <w:r>
              <w:rPr>
                <w:sz w:val="17"/>
              </w:rPr>
              <w:t>17/20</w:t>
              <w:br/>
              <w:t>85%</w:t>
            </w:r>
          </w:p>
        </w:tc>
      </w:tr>
      <w:tr>
        <w:tc>
          <w:tcPr>
            <w:tcW w:type="dxa" w:w="2160"/>
          </w:tcPr>
          <w:p>
            <w:r/>
            <w:r>
              <w:rPr>
                <w:sz w:val="17"/>
              </w:rPr>
              <w:t>glm-4.7 (retired C2, at ceiling)</w:t>
            </w:r>
          </w:p>
        </w:tc>
        <w:tc>
          <w:tcPr>
            <w:tcW w:type="dxa" w:w="1037"/>
          </w:tcPr>
          <w:p>
            <w:r/>
            <w:r>
              <w:rPr>
                <w:sz w:val="17"/>
              </w:rPr>
              <w:t>18/20</w:t>
              <w:br/>
              <w:t>90%</w:t>
            </w:r>
          </w:p>
        </w:tc>
        <w:tc>
          <w:tcPr>
            <w:tcW w:type="dxa" w:w="1037"/>
          </w:tcPr>
          <w:p>
            <w:r/>
            <w:r>
              <w:rPr>
                <w:sz w:val="17"/>
              </w:rPr>
              <w:t>15/20</w:t>
              <w:br/>
              <w:t>75%</w:t>
            </w:r>
          </w:p>
        </w:tc>
        <w:tc>
          <w:tcPr>
            <w:tcW w:type="dxa" w:w="1037"/>
          </w:tcPr>
          <w:p>
            <w:r/>
            <w:r>
              <w:rPr>
                <w:sz w:val="17"/>
              </w:rPr>
              <w:t>15/20</w:t>
              <w:br/>
              <w:t>75%</w:t>
            </w:r>
          </w:p>
        </w:tc>
        <w:tc>
          <w:tcPr>
            <w:tcW w:type="dxa" w:w="1037"/>
          </w:tcPr>
          <w:p>
            <w:r/>
            <w:r>
              <w:rPr>
                <w:sz w:val="17"/>
              </w:rPr>
              <w:t>–</w:t>
            </w:r>
          </w:p>
        </w:tc>
        <w:tc>
          <w:tcPr>
            <w:tcW w:type="dxa" w:w="1037"/>
          </w:tcPr>
          <w:p>
            <w:r/>
            <w:r>
              <w:rPr>
                <w:sz w:val="17"/>
              </w:rPr>
              <w:t>–</w:t>
            </w:r>
          </w:p>
        </w:tc>
        <w:tc>
          <w:tcPr>
            <w:tcW w:type="dxa" w:w="1037"/>
          </w:tcPr>
          <w:p>
            <w:r/>
            <w:r>
              <w:rPr>
                <w:sz w:val="17"/>
              </w:rPr>
              <w:t>–</w:t>
            </w:r>
          </w:p>
        </w:tc>
        <w:tc>
          <w:tcPr>
            <w:tcW w:type="dxa" w:w="1037"/>
          </w:tcPr>
          <w:p>
            <w:r/>
            <w:r>
              <w:rPr>
                <w:sz w:val="17"/>
              </w:rPr>
              <w:t>–</w:t>
            </w:r>
          </w:p>
        </w:tc>
        <w:tc>
          <w:tcPr>
            <w:tcW w:type="dxa" w:w="1037"/>
          </w:tcPr>
          <w:p>
            <w:r/>
            <w:r>
              <w:rPr>
                <w:sz w:val="17"/>
              </w:rPr>
              <w:t>–</w:t>
            </w:r>
          </w:p>
        </w:tc>
        <w:tc>
          <w:tcPr>
            <w:tcW w:type="dxa" w:w="1037"/>
          </w:tcPr>
          <w:p>
            <w:r/>
            <w:r>
              <w:rPr>
                <w:sz w:val="17"/>
              </w:rPr>
              <w:t>–</w:t>
            </w:r>
          </w:p>
        </w:tc>
        <w:tc>
          <w:tcPr>
            <w:tcW w:type="dxa" w:w="1037"/>
          </w:tcPr>
          <w:p>
            <w:r/>
            <w:r>
              <w:rPr>
                <w:sz w:val="17"/>
              </w:rPr>
              <w:t>–</w:t>
            </w:r>
          </w:p>
        </w:tc>
        <w:tc>
          <w:tcPr>
            <w:tcW w:type="dxa" w:w="1037"/>
          </w:tcPr>
          <w:p>
            <w:r/>
            <w:r>
              <w:rPr>
                <w:sz w:val="17"/>
              </w:rPr>
              <w:t>–</w:t>
            </w:r>
          </w:p>
        </w:tc>
        <w:tc>
          <w:tcPr>
            <w:tcW w:type="dxa" w:w="1037"/>
          </w:tcPr>
          <w:p>
            <w:r/>
            <w:r>
              <w:rPr>
                <w:sz w:val="17"/>
              </w:rPr>
              <w:t>–</w:t>
            </w:r>
          </w:p>
        </w:tc>
      </w:tr>
      <w:tr>
        <w:tc>
          <w:tcPr>
            <w:tcW w:type="dxa" w:w="2160"/>
          </w:tcPr>
          <w:p>
            <w:r/>
            <w:r>
              <w:rPr>
                <w:sz w:val="17"/>
              </w:rPr>
              <w:t>deepseek-v3.1 (retired C2, at ceiling)</w:t>
            </w:r>
          </w:p>
        </w:tc>
        <w:tc>
          <w:tcPr>
            <w:tcW w:type="dxa" w:w="1037"/>
          </w:tcPr>
          <w:p>
            <w:r/>
            <w:r>
              <w:rPr>
                <w:sz w:val="17"/>
              </w:rPr>
              <w:t>15/20</w:t>
              <w:br/>
              <w:t>75%</w:t>
            </w:r>
          </w:p>
        </w:tc>
        <w:tc>
          <w:tcPr>
            <w:tcW w:type="dxa" w:w="1037"/>
          </w:tcPr>
          <w:p>
            <w:r/>
            <w:r>
              <w:rPr>
                <w:sz w:val="17"/>
              </w:rPr>
              <w:t>15/20</w:t>
              <w:br/>
              <w:t>75%</w:t>
            </w:r>
          </w:p>
        </w:tc>
        <w:tc>
          <w:tcPr>
            <w:tcW w:type="dxa" w:w="1037"/>
          </w:tcPr>
          <w:p>
            <w:r/>
            <w:r>
              <w:rPr>
                <w:sz w:val="17"/>
              </w:rPr>
              <w:t>16/20</w:t>
              <w:br/>
              <w:t>80%</w:t>
            </w:r>
          </w:p>
        </w:tc>
        <w:tc>
          <w:tcPr>
            <w:tcW w:type="dxa" w:w="1037"/>
          </w:tcPr>
          <w:p>
            <w:r/>
            <w:r>
              <w:rPr>
                <w:sz w:val="17"/>
              </w:rPr>
              <w:t>–</w:t>
            </w:r>
          </w:p>
        </w:tc>
        <w:tc>
          <w:tcPr>
            <w:tcW w:type="dxa" w:w="1037"/>
          </w:tcPr>
          <w:p>
            <w:r/>
            <w:r>
              <w:rPr>
                <w:sz w:val="17"/>
              </w:rPr>
              <w:t>–</w:t>
            </w:r>
          </w:p>
        </w:tc>
        <w:tc>
          <w:tcPr>
            <w:tcW w:type="dxa" w:w="1037"/>
          </w:tcPr>
          <w:p>
            <w:r/>
            <w:r>
              <w:rPr>
                <w:sz w:val="17"/>
              </w:rPr>
              <w:t>–</w:t>
            </w:r>
          </w:p>
        </w:tc>
        <w:tc>
          <w:tcPr>
            <w:tcW w:type="dxa" w:w="1037"/>
          </w:tcPr>
          <w:p>
            <w:r/>
            <w:r>
              <w:rPr>
                <w:sz w:val="17"/>
              </w:rPr>
              <w:t>–</w:t>
            </w:r>
          </w:p>
        </w:tc>
        <w:tc>
          <w:tcPr>
            <w:tcW w:type="dxa" w:w="1037"/>
          </w:tcPr>
          <w:p>
            <w:r/>
            <w:r>
              <w:rPr>
                <w:sz w:val="17"/>
              </w:rPr>
              <w:t>–</w:t>
            </w:r>
          </w:p>
        </w:tc>
        <w:tc>
          <w:tcPr>
            <w:tcW w:type="dxa" w:w="1037"/>
          </w:tcPr>
          <w:p>
            <w:r/>
            <w:r>
              <w:rPr>
                <w:sz w:val="17"/>
              </w:rPr>
              <w:t>–</w:t>
            </w:r>
          </w:p>
        </w:tc>
        <w:tc>
          <w:tcPr>
            <w:tcW w:type="dxa" w:w="1037"/>
          </w:tcPr>
          <w:p>
            <w:r/>
            <w:r>
              <w:rPr>
                <w:sz w:val="17"/>
              </w:rPr>
              <w:t>–</w:t>
            </w:r>
          </w:p>
        </w:tc>
        <w:tc>
          <w:tcPr>
            <w:tcW w:type="dxa" w:w="1037"/>
          </w:tcPr>
          <w:p>
            <w:r/>
            <w:r>
              <w:rPr>
                <w:sz w:val="17"/>
              </w:rPr>
              <w:t>–</w:t>
            </w:r>
          </w:p>
        </w:tc>
        <w:tc>
          <w:tcPr>
            <w:tcW w:type="dxa" w:w="1037"/>
          </w:tcPr>
          <w:p>
            <w:r/>
            <w:r>
              <w:rPr>
                <w:sz w:val="17"/>
              </w:rPr>
              <w:t>–</w:t>
            </w:r>
          </w:p>
        </w:tc>
      </w:tr>
      <w:tr>
        <w:tc>
          <w:tcPr>
            <w:tcW w:type="dxa" w:w="2160"/>
          </w:tcPr>
          <w:p>
            <w:r/>
            <w:r>
              <w:rPr>
                <w:sz w:val="17"/>
              </w:rPr>
              <w:t>3-model total (of 60)</w:t>
            </w:r>
          </w:p>
        </w:tc>
        <w:tc>
          <w:tcPr>
            <w:tcW w:type="dxa" w:w="1037"/>
          </w:tcPr>
          <w:p>
            <w:r/>
            <w:r>
              <w:rPr>
                <w:sz w:val="17"/>
              </w:rPr>
              <w:t>17/60</w:t>
              <w:br/>
              <w:t>28%</w:t>
            </w:r>
          </w:p>
        </w:tc>
        <w:tc>
          <w:tcPr>
            <w:tcW w:type="dxa" w:w="1037"/>
          </w:tcPr>
          <w:p>
            <w:r/>
            <w:r>
              <w:rPr>
                <w:sz w:val="17"/>
              </w:rPr>
              <w:t>20/60</w:t>
              <w:br/>
              <w:t>33%</w:t>
            </w:r>
          </w:p>
        </w:tc>
        <w:tc>
          <w:tcPr>
            <w:tcW w:type="dxa" w:w="1037"/>
          </w:tcPr>
          <w:p>
            <w:r/>
            <w:r>
              <w:rPr>
                <w:sz w:val="17"/>
              </w:rPr>
              <w:t>25/60</w:t>
              <w:br/>
              <w:t>42%</w:t>
            </w:r>
          </w:p>
        </w:tc>
        <w:tc>
          <w:tcPr>
            <w:tcW w:type="dxa" w:w="1037"/>
          </w:tcPr>
          <w:p>
            <w:r/>
            <w:r>
              <w:rPr>
                <w:sz w:val="17"/>
              </w:rPr>
              <w:t>29/60</w:t>
              <w:br/>
              <w:t>48%</w:t>
            </w:r>
          </w:p>
        </w:tc>
        <w:tc>
          <w:tcPr>
            <w:tcW w:type="dxa" w:w="1037"/>
          </w:tcPr>
          <w:p>
            <w:r/>
            <w:r>
              <w:rPr>
                <w:sz w:val="17"/>
              </w:rPr>
              <w:t>22/60</w:t>
              <w:br/>
              <w:t>37%</w:t>
            </w:r>
          </w:p>
        </w:tc>
        <w:tc>
          <w:tcPr>
            <w:tcW w:type="dxa" w:w="1037"/>
          </w:tcPr>
          <w:p>
            <w:r/>
            <w:r>
              <w:rPr>
                <w:sz w:val="17"/>
              </w:rPr>
              <w:t>28/60</w:t>
              <w:br/>
              <w:t>47%</w:t>
            </w:r>
          </w:p>
        </w:tc>
        <w:tc>
          <w:tcPr>
            <w:tcW w:type="dxa" w:w="1037"/>
          </w:tcPr>
          <w:p>
            <w:r/>
            <w:r>
              <w:rPr>
                <w:sz w:val="17"/>
              </w:rPr>
              <w:t>26/60</w:t>
              <w:br/>
              <w:t>43%</w:t>
            </w:r>
          </w:p>
        </w:tc>
        <w:tc>
          <w:tcPr>
            <w:tcW w:type="dxa" w:w="1037"/>
          </w:tcPr>
          <w:p>
            <w:r/>
            <w:r>
              <w:rPr>
                <w:sz w:val="17"/>
              </w:rPr>
              <w:t>41/60</w:t>
              <w:br/>
              <w:t>68%</w:t>
            </w:r>
          </w:p>
        </w:tc>
        <w:tc>
          <w:tcPr>
            <w:tcW w:type="dxa" w:w="1037"/>
          </w:tcPr>
          <w:p>
            <w:r/>
            <w:r>
              <w:rPr>
                <w:sz w:val="17"/>
              </w:rPr>
              <w:t>47/60</w:t>
              <w:br/>
              <w:t>78%</w:t>
            </w:r>
          </w:p>
        </w:tc>
        <w:tc>
          <w:tcPr>
            <w:tcW w:type="dxa" w:w="1037"/>
          </w:tcPr>
          <w:p>
            <w:r/>
            <w:r>
              <w:rPr>
                <w:sz w:val="17"/>
              </w:rPr>
              <w:t>50/60</w:t>
              <w:br/>
              <w:t>83%</w:t>
            </w:r>
          </w:p>
        </w:tc>
        <w:tc>
          <w:tcPr>
            <w:tcW w:type="dxa" w:w="1037"/>
          </w:tcPr>
          <w:p>
            <w:r/>
            <w:r>
              <w:rPr>
                <w:sz w:val="17"/>
              </w:rPr>
              <w:t>52/60</w:t>
              <w:br/>
              <w:t>87%</w:t>
            </w:r>
          </w:p>
        </w:tc>
        <w:tc>
          <w:tcPr>
            <w:tcW w:type="dxa" w:w="1037"/>
          </w:tcPr>
          <w:p>
            <w:r/>
            <w:r>
              <w:rPr>
                <w:sz w:val="17"/>
              </w:rPr>
              <w:t>53/60</w:t>
              <w:br/>
              <w:t>88%</w:t>
            </w:r>
          </w:p>
        </w:tc>
      </w:tr>
    </w:tbl>
    <w:p>
      <w:r>
        <w:rPr>
          <w:b w:val="0"/>
          <w:i w:val="0"/>
        </w:rPr>
      </w:r>
    </w:p>
    <w:p>
      <w:r>
        <w:rPr>
          <w:b/>
          <w:i w:val="0"/>
          <w:sz w:val="19"/>
        </w:rPr>
        <w:t>What shipped in each cycle:</w:t>
      </w:r>
    </w:p>
    <w:tbl>
      <w:tblPr>
        <w:tblStyle w:val="LightGrid-Accent1"/>
        <w:tblW w:type="auto" w:w="0"/>
        <w:tblLook w:firstColumn="1" w:firstRow="1" w:lastColumn="0" w:lastRow="0" w:noHBand="0" w:noVBand="1" w:val="04A0"/>
      </w:tblPr>
      <w:tblGrid>
        <w:gridCol w:w="4800"/>
        <w:gridCol w:w="4800"/>
        <w:gridCol w:w="4800"/>
      </w:tblGrid>
      <w:tr>
        <w:tc>
          <w:tcPr>
            <w:tcW w:type="dxa" w:w="1152"/>
          </w:tcPr>
          <w:p>
            <w:r/>
            <w:r>
              <w:rPr>
                <w:b/>
                <w:sz w:val="17"/>
              </w:rPr>
              <w:t>Cycle</w:t>
            </w:r>
          </w:p>
        </w:tc>
        <w:tc>
          <w:tcPr>
            <w:tcW w:type="dxa" w:w="6048"/>
          </w:tcPr>
          <w:p>
            <w:r/>
            <w:r>
              <w:rPr>
                <w:b/>
                <w:sz w:val="17"/>
              </w:rPr>
              <w:t>Change shipped</w:t>
            </w:r>
          </w:p>
        </w:tc>
        <w:tc>
          <w:tcPr>
            <w:tcW w:type="dxa" w:w="6048"/>
          </w:tcPr>
          <w:p>
            <w:r/>
            <w:r>
              <w:rPr>
                <w:b/>
                <w:sz w:val="17"/>
              </w:rPr>
              <w:t>Outcome / lesson</w:t>
            </w:r>
          </w:p>
        </w:tc>
      </w:tr>
      <w:tr>
        <w:tc>
          <w:tcPr>
            <w:tcW w:type="dxa" w:w="1152"/>
          </w:tcPr>
          <w:p>
            <w:r/>
            <w:r>
              <w:rPr>
                <w:sz w:val="17"/>
              </w:rPr>
              <w:t>C0</w:t>
            </w:r>
          </w:p>
        </w:tc>
        <w:tc>
          <w:tcPr>
            <w:tcW w:type="dxa" w:w="6048"/>
          </w:tcPr>
          <w:p>
            <w:r/>
            <w:r>
              <w:rPr>
                <w:sz w:val="17"/>
              </w:rPr>
              <w:t>Baseline</w:t>
            </w:r>
          </w:p>
        </w:tc>
        <w:tc>
          <w:tcPr>
            <w:tcW w:type="dxa" w:w="6048"/>
          </w:tcPr>
          <w:p>
            <w:r/>
            <w:r>
              <w:rPr>
                <w:sz w:val="17"/>
              </w:rPr>
              <w:t>17/60. Deadlocks and timeouts dominate.</w:t>
            </w:r>
          </w:p>
        </w:tc>
      </w:tr>
      <w:tr>
        <w:tc>
          <w:tcPr>
            <w:tcW w:type="dxa" w:w="1152"/>
          </w:tcPr>
          <w:p>
            <w:r/>
            <w:r>
              <w:rPr>
                <w:sz w:val="17"/>
              </w:rPr>
              <w:t>C1</w:t>
            </w:r>
          </w:p>
        </w:tc>
        <w:tc>
          <w:tcPr>
            <w:tcW w:type="dxa" w:w="6048"/>
          </w:tcPr>
          <w:p>
            <w:r/>
            <w:r>
              <w:rPr>
                <w:sz w:val="17"/>
              </w:rPr>
              <w:t>Turn budgets raised (step+8); transient-error retry in the LLM clients</w:t>
            </w:r>
          </w:p>
        </w:tc>
        <w:tc>
          <w:tcPr>
            <w:tcW w:type="dxa" w:w="6048"/>
          </w:tcPr>
          <w:p>
            <w:r/>
            <w:r>
              <w:rPr>
                <w:sz w:val="17"/>
              </w:rPr>
              <w:t>Deadlocks 15→0, but pass rate flat: rate-limit deadlocks became timeouts.</w:t>
            </w:r>
          </w:p>
        </w:tc>
      </w:tr>
      <w:tr>
        <w:tc>
          <w:tcPr>
            <w:tcW w:type="dxa" w:w="1152"/>
          </w:tcPr>
          <w:p>
            <w:r/>
            <w:r>
              <w:rPr>
                <w:sz w:val="17"/>
              </w:rPr>
              <w:t>C2</w:t>
            </w:r>
          </w:p>
        </w:tc>
        <w:tc>
          <w:tcPr>
            <w:tcW w:type="dxa" w:w="6048"/>
          </w:tcPr>
          <w:p>
            <w:r/>
            <w:r>
              <w:rPr>
                <w:sz w:val="17"/>
              </w:rPr>
              <w:t>Persona-aware turn budgets (struggling ×3, average ×2); judge/simulator retry</w:t>
            </w:r>
          </w:p>
        </w:tc>
        <w:tc>
          <w:tcPr>
            <w:tcW w:type="dxa" w:w="6048"/>
          </w:tcPr>
          <w:p>
            <w:r/>
            <w:r>
              <w:rPr>
                <w:sz w:val="17"/>
              </w:rPr>
              <w:t>+5. Remaining failures become model-specific.</w:t>
            </w:r>
          </w:p>
        </w:tc>
      </w:tr>
      <w:tr>
        <w:tc>
          <w:tcPr>
            <w:tcW w:type="dxa" w:w="1152"/>
          </w:tcPr>
          <w:p>
            <w:r/>
            <w:r>
              <w:rPr>
                <w:sz w:val="17"/>
              </w:rPr>
              <w:t>C3</w:t>
            </w:r>
          </w:p>
        </w:tc>
        <w:tc>
          <w:tcPr>
            <w:tcW w:type="dxa" w:w="6048"/>
          </w:tcPr>
          <w:p>
            <w:r/>
            <w:r>
              <w:rPr>
                <w:sz w:val="17"/>
              </w:rPr>
              <w:t>Anti-desync guard: block posing over an unanswered question</w:t>
            </w:r>
          </w:p>
        </w:tc>
        <w:tc>
          <w:tcPr>
            <w:tcW w:type="dxa" w:w="6048"/>
          </w:tcPr>
          <w:p>
            <w:r/>
            <w:r>
              <w:rPr>
                <w:sz w:val="17"/>
              </w:rPr>
              <w:t>+4 (gemini orphaned poses 161→23), but the ungated guard created new "idk" deadlocks.</w:t>
            </w:r>
          </w:p>
        </w:tc>
      </w:tr>
      <w:tr>
        <w:tc>
          <w:tcPr>
            <w:tcW w:type="dxa" w:w="1152"/>
          </w:tcPr>
          <w:p>
            <w:r/>
            <w:r>
              <w:rPr>
                <w:sz w:val="17"/>
              </w:rPr>
              <w:t>C4</w:t>
            </w:r>
          </w:p>
        </w:tc>
        <w:tc>
          <w:tcPr>
            <w:tcW w:type="dxa" w:w="6048"/>
          </w:tcPr>
          <w:p>
            <w:r/>
            <w:r>
              <w:rPr>
                <w:sz w:val="17"/>
              </w:rPr>
              <w:t>Intent-gated anti-desync (pivot allowed on non-engagement)</w:t>
            </w:r>
          </w:p>
        </w:tc>
        <w:tc>
          <w:tcPr>
            <w:tcW w:type="dxa" w:w="6048"/>
          </w:tcPr>
          <w:p>
            <w:r/>
            <w:r>
              <w:rPr>
                <w:sz w:val="17"/>
              </w:rPr>
              <w:t>Dip to 22 — gemini flakiness; the gate itself was right and stayed.</w:t>
            </w:r>
          </w:p>
        </w:tc>
      </w:tr>
      <w:tr>
        <w:tc>
          <w:tcPr>
            <w:tcW w:type="dxa" w:w="1152"/>
          </w:tcPr>
          <w:p>
            <w:r/>
            <w:r>
              <w:rPr>
                <w:sz w:val="17"/>
              </w:rPr>
              <w:t>C5</w:t>
            </w:r>
          </w:p>
        </w:tc>
        <w:tc>
          <w:tcPr>
            <w:tcW w:type="dxa" w:w="6048"/>
          </w:tcPr>
          <w:p>
            <w:r/>
            <w:r>
              <w:rPr>
                <w:sz w:val="17"/>
              </w:rPr>
              <w:t>Per-family prompt variants (kimi lean/thinking, gemini anti-spiral, qwen brevity)</w:t>
            </w:r>
          </w:p>
        </w:tc>
        <w:tc>
          <w:tcPr>
            <w:tcW w:type="dxa" w:w="6048"/>
          </w:tcPr>
          <w:p>
            <w:r/>
            <w:r>
              <w:rPr>
                <w:sz w:val="17"/>
              </w:rPr>
              <w:t>+6. Targeted rubric items moved; error-localization stayed flat.</w:t>
            </w:r>
          </w:p>
        </w:tc>
      </w:tr>
      <w:tr>
        <w:tc>
          <w:tcPr>
            <w:tcW w:type="dxa" w:w="1152"/>
          </w:tcPr>
          <w:p>
            <w:r/>
            <w:r>
              <w:rPr>
                <w:sz w:val="17"/>
              </w:rPr>
              <w:t>C6</w:t>
            </w:r>
          </w:p>
        </w:tc>
        <w:tc>
          <w:tcPr>
            <w:tcW w:type="dxa" w:w="6048"/>
          </w:tcPr>
          <w:p>
            <w:r/>
            <w:r>
              <w:rPr>
                <w:sz w:val="17"/>
              </w:rPr>
              <w:t>Anti-repetition guard; MCQ-fabrication fix (short_numeric enabled)</w:t>
            </w:r>
          </w:p>
        </w:tc>
        <w:tc>
          <w:tcPr>
            <w:tcW w:type="dxa" w:w="6048"/>
          </w:tcPr>
          <w:p>
            <w:r/>
            <w:r>
              <w:rPr>
                <w:sz w:val="17"/>
              </w:rPr>
              <w:t>26/60. The 2026-07-18 bottleneck analysis of this cycle found the prose/slot question desync as the dominant failure.</w:t>
            </w:r>
          </w:p>
        </w:tc>
      </w:tr>
      <w:tr>
        <w:tc>
          <w:tcPr>
            <w:tcW w:type="dxa" w:w="1152"/>
          </w:tcPr>
          <w:p>
            <w:r/>
            <w:r>
              <w:rPr>
                <w:sz w:val="17"/>
              </w:rPr>
              <w:t>C7</w:t>
            </w:r>
          </w:p>
        </w:tc>
        <w:tc>
          <w:tcPr>
            <w:tcW w:type="dxa" w:w="6048"/>
          </w:tcPr>
          <w:p>
            <w:r/>
            <w:r>
              <w:rPr>
                <w:sz w:val="17"/>
              </w:rPr>
              <w:t>Slot rendering + divergence strip; pose-after-correct; vocabulary scrub; repeat-reject; slot-aware placeholder; fixture repairs (float noise, 12 re-authored MCQs)</w:t>
            </w:r>
          </w:p>
        </w:tc>
        <w:tc>
          <w:tcPr>
            <w:tcW w:type="dxa" w:w="6048"/>
          </w:tcPr>
          <w:p>
            <w:r/>
            <w:r>
              <w:rPr>
                <w:sz w:val="17"/>
              </w:rPr>
              <w:t>+15 — the largest single-cycle gain. "Logically consistent" rubric failures 26→9.</w:t>
            </w:r>
          </w:p>
        </w:tc>
      </w:tr>
      <w:tr>
        <w:tc>
          <w:tcPr>
            <w:tcW w:type="dxa" w:w="1152"/>
          </w:tcPr>
          <w:p>
            <w:r/>
            <w:r>
              <w:rPr>
                <w:sz w:val="17"/>
              </w:rPr>
              <w:t>C8 / C8b</w:t>
            </w:r>
          </w:p>
        </w:tc>
        <w:tc>
          <w:tcPr>
            <w:tcW w:type="dxa" w:w="6048"/>
          </w:tcPr>
          <w:p>
            <w:r/>
            <w:r>
              <w:rPr>
                <w:sz w:val="17"/>
              </w:rPr>
              <w:t>Semantic dispatch order; MCQ value→letter grading; pose validation → SALVAGE; pivot guidance; tool-JSON scrub</w:t>
            </w:r>
          </w:p>
        </w:tc>
        <w:tc>
          <w:tcPr>
            <w:tcW w:type="dxa" w:w="6048"/>
          </w:tcPr>
          <w:p>
            <w:r/>
            <w:r>
              <w:rPr>
                <w:sz w:val="17"/>
              </w:rPr>
              <w:t>First legs collapsed for kimi/qwen (~90 pose rejections each became deadlocks) — the salvage re-legs recovered to 47/60. Lesson: guards for weak models must repair, not reject.</w:t>
            </w:r>
          </w:p>
        </w:tc>
      </w:tr>
      <w:tr>
        <w:tc>
          <w:tcPr>
            <w:tcW w:type="dxa" w:w="1152"/>
          </w:tcPr>
          <w:p>
            <w:r/>
            <w:r>
              <w:rPr>
                <w:sz w:val="17"/>
              </w:rPr>
              <w:t>C9</w:t>
            </w:r>
          </w:p>
        </w:tc>
        <w:tc>
          <w:tcPr>
            <w:tcW w:type="dxa" w:w="6048"/>
          </w:tcPr>
          <w:p>
            <w:r/>
            <w:r>
              <w:rPr>
                <w:sz w:val="17"/>
              </w:rPr>
              <w:t>Catalog letter coherence (correct text is the authority); rotation rule scoped to authored questions; auto-pose fallback</w:t>
            </w:r>
          </w:p>
        </w:tc>
        <w:tc>
          <w:tcPr>
            <w:tcW w:type="dxa" w:w="6048"/>
          </w:tcPr>
          <w:p>
            <w:r/>
            <w:r>
              <w:rPr>
                <w:sz w:val="17"/>
              </w:rPr>
              <w:t>kimi 14→18 with zero logical-consistency failures; 50/60.</w:t>
            </w:r>
          </w:p>
        </w:tc>
      </w:tr>
      <w:tr>
        <w:tc>
          <w:tcPr>
            <w:tcW w:type="dxa" w:w="1152"/>
          </w:tcPr>
          <w:p>
            <w:r/>
            <w:r>
              <w:rPr>
                <w:sz w:val="17"/>
              </w:rPr>
              <w:t>C10</w:t>
            </w:r>
          </w:p>
        </w:tc>
        <w:tc>
          <w:tcPr>
            <w:tcW w:type="dxa" w:w="6048"/>
          </w:tcPr>
          <w:p>
            <w:r/>
            <w:r>
              <w:rPr>
                <w:sz w:val="17"/>
              </w:rPr>
              <w:t>Qwen prompt-variant iteration (spent micro-steps, precision acceptance, answered-question-finished, hint-without-reveal example, number sanity, opener variety)</w:t>
            </w:r>
          </w:p>
        </w:tc>
        <w:tc>
          <w:tcPr>
            <w:tcW w:type="dxa" w:w="6048"/>
          </w:tcPr>
          <w:p>
            <w:r/>
            <w:r>
              <w:rPr>
                <w:sz w:val="17"/>
              </w:rPr>
              <w:t>qwen 14→16, average session 13.4→10.5 turns; 52/60.</w:t>
            </w:r>
          </w:p>
        </w:tc>
      </w:tr>
      <w:tr>
        <w:tc>
          <w:tcPr>
            <w:tcW w:type="dxa" w:w="1152"/>
          </w:tcPr>
          <w:p>
            <w:r/>
            <w:r>
              <w:rPr>
                <w:sz w:val="17"/>
              </w:rPr>
              <w:t>C11</w:t>
            </w:r>
          </w:p>
        </w:tc>
        <w:tc>
          <w:tcPr>
            <w:tcW w:type="dxa" w:w="6048"/>
          </w:tcPr>
          <w:p>
            <w:r/>
            <w:r>
              <w:rPr>
                <w:sz w:val="17"/>
              </w:rPr>
              <w:t>Fixture probability-template fix (5 → 5/9) + two lint rules; dataset consistency: 9 pre-cycle-2 budgets aligned to the steps×3 formula, 12 censoring sim-caps raised</w:t>
            </w:r>
          </w:p>
        </w:tc>
        <w:tc>
          <w:tcPr>
            <w:tcW w:type="dxa" w:w="6048"/>
          </w:tcPr>
          <w:p>
            <w:r/>
            <w:r>
              <w:rPr>
                <w:sz w:val="17"/>
              </w:rPr>
              <w:t>qwen 16→17; 53/60. Honest decomposition: under the old budgets the score would be 16 — but the content fix removed the last deadlock and two scenarios now pass at or below their OLD budgets.</w:t>
            </w:r>
          </w:p>
        </w:tc>
      </w:tr>
    </w:tbl>
    <w:p>
      <w:pPr>
        <w:sectPr>
          <w:pgSz w:w="15840" w:h="12240" w:orient="landscape"/>
          <w:pgMar w:top="1440" w:right="720" w:bottom="1440" w:left="720" w:header="720" w:footer="720" w:gutter="0"/>
          <w:cols w:space="720"/>
          <w:docGrid w:linePitch="360"/>
        </w:sectPr>
      </w:pPr>
    </w:p>
    <w:p>
      <w:pPr>
        <w:pStyle w:val="Heading1"/>
      </w:pPr>
      <w:r>
        <w:rPr>
          <w:color w:val="0E7C6B"/>
        </w:rPr>
        <w:t>6. The diagnosis method (why this worked)</w:t>
      </w:r>
    </w:p>
    <w:p>
      <w:r>
        <w:rPr>
          <w:b w:val="0"/>
          <w:i w:val="0"/>
        </w:rPr>
        <w:t>Every cycle followed the same loop: read the failing transcripts (not just the scores), name the mechanical failure class, fix it at the most deterministic layer available (engine code over prompt text over model choice), write the failing test first, smoke-test the exact scenario that exposed the failure, then re-run the identical benchmark. Three findings from this arc generalise:</w:t>
      </w:r>
    </w:p>
    <w:p>
      <w:pPr>
        <w:pStyle w:val="ListBullet"/>
      </w:pPr>
      <w:r>
        <w:t>Identical failure signatures across unrelated model families point at the engine protocol, not the models. The cycle-6 analysis found the same two rubric items dominating gemini, kimi, and qwen — the fix (server-side question rendering) lifted all three at once.</w:t>
      </w:r>
    </w:p>
    <w:p>
      <w:pPr>
        <w:pStyle w:val="ListBullet"/>
      </w:pPr>
      <w:r>
        <w:t>Guards must salvage, not reject, when the counterparty cannot self-correct. Strict pose validation was correct in principle and catastrophic in practice for models that ignore corrective errors; converting malformed poses into the nearest valid slot recovered them fully.</w:t>
      </w:r>
    </w:p>
    <w:p>
      <w:pPr>
        <w:pStyle w:val="ListBullet"/>
      </w:pPr>
      <w:r>
        <w:t>When sessions become pedagogically clean, remaining failures migrate into the measuring stick — stale turn budgets and broken catalog content. Content lint rules and budget-formula consistency are as much a part of engine quality as the engine code.</w:t>
      </w:r>
    </w:p>
    <w:p>
      <w:pPr>
        <w:pStyle w:val="Heading1"/>
      </w:pPr>
      <w:r>
        <w:rPr>
          <w:color w:val="0E7C6B"/>
        </w:rPr>
        <w:t>7. Open items for the incoming owner, in priority order</w:t>
      </w:r>
    </w:p>
    <w:p>
      <w:pPr>
        <w:pStyle w:val="ListBullet"/>
      </w:pPr>
      <w:r>
        <w:t>Ratio-1.5 budget band: 10-step struggling-persona scenarios with 15-turn budgets (e.g. engagement_recovery_non_responder_1144_07, now rubric-perfect at 23 turns, still failing on budget). Deciding whether this band moves to the documented steps×3 formula is a policy call — it flips scores, so it was deliberately left for the owner.</w:t>
      </w:r>
    </w:p>
    <w:p>
      <w:pPr>
        <w:pStyle w:val="ListBullet"/>
      </w:pPr>
      <w:r>
        <w:t>straight_line_average_1145_16: the one genuine rubric-quality residue (4 low items) — next prompt/judge iteration target.</w:t>
      </w:r>
    </w:p>
    <w:p>
      <w:pPr>
        <w:pStyle w:val="ListBullet"/>
      </w:pPr>
      <w:r>
        <w:t>Production content backfill: the float-noise and dropped-denominator template bugs are fixed at the generator, but production DB content generated before the fixes may carry the same artifacts the eval fixtures did.</w:t>
      </w:r>
    </w:p>
    <w:p>
      <w:pPr>
        <w:pStyle w:val="ListBullet"/>
      </w:pPr>
      <w:r>
        <w:t>The flat rubric ceiling (error-localization ~0.49, mistake-recognition ~0.51) has not moved through prompt tuning; the grader's justification is now surfaced in the Call-2 verdict block — feeding it into hint text is the obvious next lever.</w:t>
      </w:r>
    </w:p>
    <w:p>
      <w:pPr>
        <w:pStyle w:val="ListBullet"/>
      </w:pPr>
      <w:r>
        <w:t>Specialist judges under apps/tutoring/judges/ are deprecated pending unified-judge parity data; do not build on them.</w:t>
      </w:r>
    </w:p>
    <w:p>
      <w:pPr>
        <w:pStyle w:val="ListBullet"/>
      </w:pPr>
      <w:r>
        <w:t>Last-step gap: pose-after-correct is skipped on the lesson's final step (to avoid colliding with the exit-ticket handoff), so prose/slot desync remains possible there. Bounded, but real.</w:t>
      </w:r>
    </w:p>
    <w:p>
      <w:pPr>
        <w:pStyle w:val="Heading1"/>
      </w:pPr>
      <w:r>
        <w:rPr>
          <w:color w:val="0E7C6B"/>
        </w:rPr>
        <w:t>8. Runbook</w:t>
      </w:r>
    </w:p>
    <w:p>
      <w:r>
        <w:rPr>
          <w:b/>
          <w:i w:val="0"/>
          <w:sz w:val="19"/>
        </w:rPr>
        <w:t>Engine unit tests (491, all green at handover):</w:t>
      </w:r>
    </w:p>
    <w:p>
      <w:r>
        <w:rPr>
          <w:b w:val="0"/>
          <w:i w:val="0"/>
          <w:sz w:val="18"/>
        </w:rPr>
        <w:t>./venv/bin/python manage.py test apps.tutoring.simple_tutor</w:t>
      </w:r>
    </w:p>
    <w:p>
      <w:r>
        <w:rPr>
          <w:b/>
          <w:i w:val="0"/>
          <w:sz w:val="19"/>
        </w:rPr>
        <w:t>Dataset + fixture lint:</w:t>
      </w:r>
    </w:p>
    <w:p>
      <w:r>
        <w:rPr>
          <w:b w:val="0"/>
          <w:i w:val="0"/>
          <w:sz w:val="18"/>
        </w:rPr>
        <w:t>./venv/bin/pytest evals/test_dataset_balance.py</w:t>
      </w:r>
    </w:p>
    <w:p>
      <w:r>
        <w:rPr>
          <w:b/>
          <w:i w:val="0"/>
          <w:sz w:val="19"/>
        </w:rPr>
        <w:t>One scenario against one model (fixtures must be loaded first):</w:t>
      </w:r>
    </w:p>
    <w:p>
      <w:r>
        <w:rPr>
          <w:b w:val="0"/>
          <w:i w:val="0"/>
          <w:sz w:val="18"/>
        </w:rPr>
        <w:t>./venv/bin/python manage.py loaddata evals/fixtures/institution.json evals/fixtures/lessons.json</w:t>
      </w:r>
    </w:p>
    <w:p>
      <w:r>
        <w:rPr>
          <w:b w:val="0"/>
          <w:i w:val="0"/>
          <w:sz w:val="18"/>
        </w:rPr>
        <w:t>GOOGLE_CLOUD_LOCATION=global TUTOR_MODEL_OVERRIDE="vertex_model_garden/qwen/qwen3-next-80b-a3b-instruct-maas" ./venv/bin/python manage.py run_eval --scenario &lt;scenario_id&gt;</w:t>
      </w:r>
    </w:p>
    <w:p>
      <w:r>
        <w:rPr>
          <w:b/>
          <w:i w:val="0"/>
          <w:sz w:val="19"/>
        </w:rPr>
        <w:t>The 3-model fixcheck sweep (~4–5 h):</w:t>
      </w:r>
    </w:p>
    <w:p>
      <w:r>
        <w:rPr>
          <w:b w:val="0"/>
          <w:i w:val="0"/>
          <w:sz w:val="18"/>
        </w:rPr>
        <w:t>RESULTS_DIR="$PWD/offline_eval/multi_turn_results/fixcheck/cycle12_&lt;name&gt;" CLOUD_MODELS_FILE="$PWD/offline_eval/cloud_models_3.txt" MODE="--multi-turn --sample 20 --seed 5" bash offline_eval/run_cloud.sh</w:t>
      </w:r>
    </w:p>
    <w:p>
      <w:r>
        <w:rPr>
          <w:b w:val="0"/>
          <w:i w:val="0"/>
          <w:sz w:val="19"/>
        </w:rPr>
        <w:t>Vertex authentication uses the gitignored isolated gcloud configuration (.env carries CLOUDSDK_CONFIG). Sweep cost: gemini and qwen ≈ 45 minutes each, kimi ≈ 2.5–4 hours (thinking model plus rate-limit backoff).</w:t>
      </w:r>
    </w:p>
    <w:p>
      <w:pPr>
        <w:pStyle w:val="Heading1"/>
      </w:pPr>
      <w:r>
        <w:rPr>
          <w:color w:val="0E7C6B"/>
        </w:rPr>
        <w:t>9. Source documents</w:t>
      </w:r>
    </w:p>
    <w:p>
      <w:pPr>
        <w:pStyle w:val="ListBullet"/>
      </w:pPr>
      <w:r>
        <w:t>evals/reports/engine_handover_2026-07-20.md — full written handover (this document's primary source).</w:t>
      </w:r>
    </w:p>
    <w:p>
      <w:pPr>
        <w:pStyle w:val="ListBullet"/>
      </w:pPr>
      <w:r>
        <w:t>evals/reports/multi_turn_bottlenecks_2026-07-18.md — the cycle-6 bottleneck analysis that opened the fix arc.</w:t>
      </w:r>
    </w:p>
    <w:p>
      <w:pPr>
        <w:pStyle w:val="ListBullet"/>
      </w:pPr>
      <w:r>
        <w:t>offline_eval/multi_turn_results/fixcheck/_cycle_log.md — per-cycle change log, cycles 1–11.</w:t>
      </w:r>
    </w:p>
    <w:p>
      <w:pPr>
        <w:pStyle w:val="ListBullet"/>
      </w:pPr>
      <w:r>
        <w:t>offline_eval/multi_turn_results/fixcheck/&lt;cycle dirs&gt; — raw run JSONs and logs for every cycle.</w:t>
      </w:r>
    </w:p>
    <w:p>
      <w:pPr>
        <w:pStyle w:val="ListBullet"/>
      </w:pPr>
      <w:r>
        <w:t>Interactive briefing (charts, private link): https://claude.ai/code/artifact/a6ffba6c-d092-4634-8910-c0c1f58dcf27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