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Calibri" w:hAnsi="Calibri"/>
          <w:b/>
          <w:caps/>
          <w:color w:val="E8590C"/>
          <w:sz w:val="22"/>
        </w:rPr>
        <w:t>AI TUTOR</w:t>
      </w:r>
    </w:p>
    <w:p>
      <w:pPr>
        <w:spacing w:after="80"/>
        <w:pBdr>
          <w:bottom w:val="single" w:sz="18" w:space="10" w:color="E8590C"/>
        </w:pBdr>
      </w:pPr>
      <w:r>
        <w:rPr>
          <w:rFonts w:ascii="Calibri" w:hAnsi="Calibri"/>
          <w:b/>
          <w:color w:val="1F2933"/>
          <w:sz w:val="60"/>
        </w:rPr>
        <w:t>Adopting the AI Tutor in a</w:t>
        <w:br/>
        <w:t>National Education System</w:t>
      </w:r>
    </w:p>
    <w:p>
      <w:pPr>
        <w:spacing w:before="200" w:after="600"/>
      </w:pPr>
      <w:r>
        <w:rPr>
          <w:rFonts w:ascii="Calibri" w:hAnsi="Calibri"/>
          <w:color w:val="626F7D"/>
          <w:sz w:val="26"/>
        </w:rPr>
        <w:t>A playbook for ministries of education and their technical teams — what a country actually adapts, what it must decide, what it costs, and how to get a first cohort teaching.</w:t>
      </w:r>
    </w:p>
    <w:p>
      <w:pPr>
        <w:spacing w:after="140"/>
      </w:pPr>
      <w:r>
        <w:rPr>
          <w:rFonts w:ascii="Calibri" w:hAnsi="Calibri"/>
          <w:b w:val="0"/>
          <w:i w:val="0"/>
          <w:color w:val="1F2933"/>
          <w:sz w:val="21"/>
        </w:rPr>
        <w:t>This document is written from a platform that has already done this twice. The AI Tutor is in production with the Seychelles Ministry of Education, and a second-country adaptation — into another language and another education structure — is in preparation. Everything below is drawn from what that second adaptation actually required, not from what a multi-country platform is supposed to require in principle.</w:t>
      </w:r>
    </w:p>
    <w:p>
      <w:pPr>
        <w:spacing w:after="280"/>
      </w:pP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9411"/>
            <w:gridSpan w:val="2"/>
            <w:shd w:val="clear" w:fill="1F2933"/>
          </w:tcPr>
          <w:p>
            <w:pPr>
              <w:spacing w:after="40" w:before="40"/>
            </w:pPr>
            <w:r/>
            <w:r>
              <w:rPr>
                <w:rFonts w:ascii="Calibri" w:hAnsi="Calibri"/>
                <w:b/>
                <w:i w:val="0"/>
                <w:color w:val="FFFFFF"/>
                <w:sz w:val="19"/>
              </w:rPr>
              <w:t>Document control</w:t>
            </w:r>
          </w:p>
        </w:tc>
      </w:tr>
      <w:tr>
        <w:trPr>
          <w:cantSplit/>
        </w:trPr>
        <w:tc>
          <w:tcPr>
            <w:tcW w:type="dxa" w:w="2041"/>
          </w:tcPr>
          <w:p>
            <w:pPr>
              <w:spacing w:after="40" w:before="40"/>
            </w:pPr>
            <w:r/>
            <w:r>
              <w:rPr>
                <w:rFonts w:ascii="Calibri" w:hAnsi="Calibri"/>
                <w:b w:val="0"/>
                <w:i w:val="0"/>
                <w:color w:val="1F2933"/>
                <w:sz w:val="19"/>
              </w:rPr>
              <w:t>Version</w:t>
            </w:r>
          </w:p>
        </w:tc>
        <w:tc>
          <w:tcPr>
            <w:tcW w:type="dxa" w:w="7370"/>
          </w:tcPr>
          <w:p>
            <w:pPr>
              <w:spacing w:after="40" w:before="40"/>
            </w:pPr>
            <w:r/>
            <w:r>
              <w:rPr>
                <w:rFonts w:ascii="Calibri" w:hAnsi="Calibri"/>
                <w:b w:val="0"/>
                <w:i w:val="0"/>
                <w:color w:val="1F2933"/>
                <w:sz w:val="19"/>
              </w:rPr>
              <w:t>1.0</w:t>
            </w:r>
          </w:p>
        </w:tc>
      </w:tr>
      <w:tr>
        <w:trPr>
          <w:cantSplit/>
        </w:trPr>
        <w:tc>
          <w:tcPr>
            <w:tcW w:type="dxa" w:w="2041"/>
            <w:shd w:val="clear" w:fill="F4F6F8"/>
          </w:tcPr>
          <w:p>
            <w:pPr>
              <w:spacing w:after="40" w:before="40"/>
            </w:pPr>
            <w:r/>
            <w:r>
              <w:rPr>
                <w:rFonts w:ascii="Calibri" w:hAnsi="Calibri"/>
                <w:b w:val="0"/>
                <w:i w:val="0"/>
                <w:color w:val="1F2933"/>
                <w:sz w:val="19"/>
              </w:rPr>
              <w:t>Date</w:t>
            </w:r>
          </w:p>
        </w:tc>
        <w:tc>
          <w:tcPr>
            <w:tcW w:type="dxa" w:w="7370"/>
            <w:shd w:val="clear" w:fill="F4F6F8"/>
          </w:tcPr>
          <w:p>
            <w:pPr>
              <w:spacing w:after="40" w:before="40"/>
            </w:pPr>
            <w:r/>
            <w:r>
              <w:rPr>
                <w:rFonts w:ascii="Calibri" w:hAnsi="Calibri"/>
                <w:b w:val="0"/>
                <w:i w:val="0"/>
                <w:color w:val="1F2933"/>
                <w:sz w:val="19"/>
              </w:rPr>
              <w:t>31 August 2026</w:t>
            </w:r>
          </w:p>
        </w:tc>
      </w:tr>
      <w:tr>
        <w:trPr>
          <w:cantSplit/>
        </w:trPr>
        <w:tc>
          <w:tcPr>
            <w:tcW w:type="dxa" w:w="2041"/>
          </w:tcPr>
          <w:p>
            <w:pPr>
              <w:spacing w:after="40" w:before="40"/>
            </w:pPr>
            <w:r/>
            <w:r>
              <w:rPr>
                <w:rFonts w:ascii="Calibri" w:hAnsi="Calibri"/>
                <w:b w:val="0"/>
                <w:i w:val="0"/>
                <w:color w:val="1F2933"/>
                <w:sz w:val="19"/>
              </w:rPr>
              <w:t>Audience</w:t>
            </w:r>
          </w:p>
        </w:tc>
        <w:tc>
          <w:tcPr>
            <w:tcW w:type="dxa" w:w="7370"/>
          </w:tcPr>
          <w:p>
            <w:pPr>
              <w:spacing w:after="40" w:before="40"/>
            </w:pPr>
            <w:r/>
            <w:r>
              <w:rPr>
                <w:rFonts w:ascii="Calibri" w:hAnsi="Calibri"/>
                <w:b w:val="0"/>
                <w:i w:val="0"/>
                <w:color w:val="1F2933"/>
                <w:sz w:val="19"/>
              </w:rPr>
              <w:t>Ministry of education decision-makers (Part I) and their technical implementation teams (Part II)</w:t>
            </w:r>
          </w:p>
        </w:tc>
      </w:tr>
      <w:tr>
        <w:trPr>
          <w:cantSplit/>
        </w:trPr>
        <w:tc>
          <w:tcPr>
            <w:tcW w:type="dxa" w:w="2041"/>
            <w:shd w:val="clear" w:fill="F4F6F8"/>
          </w:tcPr>
          <w:p>
            <w:pPr>
              <w:spacing w:after="40" w:before="40"/>
            </w:pPr>
            <w:r/>
            <w:r>
              <w:rPr>
                <w:rFonts w:ascii="Calibri" w:hAnsi="Calibri"/>
                <w:b w:val="0"/>
                <w:i w:val="0"/>
                <w:color w:val="1F2933"/>
                <w:sz w:val="19"/>
              </w:rPr>
              <w:t>Status</w:t>
            </w:r>
          </w:p>
        </w:tc>
        <w:tc>
          <w:tcPr>
            <w:tcW w:type="dxa" w:w="7370"/>
            <w:shd w:val="clear" w:fill="F4F6F8"/>
          </w:tcPr>
          <w:p>
            <w:pPr>
              <w:spacing w:after="40" w:before="40"/>
            </w:pPr>
            <w:r/>
            <w:r>
              <w:rPr>
                <w:rFonts w:ascii="Calibri" w:hAnsi="Calibri"/>
                <w:b w:val="0"/>
                <w:i w:val="0"/>
                <w:color w:val="1F2933"/>
                <w:sz w:val="19"/>
              </w:rPr>
              <w:t>For discussion — not a commercial offer or a quotation</w:t>
            </w:r>
          </w:p>
        </w:tc>
      </w:tr>
      <w:tr>
        <w:trPr>
          <w:cantSplit/>
        </w:trPr>
        <w:tc>
          <w:tcPr>
            <w:tcW w:type="dxa" w:w="2041"/>
          </w:tcPr>
          <w:p>
            <w:pPr>
              <w:spacing w:after="40" w:before="40"/>
            </w:pPr>
            <w:r/>
            <w:r>
              <w:rPr>
                <w:rFonts w:ascii="Calibri" w:hAnsi="Calibri"/>
                <w:b w:val="0"/>
                <w:i w:val="0"/>
                <w:color w:val="1F2933"/>
                <w:sz w:val="19"/>
              </w:rPr>
              <w:t>Evidence base</w:t>
            </w:r>
          </w:p>
        </w:tc>
        <w:tc>
          <w:tcPr>
            <w:tcW w:type="dxa" w:w="7370"/>
          </w:tcPr>
          <w:p>
            <w:pPr>
              <w:spacing w:after="40" w:before="40"/>
            </w:pPr>
            <w:r/>
            <w:r>
              <w:rPr>
                <w:rFonts w:ascii="Calibri" w:hAnsi="Calibri"/>
                <w:b w:val="0"/>
                <w:i w:val="0"/>
                <w:color w:val="1F2933"/>
                <w:sz w:val="19"/>
              </w:rPr>
              <w:t>Seychelles national pilot (live, secondary geography and mathematics); a second-locale adaptation in preparation; platform source and evaluation harnesses as at August 2026</w:t>
            </w:r>
          </w:p>
        </w:tc>
      </w:tr>
      <w:tr>
        <w:trPr>
          <w:cantSplit/>
        </w:trPr>
        <w:tc>
          <w:tcPr>
            <w:tcW w:type="dxa" w:w="2041"/>
            <w:shd w:val="clear" w:fill="F4F6F8"/>
          </w:tcPr>
          <w:p>
            <w:pPr>
              <w:spacing w:after="40" w:before="40"/>
            </w:pPr>
            <w:r/>
            <w:r>
              <w:rPr>
                <w:rFonts w:ascii="Calibri" w:hAnsi="Calibri"/>
                <w:b w:val="0"/>
                <w:i w:val="0"/>
                <w:color w:val="1F2933"/>
                <w:sz w:val="19"/>
              </w:rPr>
              <w:t>Costs</w:t>
            </w:r>
          </w:p>
        </w:tc>
        <w:tc>
          <w:tcPr>
            <w:tcW w:type="dxa" w:w="7370"/>
            <w:shd w:val="clear" w:fill="F4F6F8"/>
          </w:tcPr>
          <w:p>
            <w:pPr>
              <w:spacing w:after="40" w:before="40"/>
            </w:pPr>
            <w:r/>
            <w:r>
              <w:rPr>
                <w:rFonts w:ascii="Calibri" w:hAnsi="Calibri"/>
                <w:b w:val="0"/>
                <w:i w:val="0"/>
                <w:color w:val="1F2933"/>
                <w:sz w:val="19"/>
              </w:rPr>
              <w:t>Observed pilot figures, given as planning inputs. They are not prices and must be re-derived for each country.</w:t>
            </w:r>
          </w:p>
        </w:tc>
      </w:tr>
    </w:tbl>
    <w:p>
      <w:pPr>
        <w:spacing w:after="40"/>
      </w:pPr>
    </w:p>
    <w:p>
      <w:r>
        <w:br w:type="page"/>
      </w:r>
    </w:p>
    <w:p>
      <w:pPr>
        <w:pStyle w:val="Heading1"/>
        <w:pBdr>
          <w:bottom w:val="single" w:sz="12" w:space="6" w:color="E8590C"/>
        </w:pBdr>
      </w:pPr>
      <w:r>
        <w:t>Contents</w:t>
      </w:r>
    </w:p>
    <w:p>
      <w:pPr>
        <w:spacing w:after="140"/>
      </w:pPr>
      <w:r>
        <w:rPr>
          <w:rFonts w:ascii="Calibri" w:hAnsi="Calibri"/>
          <w:b/>
          <w:i w:val="0"/>
          <w:color w:val="1F2933"/>
          <w:sz w:val="21"/>
        </w:rPr>
        <w:t>Part I — The decision.</w:t>
      </w:r>
      <w:r>
        <w:rPr>
          <w:rFonts w:ascii="Calibri" w:hAnsi="Calibri"/>
          <w:b w:val="0"/>
          <w:i w:val="0"/>
          <w:color w:val="1F2933"/>
          <w:sz w:val="21"/>
        </w:rPr>
        <w:t xml:space="preserve"> For ministry officials, programme leads and advisors. No technical knowledge assumed.</w:t>
      </w:r>
    </w:p>
    <w:p>
      <w:pPr>
        <w:pStyle w:val="ListBullet"/>
        <w:spacing w:after="60"/>
      </w:pPr>
      <w:r>
        <w:rPr>
          <w:rFonts w:ascii="Calibri" w:hAnsi="Calibri"/>
          <w:b w:val="0"/>
          <w:i w:val="0"/>
          <w:color w:val="1F2933"/>
          <w:sz w:val="21"/>
        </w:rPr>
        <w:t>1.  Executive summary</w:t>
      </w:r>
    </w:p>
    <w:p>
      <w:pPr>
        <w:pStyle w:val="ListBullet"/>
        <w:spacing w:after="60"/>
      </w:pPr>
      <w:r>
        <w:rPr>
          <w:rFonts w:ascii="Calibri" w:hAnsi="Calibri"/>
          <w:b w:val="0"/>
          <w:i w:val="0"/>
          <w:color w:val="1F2933"/>
          <w:sz w:val="21"/>
        </w:rPr>
        <w:t>2.  What is actually being adopted</w:t>
      </w:r>
    </w:p>
    <w:p>
      <w:pPr>
        <w:pStyle w:val="ListBullet"/>
        <w:spacing w:after="60"/>
      </w:pPr>
      <w:r>
        <w:rPr>
          <w:rFonts w:ascii="Calibri" w:hAnsi="Calibri"/>
          <w:b w:val="0"/>
          <w:i w:val="0"/>
          <w:color w:val="1F2933"/>
          <w:sz w:val="21"/>
        </w:rPr>
        <w:t>3.  The five layers of adaptation</w:t>
      </w:r>
    </w:p>
    <w:p>
      <w:pPr>
        <w:pStyle w:val="ListBullet"/>
        <w:spacing w:after="60"/>
      </w:pPr>
      <w:r>
        <w:rPr>
          <w:rFonts w:ascii="Calibri" w:hAnsi="Calibri"/>
          <w:b w:val="0"/>
          <w:i w:val="0"/>
          <w:color w:val="1F2933"/>
          <w:sz w:val="21"/>
        </w:rPr>
        <w:t>4.  Four models of adoption</w:t>
      </w:r>
    </w:p>
    <w:p>
      <w:pPr>
        <w:pStyle w:val="ListBullet"/>
        <w:spacing w:after="60"/>
      </w:pPr>
      <w:r>
        <w:rPr>
          <w:rFonts w:ascii="Calibri" w:hAnsi="Calibri"/>
          <w:b w:val="0"/>
          <w:i w:val="0"/>
          <w:color w:val="1F2933"/>
          <w:sz w:val="21"/>
        </w:rPr>
        <w:t>5.  Data sovereignty: the honest account</w:t>
      </w:r>
    </w:p>
    <w:p>
      <w:pPr>
        <w:pStyle w:val="ListBullet"/>
        <w:spacing w:after="60"/>
      </w:pPr>
      <w:r>
        <w:rPr>
          <w:rFonts w:ascii="Calibri" w:hAnsi="Calibri"/>
          <w:b w:val="0"/>
          <w:i w:val="0"/>
          <w:color w:val="1F2933"/>
          <w:sz w:val="21"/>
        </w:rPr>
        <w:t>6.  What it costs, and what drives the cost</w:t>
      </w:r>
    </w:p>
    <w:p>
      <w:pPr>
        <w:pStyle w:val="ListBullet"/>
        <w:spacing w:after="60"/>
      </w:pPr>
      <w:r>
        <w:rPr>
          <w:rFonts w:ascii="Calibri" w:hAnsi="Calibri"/>
          <w:b w:val="0"/>
          <w:i w:val="0"/>
          <w:color w:val="1F2933"/>
          <w:sz w:val="21"/>
        </w:rPr>
        <w:t>7.  Cost sharing and sustainability</w:t>
      </w:r>
    </w:p>
    <w:p>
      <w:pPr>
        <w:pStyle w:val="ListBullet"/>
        <w:spacing w:after="60"/>
      </w:pPr>
      <w:r>
        <w:rPr>
          <w:rFonts w:ascii="Calibri" w:hAnsi="Calibri"/>
          <w:b w:val="0"/>
          <w:i w:val="0"/>
          <w:color w:val="1F2933"/>
          <w:sz w:val="21"/>
        </w:rPr>
        <w:t>8.  Evidence, evaluation and quality assurance</w:t>
      </w:r>
    </w:p>
    <w:p>
      <w:pPr>
        <w:pStyle w:val="ListBullet"/>
        <w:spacing w:after="60"/>
      </w:pPr>
      <w:r>
        <w:rPr>
          <w:rFonts w:ascii="Calibri" w:hAnsi="Calibri"/>
          <w:b w:val="0"/>
          <w:i w:val="0"/>
          <w:color w:val="1F2933"/>
          <w:sz w:val="21"/>
        </w:rPr>
        <w:t>9.  A phased adoption roadmap</w:t>
      </w:r>
    </w:p>
    <w:p>
      <w:pPr>
        <w:pStyle w:val="ListBullet"/>
        <w:spacing w:after="60"/>
      </w:pPr>
      <w:r>
        <w:rPr>
          <w:rFonts w:ascii="Calibri" w:hAnsi="Calibri"/>
          <w:b w:val="0"/>
          <w:i w:val="0"/>
          <w:color w:val="1F2933"/>
          <w:sz w:val="21"/>
        </w:rPr>
        <w:t>10. Teacher training and support</w:t>
      </w:r>
    </w:p>
    <w:p>
      <w:pPr>
        <w:pStyle w:val="ListBullet"/>
        <w:spacing w:after="60"/>
      </w:pPr>
      <w:r>
        <w:rPr>
          <w:rFonts w:ascii="Calibri" w:hAnsi="Calibri"/>
          <w:b w:val="0"/>
          <w:i w:val="0"/>
          <w:color w:val="1F2933"/>
          <w:sz w:val="21"/>
        </w:rPr>
        <w:t>11. Governance and what the country must provide</w:t>
      </w:r>
    </w:p>
    <w:p>
      <w:pPr>
        <w:pStyle w:val="ListBullet"/>
        <w:spacing w:after="60"/>
      </w:pPr>
      <w:r>
        <w:rPr>
          <w:rFonts w:ascii="Calibri" w:hAnsi="Calibri"/>
          <w:b w:val="0"/>
          <w:i w:val="0"/>
          <w:color w:val="1F2933"/>
          <w:sz w:val="21"/>
        </w:rPr>
        <w:t>12. Risks and how they are managed</w:t>
      </w:r>
    </w:p>
    <w:p>
      <w:pPr>
        <w:spacing w:after="140"/>
      </w:pPr>
      <w:r>
        <w:rPr>
          <w:rFonts w:ascii="Calibri" w:hAnsi="Calibri"/>
          <w:b/>
          <w:i w:val="0"/>
          <w:color w:val="1F2933"/>
          <w:sz w:val="21"/>
        </w:rPr>
        <w:t>Part II — The implementation.</w:t>
      </w:r>
      <w:r>
        <w:rPr>
          <w:rFonts w:ascii="Calibri" w:hAnsi="Calibri"/>
          <w:b w:val="0"/>
          <w:i w:val="0"/>
          <w:color w:val="1F2933"/>
          <w:sz w:val="21"/>
        </w:rPr>
        <w:t xml:space="preserve"> For the technical team that will stand up and run a national instance.</w:t>
      </w:r>
    </w:p>
    <w:p>
      <w:pPr>
        <w:pStyle w:val="ListBullet"/>
        <w:spacing w:after="60"/>
      </w:pPr>
      <w:r>
        <w:rPr>
          <w:rFonts w:ascii="Calibri" w:hAnsi="Calibri"/>
          <w:b w:val="0"/>
          <w:i w:val="0"/>
          <w:color w:val="1F2933"/>
          <w:sz w:val="21"/>
        </w:rPr>
        <w:t>A.  Country onboarding checklist</w:t>
      </w:r>
    </w:p>
    <w:p>
      <w:pPr>
        <w:pStyle w:val="ListBullet"/>
        <w:spacing w:after="60"/>
      </w:pPr>
      <w:r>
        <w:rPr>
          <w:rFonts w:ascii="Calibri" w:hAnsi="Calibri"/>
          <w:b w:val="0"/>
          <w:i w:val="0"/>
          <w:color w:val="1F2933"/>
          <w:sz w:val="21"/>
        </w:rPr>
        <w:t>B.  Language and locale adaptation</w:t>
      </w:r>
    </w:p>
    <w:p>
      <w:pPr>
        <w:pStyle w:val="ListBullet"/>
        <w:spacing w:after="60"/>
      </w:pPr>
      <w:r>
        <w:rPr>
          <w:rFonts w:ascii="Calibri" w:hAnsi="Calibri"/>
          <w:b w:val="0"/>
          <w:i w:val="0"/>
          <w:color w:val="1F2933"/>
          <w:sz w:val="21"/>
        </w:rPr>
        <w:t>C.  Curriculum ingestion and the content pipeline</w:t>
      </w:r>
    </w:p>
    <w:p>
      <w:pPr>
        <w:pStyle w:val="ListBullet"/>
        <w:spacing w:after="60"/>
      </w:pPr>
      <w:r>
        <w:rPr>
          <w:rFonts w:ascii="Calibri" w:hAnsi="Calibri"/>
          <w:b w:val="0"/>
          <w:i w:val="0"/>
          <w:color w:val="1F2933"/>
          <w:sz w:val="21"/>
        </w:rPr>
        <w:t>D.  National structures: grades, schools, terminology, thresholds</w:t>
      </w:r>
    </w:p>
    <w:p>
      <w:pPr>
        <w:pStyle w:val="ListBullet"/>
        <w:spacing w:after="60"/>
      </w:pPr>
      <w:r>
        <w:rPr>
          <w:rFonts w:ascii="Calibri" w:hAnsi="Calibri"/>
          <w:b w:val="0"/>
          <w:i w:val="0"/>
          <w:color w:val="1F2933"/>
          <w:sz w:val="21"/>
        </w:rPr>
        <w:t>E.  Hosting the platform</w:t>
      </w:r>
    </w:p>
    <w:p>
      <w:pPr>
        <w:pStyle w:val="ListBullet"/>
        <w:spacing w:after="60"/>
      </w:pPr>
      <w:r>
        <w:rPr>
          <w:rFonts w:ascii="Calibri" w:hAnsi="Calibri"/>
          <w:b w:val="0"/>
          <w:i w:val="0"/>
          <w:color w:val="1F2933"/>
          <w:sz w:val="21"/>
        </w:rPr>
        <w:t>F.  Quality gates before a cohort</w:t>
      </w:r>
    </w:p>
    <w:p>
      <w:pPr>
        <w:pStyle w:val="ListBullet"/>
        <w:spacing w:after="60"/>
      </w:pPr>
      <w:r>
        <w:rPr>
          <w:rFonts w:ascii="Calibri" w:hAnsi="Calibri"/>
          <w:b w:val="0"/>
          <w:i w:val="0"/>
          <w:color w:val="1F2933"/>
          <w:sz w:val="21"/>
        </w:rPr>
        <w:t>G.  Operating the platform</w:t>
      </w:r>
    </w:p>
    <w:p>
      <w:pPr>
        <w:pStyle w:val="ListBullet"/>
        <w:spacing w:after="60"/>
      </w:pPr>
      <w:r>
        <w:rPr>
          <w:rFonts w:ascii="Calibri" w:hAnsi="Calibri"/>
          <w:b w:val="0"/>
          <w:i w:val="0"/>
          <w:color w:val="1F2933"/>
          <w:sz w:val="21"/>
        </w:rPr>
        <w:t>H.  Integration surface</w:t>
      </w:r>
    </w:p>
    <w:p>
      <w:pPr>
        <w:spacing w:after="140"/>
      </w:pPr>
      <w:r>
        <w:rPr>
          <w:rFonts w:ascii="Calibri" w:hAnsi="Calibri"/>
          <w:b/>
          <w:i w:val="0"/>
          <w:color w:val="1F2933"/>
          <w:sz w:val="21"/>
        </w:rPr>
        <w:t>Appendices.</w:t>
      </w:r>
    </w:p>
    <w:p>
      <w:pPr>
        <w:pStyle w:val="ListBullet"/>
        <w:spacing w:after="60"/>
      </w:pPr>
      <w:r>
        <w:rPr>
          <w:rFonts w:ascii="Calibri" w:hAnsi="Calibri"/>
          <w:b w:val="0"/>
          <w:i w:val="0"/>
          <w:color w:val="1F2933"/>
          <w:sz w:val="21"/>
        </w:rPr>
        <w:t>Appendix 1 — Case study: what a second-country adaptation actually changed</w:t>
      </w:r>
    </w:p>
    <w:p>
      <w:pPr>
        <w:pStyle w:val="ListBullet"/>
        <w:spacing w:after="60"/>
      </w:pPr>
      <w:r>
        <w:rPr>
          <w:rFonts w:ascii="Calibri" w:hAnsi="Calibri"/>
          <w:b w:val="0"/>
          <w:i w:val="0"/>
          <w:color w:val="1F2933"/>
          <w:sz w:val="21"/>
        </w:rPr>
        <w:t>Appendix 2 — Questions to answer before Phase 1</w:t>
      </w:r>
    </w:p>
    <w:p>
      <w:pPr>
        <w:pStyle w:val="ListBullet"/>
        <w:spacing w:after="60"/>
      </w:pPr>
      <w:r>
        <w:rPr>
          <w:rFonts w:ascii="Calibri" w:hAnsi="Calibri"/>
          <w:b w:val="0"/>
          <w:i w:val="0"/>
          <w:color w:val="1F2933"/>
          <w:sz w:val="21"/>
        </w:rPr>
        <w:t>Appendix 3 — Glossary</w:t>
      </w:r>
    </w:p>
    <w:p>
      <w:r>
        <w:br w:type="page"/>
      </w:r>
    </w:p>
    <w:p>
      <w:pPr>
        <w:spacing w:after="40"/>
      </w:pPr>
      <w:r>
        <w:rPr>
          <w:rFonts w:ascii="Calibri" w:hAnsi="Calibri"/>
          <w:b/>
          <w:color w:val="E8590C"/>
          <w:sz w:val="20"/>
        </w:rPr>
        <w:t>PART I</w:t>
      </w:r>
    </w:p>
    <w:p>
      <w:pPr>
        <w:spacing w:after="320"/>
        <w:pBdr>
          <w:bottom w:val="single" w:sz="12" w:space="8" w:color="E8590C"/>
        </w:pBdr>
      </w:pPr>
      <w:r>
        <w:rPr>
          <w:rFonts w:ascii="Calibri" w:hAnsi="Calibri"/>
          <w:b/>
          <w:color w:val="1F2933"/>
          <w:sz w:val="44"/>
        </w:rPr>
        <w:t>The decision</w:t>
      </w:r>
    </w:p>
    <w:p>
      <w:pPr>
        <w:pStyle w:val="Heading1"/>
        <w:pBdr>
          <w:bottom w:val="single" w:sz="12" w:space="6" w:color="E8590C"/>
        </w:pBdr>
      </w:pPr>
      <w:r>
        <w:t>1.  Executive summary</w:t>
      </w:r>
    </w:p>
    <w:p>
      <w:pPr>
        <w:spacing w:after="140"/>
      </w:pPr>
      <w:r>
        <w:rPr>
          <w:rFonts w:ascii="Calibri" w:hAnsi="Calibri"/>
          <w:b w:val="0"/>
          <w:i w:val="0"/>
          <w:color w:val="1F2933"/>
          <w:sz w:val="21"/>
        </w:rPr>
        <w:t>The AI Tutor gives a secondary-school student a one-to-one conversational tutor that follows their national syllabus, and gives their teacher a dashboard showing who is stuck and on what. It is a Django web platform: a student works through a lesson in chat, the tutor asks and marks and adapts, and an exit ticket at the end records whether the lesson was learned.</w:t>
      </w:r>
    </w:p>
    <w:p>
      <w:pPr>
        <w:spacing w:after="140"/>
      </w:pPr>
      <w:r>
        <w:rPr>
          <w:rFonts w:ascii="Calibri" w:hAnsi="Calibri"/>
          <w:b/>
          <w:i w:val="0"/>
          <w:color w:val="1F2933"/>
          <w:sz w:val="21"/>
        </w:rPr>
        <w:t>The central claim of this document is that adopting it in a new country is a configuration-and-content exercise, not a rewrite.</w:t>
      </w:r>
      <w:r>
        <w:rPr>
          <w:rFonts w:ascii="Calibri" w:hAnsi="Calibri"/>
          <w:b w:val="0"/>
          <w:i w:val="0"/>
          <w:color w:val="1F2933"/>
          <w:sz w:val="21"/>
        </w:rPr>
        <w:t xml:space="preserve"> The platform was built multi-tenant and multi-locale from the beginning: content, users and configuration are scoped to an institution, and the tutor's language, register, examples, grade names, school list and competency thresholds are all data or small pluggable code entries rather than assumptions baked into the engine. Adding a country to the tutor engine is one locale profile entry plus one language rule; no database schema changes.</w:t>
      </w:r>
    </w:p>
    <w:p>
      <w:pPr>
        <w:spacing w:after="140"/>
      </w:pPr>
      <w:r>
        <w:rPr>
          <w:rFonts w:ascii="Calibri" w:hAnsi="Calibri"/>
          <w:b w:val="0"/>
          <w:i w:val="0"/>
          <w:color w:val="1F2933"/>
          <w:sz w:val="21"/>
        </w:rPr>
        <w:t xml:space="preserve">What is genuinely hard is not the software. It is three things: </w:t>
      </w:r>
      <w:r>
        <w:rPr>
          <w:rFonts w:ascii="Calibri" w:hAnsi="Calibri"/>
          <w:b/>
          <w:i w:val="0"/>
          <w:color w:val="1F2933"/>
          <w:sz w:val="21"/>
        </w:rPr>
        <w:t>getting the national syllabus in and reviewed by subject experts</w:t>
      </w:r>
      <w:r>
        <w:rPr>
          <w:rFonts w:ascii="Calibri" w:hAnsi="Calibri"/>
          <w:b w:val="0"/>
          <w:i w:val="0"/>
          <w:color w:val="1F2933"/>
          <w:sz w:val="21"/>
        </w:rPr>
        <w:t xml:space="preserve">, </w:t>
      </w:r>
      <w:r>
        <w:rPr>
          <w:rFonts w:ascii="Calibri" w:hAnsi="Calibri"/>
          <w:b/>
          <w:i w:val="0"/>
          <w:color w:val="1F2933"/>
          <w:sz w:val="21"/>
        </w:rPr>
        <w:t>deciding where the language model runs</w:t>
      </w:r>
      <w:r>
        <w:rPr>
          <w:rFonts w:ascii="Calibri" w:hAnsi="Calibri"/>
          <w:b w:val="0"/>
          <w:i w:val="0"/>
          <w:color w:val="1F2933"/>
          <w:sz w:val="21"/>
        </w:rPr>
        <w:t xml:space="preserve">, and </w:t>
      </w:r>
      <w:r>
        <w:rPr>
          <w:rFonts w:ascii="Calibri" w:hAnsi="Calibri"/>
          <w:b/>
          <w:i w:val="0"/>
          <w:color w:val="1F2933"/>
          <w:sz w:val="21"/>
        </w:rPr>
        <w:t>teacher adoption</w:t>
      </w:r>
      <w:r>
        <w:rPr>
          <w:rFonts w:ascii="Calibri" w:hAnsi="Calibri"/>
          <w:b w:val="0"/>
          <w:i w:val="0"/>
          <w:color w:val="1F2933"/>
          <w:sz w:val="21"/>
        </w:rPr>
        <w:t>. This document is organised around those.</w:t>
      </w:r>
    </w:p>
    <w:p>
      <w:pPr>
        <w:pStyle w:val="Heading2"/>
      </w:pPr>
      <w:r>
        <w:t>The five things a country adapts</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2353"/>
        <w:gridCol w:w="2353"/>
        <w:gridCol w:w="2353"/>
        <w:gridCol w:w="2353"/>
      </w:tblGrid>
      <w:tr>
        <w:trPr>
          <w:tblHeader w:val="true"/>
          <w:cantSplit/>
        </w:trPr>
        <w:tc>
          <w:tcPr>
            <w:tcW w:type="dxa" w:w="1871"/>
            <w:shd w:val="clear" w:fill="1F2933"/>
          </w:tcPr>
          <w:p>
            <w:pPr>
              <w:spacing w:after="40" w:before="40"/>
            </w:pPr>
            <w:r/>
            <w:r>
              <w:rPr>
                <w:rFonts w:ascii="Calibri" w:hAnsi="Calibri"/>
                <w:b/>
                <w:i w:val="0"/>
                <w:color w:val="FFFFFF"/>
                <w:sz w:val="18"/>
              </w:rPr>
              <w:t>Layer</w:t>
            </w:r>
          </w:p>
        </w:tc>
        <w:tc>
          <w:tcPr>
            <w:tcW w:type="dxa" w:w="3402"/>
            <w:shd w:val="clear" w:fill="1F2933"/>
          </w:tcPr>
          <w:p>
            <w:pPr>
              <w:spacing w:after="40" w:before="40"/>
            </w:pPr>
            <w:r/>
            <w:r>
              <w:rPr>
                <w:rFonts w:ascii="Calibri" w:hAnsi="Calibri"/>
                <w:b/>
                <w:i w:val="0"/>
                <w:color w:val="FFFFFF"/>
                <w:sz w:val="18"/>
              </w:rPr>
              <w:t>What changes</w:t>
            </w:r>
          </w:p>
        </w:tc>
        <w:tc>
          <w:tcPr>
            <w:tcW w:type="dxa" w:w="1928"/>
            <w:shd w:val="clear" w:fill="1F2933"/>
          </w:tcPr>
          <w:p>
            <w:pPr>
              <w:spacing w:after="40" w:before="40"/>
            </w:pPr>
            <w:r/>
            <w:r>
              <w:rPr>
                <w:rFonts w:ascii="Calibri" w:hAnsi="Calibri"/>
                <w:b/>
                <w:i w:val="0"/>
                <w:color w:val="FFFFFF"/>
                <w:sz w:val="18"/>
              </w:rPr>
              <w:t>Owned by</w:t>
            </w:r>
          </w:p>
        </w:tc>
        <w:tc>
          <w:tcPr>
            <w:tcW w:type="dxa" w:w="2211"/>
            <w:shd w:val="clear" w:fill="1F2933"/>
          </w:tcPr>
          <w:p>
            <w:pPr>
              <w:spacing w:after="40" w:before="40"/>
            </w:pPr>
            <w:r/>
            <w:r>
              <w:rPr>
                <w:rFonts w:ascii="Calibri" w:hAnsi="Calibri"/>
                <w:b/>
                <w:i w:val="0"/>
                <w:color w:val="FFFFFF"/>
                <w:sz w:val="18"/>
              </w:rPr>
              <w:t>Typical effort</w:t>
            </w:r>
          </w:p>
        </w:tc>
      </w:tr>
      <w:tr>
        <w:trPr>
          <w:cantSplit/>
        </w:trPr>
        <w:tc>
          <w:tcPr>
            <w:tcW w:type="dxa" w:w="1871"/>
          </w:tcPr>
          <w:p>
            <w:pPr>
              <w:spacing w:after="40" w:before="40"/>
            </w:pPr>
            <w:r/>
            <w:r>
              <w:rPr>
                <w:rFonts w:ascii="Calibri" w:hAnsi="Calibri"/>
                <w:b w:val="0"/>
                <w:i w:val="0"/>
                <w:color w:val="1F2933"/>
                <w:sz w:val="18"/>
              </w:rPr>
              <w:t>1. Language and register</w:t>
            </w:r>
          </w:p>
        </w:tc>
        <w:tc>
          <w:tcPr>
            <w:tcW w:type="dxa" w:w="3402"/>
          </w:tcPr>
          <w:p>
            <w:pPr>
              <w:spacing w:after="40" w:before="40"/>
            </w:pPr>
            <w:r/>
            <w:r>
              <w:rPr>
                <w:rFonts w:ascii="Calibri" w:hAnsi="Calibri"/>
                <w:b w:val="0"/>
                <w:i w:val="0"/>
                <w:color w:val="1F2933"/>
                <w:sz w:val="18"/>
              </w:rPr>
              <w:t>Tutor and interface language, how students are addressed, orthography, technical vocabulary</w:t>
            </w:r>
          </w:p>
        </w:tc>
        <w:tc>
          <w:tcPr>
            <w:tcW w:type="dxa" w:w="1928"/>
          </w:tcPr>
          <w:p>
            <w:pPr>
              <w:spacing w:after="40" w:before="40"/>
            </w:pPr>
            <w:r/>
            <w:r>
              <w:rPr>
                <w:rFonts w:ascii="Calibri" w:hAnsi="Calibri"/>
                <w:b w:val="0"/>
                <w:i w:val="0"/>
                <w:color w:val="1F2933"/>
                <w:sz w:val="18"/>
              </w:rPr>
              <w:t>Platform team + language reviewer</w:t>
            </w:r>
          </w:p>
        </w:tc>
        <w:tc>
          <w:tcPr>
            <w:tcW w:type="dxa" w:w="2211"/>
          </w:tcPr>
          <w:p>
            <w:pPr>
              <w:spacing w:after="40" w:before="40"/>
            </w:pPr>
            <w:r/>
            <w:r>
              <w:rPr>
                <w:rFonts w:ascii="Calibri" w:hAnsi="Calibri"/>
                <w:b w:val="0"/>
                <w:i w:val="0"/>
                <w:color w:val="1F2933"/>
                <w:sz w:val="18"/>
              </w:rPr>
              <w:t>Days of engineering, weeks of review</w:t>
            </w:r>
          </w:p>
        </w:tc>
      </w:tr>
      <w:tr>
        <w:trPr>
          <w:cantSplit/>
        </w:trPr>
        <w:tc>
          <w:tcPr>
            <w:tcW w:type="dxa" w:w="1871"/>
            <w:shd w:val="clear" w:fill="F4F6F8"/>
          </w:tcPr>
          <w:p>
            <w:pPr>
              <w:spacing w:after="40" w:before="40"/>
            </w:pPr>
            <w:r/>
            <w:r>
              <w:rPr>
                <w:rFonts w:ascii="Calibri" w:hAnsi="Calibri"/>
                <w:b w:val="0"/>
                <w:i w:val="0"/>
                <w:color w:val="1F2933"/>
                <w:sz w:val="18"/>
              </w:rPr>
              <w:t>2. Curriculum</w:t>
            </w:r>
          </w:p>
        </w:tc>
        <w:tc>
          <w:tcPr>
            <w:tcW w:type="dxa" w:w="3402"/>
            <w:shd w:val="clear" w:fill="F4F6F8"/>
          </w:tcPr>
          <w:p>
            <w:pPr>
              <w:spacing w:after="40" w:before="40"/>
            </w:pPr>
            <w:r/>
            <w:r>
              <w:rPr>
                <w:rFonts w:ascii="Calibri" w:hAnsi="Calibri"/>
                <w:b w:val="0"/>
                <w:i w:val="0"/>
                <w:color w:val="1F2933"/>
                <w:sz w:val="18"/>
              </w:rPr>
              <w:t>National syllabus → courses, units, lessons, steps, figures, exit tickets, skill graph</w:t>
            </w:r>
          </w:p>
        </w:tc>
        <w:tc>
          <w:tcPr>
            <w:tcW w:type="dxa" w:w="1928"/>
            <w:shd w:val="clear" w:fill="F4F6F8"/>
          </w:tcPr>
          <w:p>
            <w:pPr>
              <w:spacing w:after="40" w:before="40"/>
            </w:pPr>
            <w:r/>
            <w:r>
              <w:rPr>
                <w:rFonts w:ascii="Calibri" w:hAnsi="Calibri"/>
                <w:b w:val="0"/>
                <w:i w:val="0"/>
                <w:color w:val="1F2933"/>
                <w:sz w:val="18"/>
              </w:rPr>
              <w:t>Curriculum authority</w:t>
            </w:r>
          </w:p>
        </w:tc>
        <w:tc>
          <w:tcPr>
            <w:tcW w:type="dxa" w:w="2211"/>
            <w:shd w:val="clear" w:fill="F4F6F8"/>
          </w:tcPr>
          <w:p>
            <w:pPr>
              <w:spacing w:after="40" w:before="40"/>
            </w:pPr>
            <w:r/>
            <w:r>
              <w:rPr>
                <w:rFonts w:ascii="Calibri" w:hAnsi="Calibri"/>
                <w:b w:val="0"/>
                <w:i w:val="0"/>
                <w:color w:val="1F2933"/>
                <w:sz w:val="18"/>
              </w:rPr>
              <w:t>The bulk of the work: 4–8 weeks per subject</w:t>
            </w:r>
          </w:p>
        </w:tc>
      </w:tr>
      <w:tr>
        <w:trPr>
          <w:cantSplit/>
        </w:trPr>
        <w:tc>
          <w:tcPr>
            <w:tcW w:type="dxa" w:w="1871"/>
          </w:tcPr>
          <w:p>
            <w:pPr>
              <w:spacing w:after="40" w:before="40"/>
            </w:pPr>
            <w:r/>
            <w:r>
              <w:rPr>
                <w:rFonts w:ascii="Calibri" w:hAnsi="Calibri"/>
                <w:b w:val="0"/>
                <w:i w:val="0"/>
                <w:color w:val="1F2933"/>
                <w:sz w:val="18"/>
              </w:rPr>
              <w:t>3. Local context</w:t>
            </w:r>
          </w:p>
        </w:tc>
        <w:tc>
          <w:tcPr>
            <w:tcW w:type="dxa" w:w="3402"/>
          </w:tcPr>
          <w:p>
            <w:pPr>
              <w:spacing w:after="40" w:before="40"/>
            </w:pPr>
            <w:r/>
            <w:r>
              <w:rPr>
                <w:rFonts w:ascii="Calibri" w:hAnsi="Calibri"/>
                <w:b w:val="0"/>
                <w:i w:val="0"/>
                <w:color w:val="1F2933"/>
                <w:sz w:val="18"/>
              </w:rPr>
              <w:t>Places, currency, ecology and the settings of the worked examples a tutor explains through</w:t>
            </w:r>
          </w:p>
        </w:tc>
        <w:tc>
          <w:tcPr>
            <w:tcW w:type="dxa" w:w="1928"/>
          </w:tcPr>
          <w:p>
            <w:pPr>
              <w:spacing w:after="40" w:before="40"/>
            </w:pPr>
            <w:r/>
            <w:r>
              <w:rPr>
                <w:rFonts w:ascii="Calibri" w:hAnsi="Calibri"/>
                <w:b w:val="0"/>
                <w:i w:val="0"/>
                <w:color w:val="1F2933"/>
                <w:sz w:val="18"/>
              </w:rPr>
              <w:t>Subject experts</w:t>
            </w:r>
          </w:p>
        </w:tc>
        <w:tc>
          <w:tcPr>
            <w:tcW w:type="dxa" w:w="2211"/>
          </w:tcPr>
          <w:p>
            <w:pPr>
              <w:spacing w:after="40" w:before="40"/>
            </w:pPr>
            <w:r/>
            <w:r>
              <w:rPr>
                <w:rFonts w:ascii="Calibri" w:hAnsi="Calibri"/>
                <w:b w:val="0"/>
                <w:i w:val="0"/>
                <w:color w:val="1F2933"/>
                <w:sz w:val="18"/>
              </w:rPr>
              <w:t>1–2 weeks per subject</w:t>
            </w:r>
          </w:p>
        </w:tc>
      </w:tr>
      <w:tr>
        <w:trPr>
          <w:cantSplit/>
        </w:trPr>
        <w:tc>
          <w:tcPr>
            <w:tcW w:type="dxa" w:w="1871"/>
            <w:shd w:val="clear" w:fill="F4F6F8"/>
          </w:tcPr>
          <w:p>
            <w:pPr>
              <w:spacing w:after="40" w:before="40"/>
            </w:pPr>
            <w:r/>
            <w:r>
              <w:rPr>
                <w:rFonts w:ascii="Calibri" w:hAnsi="Calibri"/>
                <w:b w:val="0"/>
                <w:i w:val="0"/>
                <w:color w:val="1F2933"/>
                <w:sz w:val="18"/>
              </w:rPr>
              <w:t>4. National structures</w:t>
            </w:r>
          </w:p>
        </w:tc>
        <w:tc>
          <w:tcPr>
            <w:tcW w:type="dxa" w:w="3402"/>
            <w:shd w:val="clear" w:fill="F4F6F8"/>
          </w:tcPr>
          <w:p>
            <w:pPr>
              <w:spacing w:after="40" w:before="40"/>
            </w:pPr>
            <w:r/>
            <w:r>
              <w:rPr>
                <w:rFonts w:ascii="Calibri" w:hAnsi="Calibri"/>
                <w:b w:val="0"/>
                <w:i w:val="0"/>
                <w:color w:val="1F2933"/>
                <w:sz w:val="18"/>
              </w:rPr>
              <w:t>Grade names, school register, competency bands, terminology, branding, teacher permissions</w:t>
            </w:r>
          </w:p>
        </w:tc>
        <w:tc>
          <w:tcPr>
            <w:tcW w:type="dxa" w:w="1928"/>
            <w:shd w:val="clear" w:fill="F4F6F8"/>
          </w:tcPr>
          <w:p>
            <w:pPr>
              <w:spacing w:after="40" w:before="40"/>
            </w:pPr>
            <w:r/>
            <w:r>
              <w:rPr>
                <w:rFonts w:ascii="Calibri" w:hAnsi="Calibri"/>
                <w:b w:val="0"/>
                <w:i w:val="0"/>
                <w:color w:val="1F2933"/>
                <w:sz w:val="18"/>
              </w:rPr>
              <w:t>Ministry + technical owner</w:t>
            </w:r>
          </w:p>
        </w:tc>
        <w:tc>
          <w:tcPr>
            <w:tcW w:type="dxa" w:w="2211"/>
            <w:shd w:val="clear" w:fill="F4F6F8"/>
          </w:tcPr>
          <w:p>
            <w:pPr>
              <w:spacing w:after="40" w:before="40"/>
            </w:pPr>
            <w:r/>
            <w:r>
              <w:rPr>
                <w:rFonts w:ascii="Calibri" w:hAnsi="Calibri"/>
                <w:b w:val="0"/>
                <w:i w:val="0"/>
                <w:color w:val="1F2933"/>
                <w:sz w:val="18"/>
              </w:rPr>
              <w:t>Days — all configuration</w:t>
            </w:r>
          </w:p>
        </w:tc>
      </w:tr>
      <w:tr>
        <w:trPr>
          <w:cantSplit/>
        </w:trPr>
        <w:tc>
          <w:tcPr>
            <w:tcW w:type="dxa" w:w="1871"/>
          </w:tcPr>
          <w:p>
            <w:pPr>
              <w:spacing w:after="40" w:before="40"/>
            </w:pPr>
            <w:r/>
            <w:r>
              <w:rPr>
                <w:rFonts w:ascii="Calibri" w:hAnsi="Calibri"/>
                <w:b w:val="0"/>
                <w:i w:val="0"/>
                <w:color w:val="1F2933"/>
                <w:sz w:val="18"/>
              </w:rPr>
              <w:t>5. Infrastructure and data residency</w:t>
            </w:r>
          </w:p>
        </w:tc>
        <w:tc>
          <w:tcPr>
            <w:tcW w:type="dxa" w:w="3402"/>
          </w:tcPr>
          <w:p>
            <w:pPr>
              <w:spacing w:after="40" w:before="40"/>
            </w:pPr>
            <w:r/>
            <w:r>
              <w:rPr>
                <w:rFonts w:ascii="Calibri" w:hAnsi="Calibri"/>
                <w:b w:val="0"/>
                <w:i w:val="0"/>
                <w:color w:val="1F2933"/>
                <w:sz w:val="18"/>
              </w:rPr>
              <w:t>Where it runs, where student data lives, whether model calls leave the country</w:t>
            </w:r>
          </w:p>
        </w:tc>
        <w:tc>
          <w:tcPr>
            <w:tcW w:type="dxa" w:w="1928"/>
          </w:tcPr>
          <w:p>
            <w:pPr>
              <w:spacing w:after="40" w:before="40"/>
            </w:pPr>
            <w:r/>
            <w:r>
              <w:rPr>
                <w:rFonts w:ascii="Calibri" w:hAnsi="Calibri"/>
                <w:b w:val="0"/>
                <w:i w:val="0"/>
                <w:color w:val="1F2933"/>
                <w:sz w:val="18"/>
              </w:rPr>
              <w:t>Technical owner + data protection officer</w:t>
            </w:r>
          </w:p>
        </w:tc>
        <w:tc>
          <w:tcPr>
            <w:tcW w:type="dxa" w:w="2211"/>
          </w:tcPr>
          <w:p>
            <w:pPr>
              <w:spacing w:after="40" w:before="40"/>
            </w:pPr>
            <w:r/>
            <w:r>
              <w:rPr>
                <w:rFonts w:ascii="Calibri" w:hAnsi="Calibri"/>
                <w:b w:val="0"/>
                <w:i w:val="0"/>
                <w:color w:val="1F2933"/>
                <w:sz w:val="18"/>
              </w:rPr>
              <w:t>Days to weeks, depending on model</w:t>
            </w:r>
          </w:p>
        </w:tc>
      </w:tr>
    </w:tbl>
    <w:p>
      <w:pPr>
        <w:spacing w:after="40"/>
      </w:pPr>
    </w:p>
    <w:p>
      <w:pPr>
        <w:pStyle w:val="Heading2"/>
      </w:pPr>
      <w:r>
        <w:t>The one decision that changes everything else</w:t>
      </w:r>
    </w:p>
    <w:p>
      <w:pPr>
        <w:spacing w:after="140"/>
      </w:pPr>
      <w:r>
        <w:rPr>
          <w:rFonts w:ascii="Calibri" w:hAnsi="Calibri"/>
          <w:b w:val="0"/>
          <w:i w:val="0"/>
          <w:color w:val="1F2933"/>
          <w:sz w:val="21"/>
        </w:rPr>
        <w:t xml:space="preserve">Student conversations are answered by a large language model. In the default configuration that model is operated by Anthropic, OpenAI or Google, which means the student's message leaves the country. No setting changes this, because it is what makes the tutor work. A country can instead run an open model on its own hardware, or use the offline build that runs entirely on a classroom machine — at a measurable cost in tutoring quality that should be measured on that country's own content before a cohort is committed. </w:t>
      </w:r>
      <w:r>
        <w:rPr>
          <w:rFonts w:ascii="Calibri" w:hAnsi="Calibri"/>
          <w:b/>
          <w:i w:val="0"/>
          <w:color w:val="1F2933"/>
          <w:sz w:val="21"/>
        </w:rPr>
        <w:t>Decide this first.</w:t>
      </w:r>
      <w:r>
        <w:rPr>
          <w:rFonts w:ascii="Calibri" w:hAnsi="Calibri"/>
          <w:b w:val="0"/>
          <w:i w:val="0"/>
          <w:color w:val="1F2933"/>
          <w:sz w:val="21"/>
        </w:rPr>
        <w:t xml:space="preserve"> It determines the deployment model, the cost profile, the data protection assessment and the quality bar for everything that follows.</w:t>
      </w:r>
    </w:p>
    <w:p>
      <w:pPr>
        <w:pStyle w:val="Heading2"/>
      </w:pPr>
      <w:r>
        <w:t>Cost shape</w:t>
      </w:r>
    </w:p>
    <w:p>
      <w:pPr>
        <w:pStyle w:val="ListBullet"/>
        <w:spacing w:after="60"/>
      </w:pPr>
      <w:r>
        <w:rPr>
          <w:rFonts w:ascii="Calibri" w:hAnsi="Calibri"/>
          <w:b/>
          <w:i w:val="0"/>
          <w:color w:val="1F2933"/>
          <w:sz w:val="21"/>
        </w:rPr>
        <w:t>Fixed infrastructure</w:t>
      </w:r>
      <w:r>
        <w:rPr>
          <w:rFonts w:ascii="Calibri" w:hAnsi="Calibri"/>
          <w:b w:val="0"/>
          <w:i w:val="0"/>
          <w:color w:val="1F2933"/>
          <w:sz w:val="21"/>
        </w:rPr>
        <w:t xml:space="preserve"> is small and predictable: roughly </w:t>
      </w:r>
      <w:r>
        <w:rPr>
          <w:rFonts w:ascii="Calibri" w:hAnsi="Calibri"/>
          <w:b/>
          <w:i w:val="0"/>
          <w:color w:val="1F2933"/>
          <w:sz w:val="21"/>
        </w:rPr>
        <w:t>US$260 per month</w:t>
      </w:r>
      <w:r>
        <w:rPr>
          <w:rFonts w:ascii="Calibri" w:hAnsi="Calibri"/>
          <w:b w:val="0"/>
          <w:i w:val="0"/>
          <w:color w:val="1F2933"/>
          <w:sz w:val="21"/>
        </w:rPr>
        <w:t xml:space="preserve"> for a resilient single-country cloud instance, or the cost of one Linux server if run on a single machine.</w:t>
      </w:r>
    </w:p>
    <w:p>
      <w:pPr>
        <w:pStyle w:val="ListBullet"/>
        <w:spacing w:after="60"/>
      </w:pPr>
      <w:r>
        <w:rPr>
          <w:rFonts w:ascii="Calibri" w:hAnsi="Calibri"/>
          <w:b/>
          <w:i w:val="0"/>
          <w:color w:val="1F2933"/>
          <w:sz w:val="21"/>
        </w:rPr>
        <w:t>Variable model cost dominates and scales with teaching</w:t>
      </w:r>
      <w:r>
        <w:rPr>
          <w:rFonts w:ascii="Calibri" w:hAnsi="Calibri"/>
          <w:b w:val="0"/>
          <w:i w:val="0"/>
          <w:color w:val="1F2933"/>
          <w:sz w:val="21"/>
        </w:rPr>
        <w:t xml:space="preserve">: roughly </w:t>
      </w:r>
      <w:r>
        <w:rPr>
          <w:rFonts w:ascii="Calibri" w:hAnsi="Calibri"/>
          <w:b/>
          <w:i w:val="0"/>
          <w:color w:val="1F2933"/>
          <w:sz w:val="21"/>
        </w:rPr>
        <w:t>US$600 per month across four schools</w:t>
      </w:r>
      <w:r>
        <w:rPr>
          <w:rFonts w:ascii="Calibri" w:hAnsi="Calibri"/>
          <w:b w:val="0"/>
          <w:i w:val="0"/>
          <w:color w:val="1F2933"/>
          <w:sz w:val="21"/>
        </w:rPr>
        <w:t xml:space="preserve"> in the Seychelles pilot.</w:t>
      </w:r>
    </w:p>
    <w:p>
      <w:pPr>
        <w:pStyle w:val="ListBullet"/>
        <w:spacing w:after="60"/>
      </w:pPr>
      <w:r>
        <w:rPr>
          <w:rFonts w:ascii="Calibri" w:hAnsi="Calibri"/>
          <w:b/>
          <w:i w:val="0"/>
          <w:color w:val="1F2933"/>
          <w:sz w:val="21"/>
        </w:rPr>
        <w:t>Content generation is front-loaded</w:t>
      </w:r>
      <w:r>
        <w:rPr>
          <w:rFonts w:ascii="Calibri" w:hAnsi="Calibri"/>
          <w:b w:val="0"/>
          <w:i w:val="0"/>
          <w:color w:val="1F2933"/>
          <w:sz w:val="21"/>
        </w:rPr>
        <w:t>: a one-off cost per subject when the syllabus is ingested, not a recurring one.</w:t>
      </w:r>
    </w:p>
    <w:p>
      <w:pPr>
        <w:pStyle w:val="ListBullet"/>
        <w:spacing w:after="60"/>
      </w:pPr>
      <w:r>
        <w:rPr>
          <w:rFonts w:ascii="Calibri" w:hAnsi="Calibri"/>
          <w:b/>
          <w:i w:val="0"/>
          <w:color w:val="1F2933"/>
          <w:sz w:val="21"/>
        </w:rPr>
        <w:t>The offline path removes both</w:t>
      </w:r>
      <w:r>
        <w:rPr>
          <w:rFonts w:ascii="Calibri" w:hAnsi="Calibri"/>
          <w:b w:val="0"/>
          <w:i w:val="0"/>
          <w:color w:val="1F2933"/>
          <w:sz w:val="21"/>
        </w:rPr>
        <w:t>, and buys hardware instead.</w:t>
      </w:r>
    </w:p>
    <w:p>
      <w:pPr>
        <w:pStyle w:val="Heading2"/>
      </w:pPr>
      <w:r>
        <w:t>Time to a first cohort</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701"/>
            <w:shd w:val="clear" w:fill="1F2933"/>
          </w:tcPr>
          <w:p>
            <w:pPr>
              <w:spacing w:after="40" w:before="40"/>
            </w:pPr>
            <w:r/>
            <w:r>
              <w:rPr>
                <w:rFonts w:ascii="Calibri" w:hAnsi="Calibri"/>
                <w:b/>
                <w:i w:val="0"/>
                <w:color w:val="FFFFFF"/>
                <w:sz w:val="18"/>
              </w:rPr>
              <w:t>Phase</w:t>
            </w:r>
          </w:p>
        </w:tc>
        <w:tc>
          <w:tcPr>
            <w:tcW w:type="dxa" w:w="5443"/>
            <w:shd w:val="clear" w:fill="1F2933"/>
          </w:tcPr>
          <w:p>
            <w:pPr>
              <w:spacing w:after="40" w:before="40"/>
            </w:pPr>
            <w:r/>
            <w:r>
              <w:rPr>
                <w:rFonts w:ascii="Calibri" w:hAnsi="Calibri"/>
                <w:b/>
                <w:i w:val="0"/>
                <w:color w:val="FFFFFF"/>
                <w:sz w:val="18"/>
              </w:rPr>
              <w:t>What happens</w:t>
            </w:r>
          </w:p>
        </w:tc>
        <w:tc>
          <w:tcPr>
            <w:tcW w:type="dxa" w:w="2268"/>
            <w:shd w:val="clear" w:fill="1F2933"/>
          </w:tcPr>
          <w:p>
            <w:pPr>
              <w:spacing w:after="40" w:before="40"/>
            </w:pPr>
            <w:r/>
            <w:r>
              <w:rPr>
                <w:rFonts w:ascii="Calibri" w:hAnsi="Calibri"/>
                <w:b/>
                <w:i w:val="0"/>
                <w:color w:val="FFFFFF"/>
                <w:sz w:val="18"/>
              </w:rPr>
              <w:t>Duration</w:t>
            </w:r>
          </w:p>
        </w:tc>
      </w:tr>
      <w:tr>
        <w:trPr>
          <w:cantSplit/>
        </w:trPr>
        <w:tc>
          <w:tcPr>
            <w:tcW w:type="dxa" w:w="1701"/>
          </w:tcPr>
          <w:p>
            <w:pPr>
              <w:spacing w:after="40" w:before="40"/>
            </w:pPr>
            <w:r/>
            <w:r>
              <w:rPr>
                <w:rFonts w:ascii="Calibri" w:hAnsi="Calibri"/>
                <w:b w:val="0"/>
                <w:i w:val="0"/>
                <w:color w:val="1F2933"/>
                <w:sz w:val="18"/>
              </w:rPr>
              <w:t>0 — Decide</w:t>
            </w:r>
          </w:p>
        </w:tc>
        <w:tc>
          <w:tcPr>
            <w:tcW w:type="dxa" w:w="5443"/>
          </w:tcPr>
          <w:p>
            <w:pPr>
              <w:spacing w:after="40" w:before="40"/>
            </w:pPr>
            <w:r/>
            <w:r>
              <w:rPr>
                <w:rFonts w:ascii="Calibri" w:hAnsi="Calibri"/>
                <w:b w:val="0"/>
                <w:i w:val="0"/>
                <w:color w:val="1F2933"/>
                <w:sz w:val="18"/>
              </w:rPr>
              <w:t>Model placement, deployment model, subjects and grades in scope, data protection assessment</w:t>
            </w:r>
          </w:p>
        </w:tc>
        <w:tc>
          <w:tcPr>
            <w:tcW w:type="dxa" w:w="2268"/>
          </w:tcPr>
          <w:p>
            <w:pPr>
              <w:spacing w:after="40" w:before="40"/>
            </w:pPr>
            <w:r/>
            <w:r>
              <w:rPr>
                <w:rFonts w:ascii="Calibri" w:hAnsi="Calibri"/>
                <w:b w:val="0"/>
                <w:i w:val="0"/>
                <w:color w:val="1F2933"/>
                <w:sz w:val="18"/>
              </w:rPr>
              <w:t>2–3 weeks</w:t>
            </w:r>
          </w:p>
        </w:tc>
      </w:tr>
      <w:tr>
        <w:trPr>
          <w:cantSplit/>
        </w:trPr>
        <w:tc>
          <w:tcPr>
            <w:tcW w:type="dxa" w:w="1701"/>
            <w:shd w:val="clear" w:fill="F4F6F8"/>
          </w:tcPr>
          <w:p>
            <w:pPr>
              <w:spacing w:after="40" w:before="40"/>
            </w:pPr>
            <w:r/>
            <w:r>
              <w:rPr>
                <w:rFonts w:ascii="Calibri" w:hAnsi="Calibri"/>
                <w:b w:val="0"/>
                <w:i w:val="0"/>
                <w:color w:val="1F2933"/>
                <w:sz w:val="18"/>
              </w:rPr>
              <w:t>1 — Stand up</w:t>
            </w:r>
          </w:p>
        </w:tc>
        <w:tc>
          <w:tcPr>
            <w:tcW w:type="dxa" w:w="5443"/>
            <w:shd w:val="clear" w:fill="F4F6F8"/>
          </w:tcPr>
          <w:p>
            <w:pPr>
              <w:spacing w:after="40" w:before="40"/>
            </w:pPr>
            <w:r/>
            <w:r>
              <w:rPr>
                <w:rFonts w:ascii="Calibri" w:hAnsi="Calibri"/>
                <w:b w:val="0"/>
                <w:i w:val="0"/>
                <w:color w:val="1F2933"/>
                <w:sz w:val="18"/>
              </w:rPr>
              <w:t>Infrastructure, locale registered, grades and schools configured, branding, first administrator</w:t>
            </w:r>
          </w:p>
        </w:tc>
        <w:tc>
          <w:tcPr>
            <w:tcW w:type="dxa" w:w="2268"/>
            <w:shd w:val="clear" w:fill="F4F6F8"/>
          </w:tcPr>
          <w:p>
            <w:pPr>
              <w:spacing w:after="40" w:before="40"/>
            </w:pPr>
            <w:r/>
            <w:r>
              <w:rPr>
                <w:rFonts w:ascii="Calibri" w:hAnsi="Calibri"/>
                <w:b w:val="0"/>
                <w:i w:val="0"/>
                <w:color w:val="1F2933"/>
                <w:sz w:val="18"/>
              </w:rPr>
              <w:t>1–2 weeks</w:t>
            </w:r>
          </w:p>
        </w:tc>
      </w:tr>
      <w:tr>
        <w:trPr>
          <w:cantSplit/>
        </w:trPr>
        <w:tc>
          <w:tcPr>
            <w:tcW w:type="dxa" w:w="1701"/>
          </w:tcPr>
          <w:p>
            <w:pPr>
              <w:spacing w:after="40" w:before="40"/>
            </w:pPr>
            <w:r/>
            <w:r>
              <w:rPr>
                <w:rFonts w:ascii="Calibri" w:hAnsi="Calibri"/>
                <w:b w:val="0"/>
                <w:i w:val="0"/>
                <w:color w:val="1F2933"/>
                <w:sz w:val="18"/>
              </w:rPr>
              <w:t>2 — Content</w:t>
            </w:r>
          </w:p>
        </w:tc>
        <w:tc>
          <w:tcPr>
            <w:tcW w:type="dxa" w:w="5443"/>
          </w:tcPr>
          <w:p>
            <w:pPr>
              <w:spacing w:after="40" w:before="40"/>
            </w:pPr>
            <w:r/>
            <w:r>
              <w:rPr>
                <w:rFonts w:ascii="Calibri" w:hAnsi="Calibri"/>
                <w:b w:val="0"/>
                <w:i w:val="0"/>
                <w:color w:val="1F2933"/>
                <w:sz w:val="18"/>
              </w:rPr>
              <w:t>Syllabus ingestion, generation, figures, expert review, local context library</w:t>
            </w:r>
          </w:p>
        </w:tc>
        <w:tc>
          <w:tcPr>
            <w:tcW w:type="dxa" w:w="2268"/>
          </w:tcPr>
          <w:p>
            <w:pPr>
              <w:spacing w:after="40" w:before="40"/>
            </w:pPr>
            <w:r/>
            <w:r>
              <w:rPr>
                <w:rFonts w:ascii="Calibri" w:hAnsi="Calibri"/>
                <w:b w:val="0"/>
                <w:i w:val="0"/>
                <w:color w:val="1F2933"/>
                <w:sz w:val="18"/>
              </w:rPr>
              <w:t>4–8 weeks per subject (parallelisable)</w:t>
            </w:r>
          </w:p>
        </w:tc>
      </w:tr>
      <w:tr>
        <w:trPr>
          <w:cantSplit/>
        </w:trPr>
        <w:tc>
          <w:tcPr>
            <w:tcW w:type="dxa" w:w="1701"/>
            <w:shd w:val="clear" w:fill="F4F6F8"/>
          </w:tcPr>
          <w:p>
            <w:pPr>
              <w:spacing w:after="40" w:before="40"/>
            </w:pPr>
            <w:r/>
            <w:r>
              <w:rPr>
                <w:rFonts w:ascii="Calibri" w:hAnsi="Calibri"/>
                <w:b w:val="0"/>
                <w:i w:val="0"/>
                <w:color w:val="1F2933"/>
                <w:sz w:val="18"/>
              </w:rPr>
              <w:t>3 — Validate</w:t>
            </w:r>
          </w:p>
        </w:tc>
        <w:tc>
          <w:tcPr>
            <w:tcW w:type="dxa" w:w="5443"/>
            <w:shd w:val="clear" w:fill="F4F6F8"/>
          </w:tcPr>
          <w:p>
            <w:pPr>
              <w:spacing w:after="40" w:before="40"/>
            </w:pPr>
            <w:r/>
            <w:r>
              <w:rPr>
                <w:rFonts w:ascii="Calibri" w:hAnsi="Calibri"/>
                <w:b w:val="0"/>
                <w:i w:val="0"/>
                <w:color w:val="1F2933"/>
                <w:sz w:val="18"/>
              </w:rPr>
              <w:t>Human grading of tutoring sessions, teacher walkthrough, safety review, load check</w:t>
            </w:r>
          </w:p>
        </w:tc>
        <w:tc>
          <w:tcPr>
            <w:tcW w:type="dxa" w:w="2268"/>
            <w:shd w:val="clear" w:fill="F4F6F8"/>
          </w:tcPr>
          <w:p>
            <w:pPr>
              <w:spacing w:after="40" w:before="40"/>
            </w:pPr>
            <w:r/>
            <w:r>
              <w:rPr>
                <w:rFonts w:ascii="Calibri" w:hAnsi="Calibri"/>
                <w:b w:val="0"/>
                <w:i w:val="0"/>
                <w:color w:val="1F2933"/>
                <w:sz w:val="18"/>
              </w:rPr>
              <w:t>2–3 weeks</w:t>
            </w:r>
          </w:p>
        </w:tc>
      </w:tr>
      <w:tr>
        <w:trPr>
          <w:cantSplit/>
        </w:trPr>
        <w:tc>
          <w:tcPr>
            <w:tcW w:type="dxa" w:w="1701"/>
          </w:tcPr>
          <w:p>
            <w:pPr>
              <w:spacing w:after="40" w:before="40"/>
            </w:pPr>
            <w:r/>
            <w:r>
              <w:rPr>
                <w:rFonts w:ascii="Calibri" w:hAnsi="Calibri"/>
                <w:b w:val="0"/>
                <w:i w:val="0"/>
                <w:color w:val="1F2933"/>
                <w:sz w:val="18"/>
              </w:rPr>
              <w:t>4 — Pilot</w:t>
            </w:r>
          </w:p>
        </w:tc>
        <w:tc>
          <w:tcPr>
            <w:tcW w:type="dxa" w:w="5443"/>
          </w:tcPr>
          <w:p>
            <w:pPr>
              <w:spacing w:after="40" w:before="40"/>
            </w:pPr>
            <w:r/>
            <w:r>
              <w:rPr>
                <w:rFonts w:ascii="Calibri" w:hAnsi="Calibri"/>
                <w:b w:val="0"/>
                <w:i w:val="0"/>
                <w:color w:val="1F2933"/>
                <w:sz w:val="18"/>
              </w:rPr>
              <w:t>Three to six schools, one term, weekly triage and cost tracking</w:t>
            </w:r>
          </w:p>
        </w:tc>
        <w:tc>
          <w:tcPr>
            <w:tcW w:type="dxa" w:w="2268"/>
          </w:tcPr>
          <w:p>
            <w:pPr>
              <w:spacing w:after="40" w:before="40"/>
            </w:pPr>
            <w:r/>
            <w:r>
              <w:rPr>
                <w:rFonts w:ascii="Calibri" w:hAnsi="Calibri"/>
                <w:b w:val="0"/>
                <w:i w:val="0"/>
                <w:color w:val="1F2933"/>
                <w:sz w:val="18"/>
              </w:rPr>
              <w:t>One school term</w:t>
            </w:r>
          </w:p>
        </w:tc>
      </w:tr>
    </w:tbl>
    <w:p>
      <w:pPr>
        <w:spacing w:after="40"/>
      </w:pPr>
    </w:p>
    <w:p>
      <w:pPr>
        <w:spacing w:after="140"/>
      </w:pPr>
      <w:r>
        <w:rPr>
          <w:rFonts w:ascii="Calibri" w:hAnsi="Calibri"/>
          <w:b/>
          <w:i w:val="0"/>
          <w:color w:val="1F2933"/>
          <w:sz w:val="20"/>
        </w:rPr>
        <w:t>12 to 16 weeks from decision to first cohort</w:t>
      </w:r>
      <w:r>
        <w:rPr>
          <w:rFonts w:ascii="Calibri" w:hAnsi="Calibri"/>
          <w:b w:val="0"/>
          <w:i w:val="0"/>
          <w:color w:val="1F2933"/>
          <w:sz w:val="20"/>
        </w:rPr>
        <w:t xml:space="preserve"> is realistic for one subject where the syllabus documents exist and expert reviewer time is committed. The reviewer time is the usual constraint, not the engineering.</w:t>
      </w:r>
    </w:p>
    <w:p>
      <w:pPr>
        <w:pStyle w:val="Heading1"/>
        <w:pBdr>
          <w:bottom w:val="single" w:sz="12" w:space="6" w:color="E8590C"/>
        </w:pBdr>
      </w:pPr>
      <w:r>
        <w:t>2.  What is actually being adopted</w:t>
      </w:r>
    </w:p>
    <w:p>
      <w:pPr>
        <w:pStyle w:val="Heading2"/>
      </w:pPr>
      <w:r>
        <w:t>For the student</w:t>
      </w:r>
    </w:p>
    <w:p>
      <w:pPr>
        <w:spacing w:after="140"/>
      </w:pPr>
      <w:r>
        <w:rPr>
          <w:rFonts w:ascii="Calibri" w:hAnsi="Calibri"/>
          <w:b w:val="0"/>
          <w:i w:val="0"/>
          <w:color w:val="1F2933"/>
          <w:sz w:val="21"/>
        </w:rPr>
        <w:t xml:space="preserve">A student signs in, picks a lesson from their grade's catalogue, and works through it in conversation. The session follows the </w:t>
      </w:r>
      <w:r>
        <w:rPr>
          <w:rFonts w:ascii="Calibri" w:hAnsi="Calibri"/>
          <w:b/>
          <w:i w:val="0"/>
          <w:color w:val="1F2933"/>
          <w:sz w:val="21"/>
        </w:rPr>
        <w:t>5E instructional model</w:t>
      </w:r>
      <w:r>
        <w:rPr>
          <w:rFonts w:ascii="Calibri" w:hAnsi="Calibri"/>
          <w:b w:val="0"/>
          <w:i w:val="0"/>
          <w:color w:val="1F2933"/>
          <w:sz w:val="21"/>
        </w:rPr>
        <w:t xml:space="preserve"> — Engage, Explore, Explain, Practice, Evaluate — with Socratic questioning and scaffolded hints rather than answers handed over. Lessons carry figures and diagrams. At the end an </w:t>
      </w:r>
      <w:r>
        <w:rPr>
          <w:rFonts w:ascii="Calibri" w:hAnsi="Calibri"/>
          <w:b/>
          <w:i w:val="0"/>
          <w:color w:val="1F2933"/>
          <w:sz w:val="21"/>
        </w:rPr>
        <w:t>exit ticket</w:t>
      </w:r>
      <w:r>
        <w:rPr>
          <w:rFonts w:ascii="Calibri" w:hAnsi="Calibri"/>
          <w:b w:val="0"/>
          <w:i w:val="0"/>
          <w:color w:val="1F2933"/>
          <w:sz w:val="21"/>
        </w:rPr>
        <w:t xml:space="preserve"> draws ten questions from a bank of about thirty-five; eighty per cent is the pass mark, and the result is recorded as mastery of that lesson for that student.</w:t>
      </w:r>
    </w:p>
    <w:p>
      <w:pPr>
        <w:spacing w:after="140"/>
      </w:pPr>
      <w:r>
        <w:rPr>
          <w:rFonts w:ascii="Calibri" w:hAnsi="Calibri"/>
          <w:b w:val="0"/>
          <w:i w:val="0"/>
          <w:color w:val="1F2933"/>
          <w:sz w:val="21"/>
        </w:rPr>
        <w:t>Sessions can run on a shared classroom device with two students paired, or on individual accounts — a per-school setting, because device ratios differ by school, not by country.</w:t>
      </w:r>
    </w:p>
    <w:p>
      <w:pPr>
        <w:pStyle w:val="Heading2"/>
      </w:pPr>
      <w:r>
        <w:t>For the teacher</w:t>
      </w:r>
    </w:p>
    <w:p>
      <w:pPr>
        <w:spacing w:after="140"/>
      </w:pPr>
      <w:r>
        <w:rPr>
          <w:rFonts w:ascii="Calibri" w:hAnsi="Calibri"/>
          <w:b w:val="0"/>
          <w:i w:val="0"/>
          <w:color w:val="1F2933"/>
          <w:sz w:val="21"/>
        </w:rPr>
        <w:t>Teachers get a dashboard that leads with triage: which students need attention, which lessons a class is failing, which tutoring sessions were flagged. They can review and edit generated lesson content, see per-student and per-class progress against competency bands, and read flagged transcripts. What teachers are allowed to do is configurable — editing content, uploading curriculum and regenerating courses are three independent permissions, all off by default, so a ministry can open them up at the pace it trusts.</w:t>
      </w:r>
    </w:p>
    <w:p>
      <w:pPr>
        <w:pStyle w:val="Heading2"/>
      </w:pPr>
      <w:r>
        <w:t>For the ministry</w:t>
      </w:r>
    </w:p>
    <w:p>
      <w:pPr>
        <w:spacing w:after="140"/>
      </w:pPr>
      <w:r>
        <w:rPr>
          <w:rFonts w:ascii="Calibri" w:hAnsi="Calibri"/>
          <w:b w:val="0"/>
          <w:i w:val="0"/>
          <w:color w:val="1F2933"/>
          <w:sz w:val="21"/>
        </w:rPr>
        <w:t>Multi-tenancy is structural. Every query touching student data is scoped to an institution, with a platform-wide tier for content that all schools share. One national instance can therefore serve every school in the country while keeping each school's students and results separate, and a school's own uploaded material private to it.</w:t>
      </w:r>
    </w:p>
    <w:p>
      <w:pPr>
        <w:pStyle w:val="Heading2"/>
      </w:pPr>
      <w:r>
        <w:t>The content pipeline</w:t>
      </w:r>
    </w:p>
    <w:p>
      <w:pPr>
        <w:spacing w:after="140"/>
      </w:pPr>
      <w:r>
        <w:rPr>
          <w:rFonts w:ascii="Calibri" w:hAnsi="Calibri"/>
          <w:b w:val="0"/>
          <w:i w:val="0"/>
          <w:color w:val="1F2933"/>
          <w:sz w:val="21"/>
        </w:rPr>
        <w:t>This is the part that makes national adoption tractable. A syllabus document goes in; a taught course comes out.</w:t>
      </w:r>
    </w:p>
    <w:p>
      <w:pPr>
        <w:spacing w:after="120"/>
        <w:ind w:left="283"/>
      </w:pPr>
      <w:r>
        <w:rPr>
          <w:rFonts w:ascii="Courier New" w:hAnsi="Courier New" w:eastAsia="Courier New"/>
          <w:color w:val="333D47"/>
          <w:sz w:val="17"/>
        </w:rPr>
        <w:t>syllabus PDF/DOCX</w:t>
        <w:br/>
        <w:t xml:space="preserve">   → parser         : course › unit › lesson hierarchy</w:t>
        <w:br/>
        <w:t xml:space="preserve">   → generator      : 8–12 teaching steps per lesson</w:t>
        <w:br/>
        <w:t xml:space="preserve">   → image service  : educational diagrams</w:t>
        <w:br/>
        <w:t xml:space="preserve">   → ticket builder : ~35-question assessment bank per lesson</w:t>
        <w:br/>
        <w:t xml:space="preserve">   → skill extractor: skill graph + lesson prerequisites</w:t>
        <w:br/>
        <w:t xml:space="preserve">   → teacher review : edit, approve, publish</w:t>
      </w:r>
    </w:p>
    <w:p>
      <w:pPr>
        <w:spacing w:after="140"/>
      </w:pPr>
      <w:r>
        <w:rPr>
          <w:rFonts w:ascii="Calibri" w:hAnsi="Calibri"/>
          <w:b w:val="0"/>
          <w:i w:val="0"/>
          <w:color w:val="1F2933"/>
          <w:sz w:val="21"/>
        </w:rPr>
        <w:t>Everything after the parser is generated by a language model and is expected to be reviewed, not trusted. The review step is where a curriculum authority exercises its actual authority.</w:t>
      </w:r>
    </w:p>
    <w:p>
      <w:pPr>
        <w:pStyle w:val="Heading2"/>
      </w:pPr>
      <w:r>
        <w:t>The quality layer</w:t>
      </w:r>
    </w:p>
    <w:p>
      <w:pPr>
        <w:spacing w:after="140"/>
      </w:pPr>
      <w:r>
        <w:rPr>
          <w:rFonts w:ascii="Calibri" w:hAnsi="Calibri"/>
          <w:b w:val="0"/>
          <w:i w:val="0"/>
          <w:color w:val="1F2933"/>
          <w:sz w:val="21"/>
        </w:rPr>
        <w:t xml:space="preserve">Every tutor reply is checked before it reaches the student by a </w:t>
      </w:r>
      <w:r>
        <w:rPr>
          <w:rFonts w:ascii="Calibri" w:hAnsi="Calibri"/>
          <w:b/>
          <w:i w:val="0"/>
          <w:color w:val="1F2933"/>
          <w:sz w:val="21"/>
        </w:rPr>
        <w:t>unified judge</w:t>
      </w:r>
      <w:r>
        <w:rPr>
          <w:rFonts w:ascii="Calibri" w:hAnsi="Calibri"/>
          <w:b w:val="0"/>
          <w:i w:val="0"/>
          <w:color w:val="1F2933"/>
          <w:sz w:val="21"/>
        </w:rPr>
        <w:t xml:space="preserve"> — a single multi-axis model call scoring ten dimensions including factual accuracy, rule compliance, coherence, and safety. The judge runs against a cross-vendor cascade (Gemini, falling back to OpenAI, falling back to Claude Haiku), so a single provider outage degrades rather than stops the service.</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WHAT THIS IS NOT</w:t>
            </w:r>
          </w:p>
          <w:p>
            <w:pPr>
              <w:spacing w:after="100"/>
            </w:pPr>
            <w:r>
              <w:rPr>
                <w:rFonts w:ascii="Calibri" w:hAnsi="Calibri"/>
                <w:b w:val="0"/>
                <w:i w:val="0"/>
                <w:color w:val="1F2933"/>
                <w:sz w:val="19"/>
              </w:rPr>
              <w:t>It is not a learning management system and does not replace a school information system — it integrates with them through an API. It is not a curriculum authority: it generates draft content that your subject experts approve or reject. It is not autonomous of teachers; the dashboard exists because the teacher is meant to intervene. And it is not a substitute for investment in devices and connectivity, though the offline builds lower the bar considerably.</w:t>
            </w:r>
          </w:p>
        </w:tc>
      </w:tr>
    </w:tbl>
    <w:p>
      <w:pPr>
        <w:spacing w:after="40"/>
      </w:pPr>
    </w:p>
    <w:p>
      <w:pPr>
        <w:pStyle w:val="Heading1"/>
        <w:pBdr>
          <w:bottom w:val="single" w:sz="12" w:space="6" w:color="E8590C"/>
        </w:pBdr>
      </w:pPr>
      <w:r>
        <w:t>3.  The five layers of adaptation</w:t>
      </w:r>
    </w:p>
    <w:p>
      <w:pPr>
        <w:spacing w:after="140"/>
      </w:pPr>
      <w:r>
        <w:rPr>
          <w:rFonts w:ascii="Calibri" w:hAnsi="Calibri"/>
          <w:b w:val="0"/>
          <w:i w:val="0"/>
          <w:color w:val="1F2933"/>
          <w:sz w:val="21"/>
        </w:rPr>
        <w:t>Adaptation is not one project. It is five, with different owners, different durations and different failure modes. Treating them as one is the most common way a country pilot stalls: the engineering finishes in a fortnight and then waits three months for content review.</w:t>
      </w:r>
    </w:p>
    <w:p>
      <w:pPr>
        <w:pStyle w:val="Heading2"/>
      </w:pPr>
      <w:r>
        <w:t>Layer 1 — Language and register</w:t>
      </w:r>
    </w:p>
    <w:p>
      <w:pPr>
        <w:spacing w:after="140"/>
      </w:pPr>
      <w:r>
        <w:rPr>
          <w:rFonts w:ascii="Calibri" w:hAnsi="Calibri"/>
          <w:b w:val="0"/>
          <w:i w:val="0"/>
          <w:color w:val="1F2933"/>
          <w:sz w:val="21"/>
        </w:rPr>
        <w:t>The tutor speaks the language of the course, not of the interface. That distinction matters: a student may browse the platform in one language and take a geography lesson delivered in another, and the lesson's language wins for the duration of the session.</w:t>
      </w:r>
    </w:p>
    <w:p>
      <w:pPr>
        <w:spacing w:after="140"/>
      </w:pPr>
      <w:r>
        <w:rPr>
          <w:rFonts w:ascii="Calibri" w:hAnsi="Calibri"/>
          <w:b w:val="0"/>
          <w:i w:val="0"/>
          <w:color w:val="1F2933"/>
          <w:sz w:val="21"/>
        </w:rPr>
        <w:t>Adapting a language is more than translation. For a second locale the platform specifies the form of address (the informal register, because the students are thirteen and fourteen), which orthographic standard applies where the language has more than one, which technical vocabulary stays in the standard form of the language, that brand names are not translated, and that the tutor must not switch back to the original language mid-explanation. These are register decisions a native-speaking educator must make; they are then encoded once and applied to both generated content and live tutoring.</w:t>
      </w:r>
    </w:p>
    <w:p>
      <w:pPr>
        <w:pStyle w:val="Heading2"/>
      </w:pPr>
      <w:r>
        <w:t>Layer 2 — Curriculum</w:t>
      </w:r>
    </w:p>
    <w:p>
      <w:pPr>
        <w:spacing w:after="140"/>
      </w:pPr>
      <w:r>
        <w:rPr>
          <w:rFonts w:ascii="Calibri" w:hAnsi="Calibri"/>
          <w:b w:val="0"/>
          <w:i w:val="0"/>
          <w:color w:val="1F2933"/>
          <w:sz w:val="21"/>
        </w:rPr>
        <w:t xml:space="preserve">This is the bulk of the work and the only layer where effort scales with ambition. A country supplies syllabus documents and the rights to use them; the pipeline produces draft lessons; subject experts review. Two routes exist: generate from your own syllabus, or import a </w:t>
      </w:r>
      <w:r>
        <w:rPr>
          <w:rFonts w:ascii="Calibri" w:hAnsi="Calibri"/>
          <w:b/>
          <w:i w:val="0"/>
          <w:color w:val="1F2933"/>
          <w:sz w:val="21"/>
        </w:rPr>
        <w:t>curriculum pack</w:t>
      </w:r>
      <w:r>
        <w:rPr>
          <w:rFonts w:ascii="Calibri" w:hAnsi="Calibri"/>
          <w:b w:val="0"/>
          <w:i w:val="0"/>
          <w:color w:val="1F2933"/>
          <w:sz w:val="21"/>
        </w:rPr>
        <w:t xml:space="preserve"> — a portable bundle of courses, lessons, exit tickets and media built from an existing deployment, carrying no student records at all.</w:t>
      </w:r>
    </w:p>
    <w:p>
      <w:pPr>
        <w:spacing w:after="140"/>
      </w:pPr>
      <w:r>
        <w:rPr>
          <w:rFonts w:ascii="Calibri" w:hAnsi="Calibri"/>
          <w:b w:val="0"/>
          <w:i w:val="0"/>
          <w:color w:val="1F2933"/>
          <w:sz w:val="21"/>
        </w:rPr>
        <w:t>Budget the review, not the generation. Generation is hours of compute; review is expert weeks, and it is what makes the content defensible in front of a school inspectorate.</w:t>
      </w:r>
    </w:p>
    <w:p>
      <w:pPr>
        <w:pStyle w:val="Heading2"/>
      </w:pPr>
      <w:r>
        <w:t>Layer 3 — Local context</w:t>
      </w:r>
    </w:p>
    <w:p>
      <w:pPr>
        <w:spacing w:after="140"/>
      </w:pPr>
      <w:r>
        <w:rPr>
          <w:rFonts w:ascii="Calibri" w:hAnsi="Calibri"/>
          <w:b w:val="0"/>
          <w:i w:val="0"/>
          <w:color w:val="1F2933"/>
          <w:sz w:val="21"/>
        </w:rPr>
        <w:t>A tutor that explains trade using the tested deployment's island fisheries data to a student two thousand kilometres inland is technically correct and pedagogically worse than useless. The platform keeps a curated library of local facts — economic, geographic, trade, climate, population, industry, sustainable development — tagged by subject, grade and locale, and injects only the matching locale's facts into prompts. One country's facts cannot leak into another country's course, by construction.</w:t>
      </w:r>
    </w:p>
    <w:p>
      <w:pPr>
        <w:spacing w:after="140"/>
      </w:pPr>
      <w:r>
        <w:rPr>
          <w:rFonts w:ascii="Calibri" w:hAnsi="Calibri"/>
          <w:b w:val="0"/>
          <w:i w:val="0"/>
          <w:color w:val="1F2933"/>
          <w:sz w:val="21"/>
        </w:rPr>
        <w:t>A new locale starts with an empty library and the tutor simply grounds less. Seeding it is a short, high-leverage task for subject experts: place names, currency, familiar geography and ecology, the industries students' families work in.</w:t>
      </w:r>
    </w:p>
    <w:p>
      <w:pPr>
        <w:pStyle w:val="Heading2"/>
      </w:pPr>
      <w:r>
        <w:t>Layer 4 — National structures</w:t>
      </w:r>
    </w:p>
    <w:p>
      <w:pPr>
        <w:spacing w:after="140"/>
      </w:pPr>
      <w:r>
        <w:rPr>
          <w:rFonts w:ascii="Calibri" w:hAnsi="Calibri"/>
          <w:b w:val="0"/>
          <w:i w:val="0"/>
          <w:color w:val="1F2933"/>
          <w:sz w:val="21"/>
        </w:rPr>
        <w:t>Grade names differ — S1–S5 in the Seychelles deployment, a different set entirely in the next country — and school registers differ, the words for "teacher" and "class" differ, and so do the bands a ministry reports attainment in. All of this is configuration, editable by a super-administrator: the grade list, the school list, competency thresholds for Below / Approaching / Meeting / Exceeding Expectation, the point at which the system advises a teacher to move the class on, branding and colours, and the three teacher permission gates.</w:t>
      </w:r>
    </w:p>
    <w:p>
      <w:pPr>
        <w:pStyle w:val="Heading2"/>
      </w:pPr>
      <w:r>
        <w:t>Layer 5 — Infrastructure and data residency</w:t>
      </w:r>
    </w:p>
    <w:p>
      <w:pPr>
        <w:spacing w:after="140"/>
      </w:pPr>
      <w:r>
        <w:rPr>
          <w:rFonts w:ascii="Calibri" w:hAnsi="Calibri"/>
          <w:b w:val="0"/>
          <w:i w:val="0"/>
          <w:color w:val="1F2933"/>
          <w:sz w:val="21"/>
        </w:rPr>
        <w:t>Where the application runs, where the database lives, and — separately and more importantly — where the language model runs. Section 5 treats this on its own because it is the decision with the least room for later revision.</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SEQUENCING</w:t>
            </w:r>
          </w:p>
          <w:p>
            <w:pPr>
              <w:spacing w:after="100"/>
            </w:pPr>
            <w:r>
              <w:rPr>
                <w:rFonts w:ascii="Calibri" w:hAnsi="Calibri"/>
                <w:b w:val="0"/>
                <w:i w:val="0"/>
                <w:color w:val="1F2933"/>
                <w:sz w:val="19"/>
              </w:rPr>
              <w:t>Layers 1, 4 and 5 are prerequisites for Layer 2 and should be finished first. Generating a subject's content before the locale register is settled means regenerating it. Generating it before the model placement decision means generating it against a quality bar you may not keep.</w:t>
            </w:r>
          </w:p>
        </w:tc>
      </w:tr>
    </w:tbl>
    <w:p>
      <w:pPr>
        <w:spacing w:after="40"/>
      </w:pPr>
    </w:p>
    <w:p>
      <w:pPr>
        <w:pStyle w:val="Heading1"/>
        <w:pBdr>
          <w:bottom w:val="single" w:sz="12" w:space="6" w:color="E8590C"/>
        </w:pBdr>
      </w:pPr>
      <w:r>
        <w:t>4.  Four models of adoption</w:t>
      </w:r>
    </w:p>
    <w:p>
      <w:pPr>
        <w:spacing w:after="140"/>
      </w:pPr>
      <w:r>
        <w:rPr>
          <w:rFonts w:ascii="Calibri" w:hAnsi="Calibri"/>
          <w:b w:val="0"/>
          <w:i w:val="0"/>
          <w:color w:val="1F2933"/>
          <w:sz w:val="21"/>
        </w:rPr>
        <w:t>The platform ships four deployment shapes. They differ in who operates it, where student data lives, and how much connectivity a classroom needs. A country can mix them — a national cloud instance for connected schools and offline kiosks for remote ones, sharing the same curriculum.</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1882"/>
        <w:gridCol w:w="1882"/>
        <w:gridCol w:w="1882"/>
        <w:gridCol w:w="1882"/>
        <w:gridCol w:w="1882"/>
      </w:tblGrid>
      <w:tr>
        <w:trPr>
          <w:tblHeader w:val="true"/>
          <w:cantSplit/>
        </w:trPr>
        <w:tc>
          <w:tcPr>
            <w:tcW w:type="dxa" w:w="1644"/>
            <w:shd w:val="clear" w:fill="1F2933"/>
          </w:tcPr>
          <w:p>
            <w:pPr>
              <w:spacing w:after="40" w:before="40"/>
            </w:pPr>
            <w:r/>
          </w:p>
        </w:tc>
        <w:tc>
          <w:tcPr>
            <w:tcW w:type="dxa" w:w="1871"/>
            <w:shd w:val="clear" w:fill="1F2933"/>
          </w:tcPr>
          <w:p>
            <w:pPr>
              <w:spacing w:after="40" w:before="40"/>
            </w:pPr>
            <w:r/>
            <w:r>
              <w:rPr>
                <w:rFonts w:ascii="Calibri" w:hAnsi="Calibri"/>
                <w:b/>
                <w:i w:val="0"/>
                <w:color w:val="FFFFFF"/>
                <w:sz w:val="17"/>
              </w:rPr>
              <w:t>A — Managed</w:t>
            </w:r>
          </w:p>
        </w:tc>
        <w:tc>
          <w:tcPr>
            <w:tcW w:type="dxa" w:w="2041"/>
            <w:shd w:val="clear" w:fill="1F2933"/>
          </w:tcPr>
          <w:p>
            <w:pPr>
              <w:spacing w:after="40" w:before="40"/>
            </w:pPr>
            <w:r/>
            <w:r>
              <w:rPr>
                <w:rFonts w:ascii="Calibri" w:hAnsi="Calibri"/>
                <w:b/>
                <w:i w:val="0"/>
                <w:color w:val="FFFFFF"/>
                <w:sz w:val="17"/>
              </w:rPr>
              <w:t>B — Country cloud</w:t>
            </w:r>
          </w:p>
        </w:tc>
        <w:tc>
          <w:tcPr>
            <w:tcW w:type="dxa" w:w="1984"/>
            <w:shd w:val="clear" w:fill="1F2933"/>
          </w:tcPr>
          <w:p>
            <w:pPr>
              <w:spacing w:after="40" w:before="40"/>
            </w:pPr>
            <w:r/>
            <w:r>
              <w:rPr>
                <w:rFonts w:ascii="Calibri" w:hAnsi="Calibri"/>
                <w:b/>
                <w:i w:val="0"/>
                <w:color w:val="FFFFFF"/>
                <w:sz w:val="17"/>
              </w:rPr>
              <w:t>C — Single server</w:t>
            </w:r>
          </w:p>
        </w:tc>
        <w:tc>
          <w:tcPr>
            <w:tcW w:type="dxa" w:w="1871"/>
            <w:shd w:val="clear" w:fill="1F2933"/>
          </w:tcPr>
          <w:p>
            <w:pPr>
              <w:spacing w:after="40" w:before="40"/>
            </w:pPr>
            <w:r/>
            <w:r>
              <w:rPr>
                <w:rFonts w:ascii="Calibri" w:hAnsi="Calibri"/>
                <w:b/>
                <w:i w:val="0"/>
                <w:color w:val="FFFFFF"/>
                <w:sz w:val="17"/>
              </w:rPr>
              <w:t>D — Offline</w:t>
            </w:r>
          </w:p>
        </w:tc>
      </w:tr>
      <w:tr>
        <w:trPr>
          <w:cantSplit/>
        </w:trPr>
        <w:tc>
          <w:tcPr>
            <w:tcW w:type="dxa" w:w="1644"/>
          </w:tcPr>
          <w:p>
            <w:pPr>
              <w:spacing w:after="40" w:before="40"/>
            </w:pPr>
            <w:r/>
            <w:r>
              <w:rPr>
                <w:rFonts w:ascii="Calibri" w:hAnsi="Calibri"/>
                <w:b w:val="0"/>
                <w:i w:val="0"/>
                <w:color w:val="1F2933"/>
                <w:sz w:val="17"/>
              </w:rPr>
              <w:t>Who operates it</w:t>
            </w:r>
          </w:p>
        </w:tc>
        <w:tc>
          <w:tcPr>
            <w:tcW w:type="dxa" w:w="1871"/>
          </w:tcPr>
          <w:p>
            <w:pPr>
              <w:spacing w:after="40" w:before="40"/>
            </w:pPr>
            <w:r/>
            <w:r>
              <w:rPr>
                <w:rFonts w:ascii="Calibri" w:hAnsi="Calibri"/>
                <w:b w:val="0"/>
                <w:i w:val="0"/>
                <w:color w:val="1F2933"/>
                <w:sz w:val="17"/>
              </w:rPr>
              <w:t>Platform team</w:t>
            </w:r>
          </w:p>
        </w:tc>
        <w:tc>
          <w:tcPr>
            <w:tcW w:type="dxa" w:w="2041"/>
          </w:tcPr>
          <w:p>
            <w:pPr>
              <w:spacing w:after="40" w:before="40"/>
            </w:pPr>
            <w:r/>
            <w:r>
              <w:rPr>
                <w:rFonts w:ascii="Calibri" w:hAnsi="Calibri"/>
                <w:b w:val="0"/>
                <w:i w:val="0"/>
                <w:color w:val="1F2933"/>
                <w:sz w:val="17"/>
              </w:rPr>
              <w:t>Country technical team, on its own AWS or Azure account</w:t>
            </w:r>
          </w:p>
        </w:tc>
        <w:tc>
          <w:tcPr>
            <w:tcW w:type="dxa" w:w="1984"/>
          </w:tcPr>
          <w:p>
            <w:pPr>
              <w:spacing w:after="40" w:before="40"/>
            </w:pPr>
            <w:r/>
            <w:r>
              <w:rPr>
                <w:rFonts w:ascii="Calibri" w:hAnsi="Calibri"/>
                <w:b w:val="0"/>
                <w:i w:val="0"/>
                <w:color w:val="1F2933"/>
                <w:sz w:val="17"/>
              </w:rPr>
              <w:t>Country technical team, one Linux server</w:t>
            </w:r>
          </w:p>
        </w:tc>
        <w:tc>
          <w:tcPr>
            <w:tcW w:type="dxa" w:w="1871"/>
          </w:tcPr>
          <w:p>
            <w:pPr>
              <w:spacing w:after="40" w:before="40"/>
            </w:pPr>
            <w:r/>
            <w:r>
              <w:rPr>
                <w:rFonts w:ascii="Calibri" w:hAnsi="Calibri"/>
                <w:b w:val="0"/>
                <w:i w:val="0"/>
                <w:color w:val="1F2933"/>
                <w:sz w:val="17"/>
              </w:rPr>
              <w:t>The school</w:t>
            </w:r>
          </w:p>
        </w:tc>
      </w:tr>
      <w:tr>
        <w:trPr>
          <w:cantSplit/>
        </w:trPr>
        <w:tc>
          <w:tcPr>
            <w:tcW w:type="dxa" w:w="1644"/>
            <w:shd w:val="clear" w:fill="F4F6F8"/>
          </w:tcPr>
          <w:p>
            <w:pPr>
              <w:spacing w:after="40" w:before="40"/>
            </w:pPr>
            <w:r/>
            <w:r>
              <w:rPr>
                <w:rFonts w:ascii="Calibri" w:hAnsi="Calibri"/>
                <w:b w:val="0"/>
                <w:i w:val="0"/>
                <w:color w:val="1F2933"/>
                <w:sz w:val="17"/>
              </w:rPr>
              <w:t>Where student data lives</w:t>
            </w:r>
          </w:p>
        </w:tc>
        <w:tc>
          <w:tcPr>
            <w:tcW w:type="dxa" w:w="1871"/>
            <w:shd w:val="clear" w:fill="F4F6F8"/>
          </w:tcPr>
          <w:p>
            <w:pPr>
              <w:spacing w:after="40" w:before="40"/>
            </w:pPr>
            <w:r/>
            <w:r>
              <w:rPr>
                <w:rFonts w:ascii="Calibri" w:hAnsi="Calibri"/>
                <w:b w:val="0"/>
                <w:i w:val="0"/>
                <w:color w:val="1F2933"/>
                <w:sz w:val="17"/>
              </w:rPr>
              <w:t>Vendor cloud</w:t>
            </w:r>
          </w:p>
        </w:tc>
        <w:tc>
          <w:tcPr>
            <w:tcW w:type="dxa" w:w="2041"/>
            <w:shd w:val="clear" w:fill="F4F6F8"/>
          </w:tcPr>
          <w:p>
            <w:pPr>
              <w:spacing w:after="40" w:before="40"/>
            </w:pPr>
            <w:r/>
            <w:r>
              <w:rPr>
                <w:rFonts w:ascii="Calibri" w:hAnsi="Calibri"/>
                <w:b w:val="0"/>
                <w:i w:val="0"/>
                <w:color w:val="1F2933"/>
                <w:sz w:val="17"/>
              </w:rPr>
              <w:t>Country-chosen region</w:t>
            </w:r>
          </w:p>
        </w:tc>
        <w:tc>
          <w:tcPr>
            <w:tcW w:type="dxa" w:w="1984"/>
            <w:shd w:val="clear" w:fill="F4F6F8"/>
          </w:tcPr>
          <w:p>
            <w:pPr>
              <w:spacing w:after="40" w:before="40"/>
            </w:pPr>
            <w:r/>
            <w:r>
              <w:rPr>
                <w:rFonts w:ascii="Calibri" w:hAnsi="Calibri"/>
                <w:b w:val="0"/>
                <w:i w:val="0"/>
                <w:color w:val="1F2933"/>
                <w:sz w:val="17"/>
              </w:rPr>
              <w:t>Wherever the server is, including on-premises</w:t>
            </w:r>
          </w:p>
        </w:tc>
        <w:tc>
          <w:tcPr>
            <w:tcW w:type="dxa" w:w="1871"/>
            <w:shd w:val="clear" w:fill="F4F6F8"/>
          </w:tcPr>
          <w:p>
            <w:pPr>
              <w:spacing w:after="40" w:before="40"/>
            </w:pPr>
            <w:r/>
            <w:r>
              <w:rPr>
                <w:rFonts w:ascii="Calibri" w:hAnsi="Calibri"/>
                <w:b w:val="0"/>
                <w:i w:val="0"/>
                <w:color w:val="1F2933"/>
                <w:sz w:val="17"/>
              </w:rPr>
              <w:t>On the classroom machine</w:t>
            </w:r>
          </w:p>
        </w:tc>
      </w:tr>
      <w:tr>
        <w:trPr>
          <w:cantSplit/>
        </w:trPr>
        <w:tc>
          <w:tcPr>
            <w:tcW w:type="dxa" w:w="1644"/>
          </w:tcPr>
          <w:p>
            <w:pPr>
              <w:spacing w:after="40" w:before="40"/>
            </w:pPr>
            <w:r/>
            <w:r>
              <w:rPr>
                <w:rFonts w:ascii="Calibri" w:hAnsi="Calibri"/>
                <w:b w:val="0"/>
                <w:i w:val="0"/>
                <w:color w:val="1F2933"/>
                <w:sz w:val="17"/>
              </w:rPr>
              <w:t>Model calls</w:t>
            </w:r>
          </w:p>
        </w:tc>
        <w:tc>
          <w:tcPr>
            <w:tcW w:type="dxa" w:w="1871"/>
          </w:tcPr>
          <w:p>
            <w:pPr>
              <w:spacing w:after="40" w:before="40"/>
            </w:pPr>
            <w:r/>
            <w:r>
              <w:rPr>
                <w:rFonts w:ascii="Calibri" w:hAnsi="Calibri"/>
                <w:b w:val="0"/>
                <w:i w:val="0"/>
                <w:color w:val="1F2933"/>
                <w:sz w:val="17"/>
              </w:rPr>
              <w:t>Leave the country</w:t>
            </w:r>
          </w:p>
        </w:tc>
        <w:tc>
          <w:tcPr>
            <w:tcW w:type="dxa" w:w="2041"/>
          </w:tcPr>
          <w:p>
            <w:pPr>
              <w:spacing w:after="40" w:before="40"/>
            </w:pPr>
            <w:r/>
            <w:r>
              <w:rPr>
                <w:rFonts w:ascii="Calibri" w:hAnsi="Calibri"/>
                <w:b w:val="0"/>
                <w:i w:val="0"/>
                <w:color w:val="1F2933"/>
                <w:sz w:val="17"/>
              </w:rPr>
              <w:t>Leave the country (unless self-hosted)</w:t>
            </w:r>
          </w:p>
        </w:tc>
        <w:tc>
          <w:tcPr>
            <w:tcW w:type="dxa" w:w="1984"/>
          </w:tcPr>
          <w:p>
            <w:pPr>
              <w:spacing w:after="40" w:before="40"/>
            </w:pPr>
            <w:r/>
            <w:r>
              <w:rPr>
                <w:rFonts w:ascii="Calibri" w:hAnsi="Calibri"/>
                <w:b w:val="0"/>
                <w:i w:val="0"/>
                <w:color w:val="1F2933"/>
                <w:sz w:val="17"/>
              </w:rPr>
              <w:t>Leave the country (unless self-hosted)</w:t>
            </w:r>
          </w:p>
        </w:tc>
        <w:tc>
          <w:tcPr>
            <w:tcW w:type="dxa" w:w="1871"/>
          </w:tcPr>
          <w:p>
            <w:pPr>
              <w:spacing w:after="40" w:before="40"/>
            </w:pPr>
            <w:r/>
            <w:r>
              <w:rPr>
                <w:rFonts w:ascii="Calibri" w:hAnsi="Calibri"/>
                <w:b w:val="0"/>
                <w:i w:val="0"/>
                <w:color w:val="1F2933"/>
                <w:sz w:val="17"/>
              </w:rPr>
              <w:t>Never leave the room</w:t>
            </w:r>
          </w:p>
        </w:tc>
      </w:tr>
      <w:tr>
        <w:trPr>
          <w:cantSplit/>
        </w:trPr>
        <w:tc>
          <w:tcPr>
            <w:tcW w:type="dxa" w:w="1644"/>
            <w:shd w:val="clear" w:fill="F4F6F8"/>
          </w:tcPr>
          <w:p>
            <w:pPr>
              <w:spacing w:after="40" w:before="40"/>
            </w:pPr>
            <w:r/>
            <w:r>
              <w:rPr>
                <w:rFonts w:ascii="Calibri" w:hAnsi="Calibri"/>
                <w:b w:val="0"/>
                <w:i w:val="0"/>
                <w:color w:val="1F2933"/>
                <w:sz w:val="17"/>
              </w:rPr>
              <w:t>Connectivity</w:t>
            </w:r>
          </w:p>
        </w:tc>
        <w:tc>
          <w:tcPr>
            <w:tcW w:type="dxa" w:w="1871"/>
            <w:shd w:val="clear" w:fill="F4F6F8"/>
          </w:tcPr>
          <w:p>
            <w:pPr>
              <w:spacing w:after="40" w:before="40"/>
            </w:pPr>
            <w:r/>
            <w:r>
              <w:rPr>
                <w:rFonts w:ascii="Calibri" w:hAnsi="Calibri"/>
                <w:b w:val="0"/>
                <w:i w:val="0"/>
                <w:color w:val="1F2933"/>
                <w:sz w:val="17"/>
              </w:rPr>
              <w:t>Per-classroom internet</w:t>
            </w:r>
          </w:p>
        </w:tc>
        <w:tc>
          <w:tcPr>
            <w:tcW w:type="dxa" w:w="2041"/>
            <w:shd w:val="clear" w:fill="F4F6F8"/>
          </w:tcPr>
          <w:p>
            <w:pPr>
              <w:spacing w:after="40" w:before="40"/>
            </w:pPr>
            <w:r/>
            <w:r>
              <w:rPr>
                <w:rFonts w:ascii="Calibri" w:hAnsi="Calibri"/>
                <w:b w:val="0"/>
                <w:i w:val="0"/>
                <w:color w:val="1F2933"/>
                <w:sz w:val="17"/>
              </w:rPr>
              <w:t>Per-classroom internet</w:t>
            </w:r>
          </w:p>
        </w:tc>
        <w:tc>
          <w:tcPr>
            <w:tcW w:type="dxa" w:w="1984"/>
            <w:shd w:val="clear" w:fill="F4F6F8"/>
          </w:tcPr>
          <w:p>
            <w:pPr>
              <w:spacing w:after="40" w:before="40"/>
            </w:pPr>
            <w:r/>
            <w:r>
              <w:rPr>
                <w:rFonts w:ascii="Calibri" w:hAnsi="Calibri"/>
                <w:b w:val="0"/>
                <w:i w:val="0"/>
                <w:color w:val="1F2933"/>
                <w:sz w:val="17"/>
              </w:rPr>
              <w:t>Per-classroom internet (may be LAN-only)</w:t>
            </w:r>
          </w:p>
        </w:tc>
        <w:tc>
          <w:tcPr>
            <w:tcW w:type="dxa" w:w="1871"/>
            <w:shd w:val="clear" w:fill="F4F6F8"/>
          </w:tcPr>
          <w:p>
            <w:pPr>
              <w:spacing w:after="40" w:before="40"/>
            </w:pPr>
            <w:r/>
            <w:r>
              <w:rPr>
                <w:rFonts w:ascii="Calibri" w:hAnsi="Calibri"/>
                <w:b w:val="0"/>
                <w:i w:val="0"/>
                <w:color w:val="1F2933"/>
                <w:sz w:val="17"/>
              </w:rPr>
              <w:t>None</w:t>
            </w:r>
          </w:p>
        </w:tc>
      </w:tr>
      <w:tr>
        <w:trPr>
          <w:cantSplit/>
        </w:trPr>
        <w:tc>
          <w:tcPr>
            <w:tcW w:type="dxa" w:w="1644"/>
          </w:tcPr>
          <w:p>
            <w:pPr>
              <w:spacing w:after="40" w:before="40"/>
            </w:pPr>
            <w:r/>
            <w:r>
              <w:rPr>
                <w:rFonts w:ascii="Calibri" w:hAnsi="Calibri"/>
                <w:b w:val="0"/>
                <w:i w:val="0"/>
                <w:color w:val="1F2933"/>
                <w:sz w:val="17"/>
              </w:rPr>
              <w:t>Resilience</w:t>
            </w:r>
          </w:p>
        </w:tc>
        <w:tc>
          <w:tcPr>
            <w:tcW w:type="dxa" w:w="1871"/>
          </w:tcPr>
          <w:p>
            <w:pPr>
              <w:spacing w:after="40" w:before="40"/>
            </w:pPr>
            <w:r/>
            <w:r>
              <w:rPr>
                <w:rFonts w:ascii="Calibri" w:hAnsi="Calibri"/>
                <w:b w:val="0"/>
                <w:i w:val="0"/>
                <w:color w:val="1F2933"/>
                <w:sz w:val="17"/>
              </w:rPr>
              <w:t>Managed</w:t>
            </w:r>
          </w:p>
        </w:tc>
        <w:tc>
          <w:tcPr>
            <w:tcW w:type="dxa" w:w="2041"/>
          </w:tcPr>
          <w:p>
            <w:pPr>
              <w:spacing w:after="40" w:before="40"/>
            </w:pPr>
            <w:r/>
            <w:r>
              <w:rPr>
                <w:rFonts w:ascii="Calibri" w:hAnsi="Calibri"/>
                <w:b w:val="0"/>
                <w:i w:val="0"/>
                <w:color w:val="1F2933"/>
                <w:sz w:val="17"/>
              </w:rPr>
              <w:t>Survives machine failure without intervention</w:t>
            </w:r>
          </w:p>
        </w:tc>
        <w:tc>
          <w:tcPr>
            <w:tcW w:type="dxa" w:w="1984"/>
          </w:tcPr>
          <w:p>
            <w:pPr>
              <w:spacing w:after="40" w:before="40"/>
            </w:pPr>
            <w:r/>
            <w:r>
              <w:rPr>
                <w:rFonts w:ascii="Calibri" w:hAnsi="Calibri"/>
                <w:b w:val="0"/>
                <w:i w:val="0"/>
                <w:color w:val="1F2933"/>
                <w:sz w:val="17"/>
              </w:rPr>
              <w:t>Single point of failure — backups matter</w:t>
            </w:r>
          </w:p>
        </w:tc>
        <w:tc>
          <w:tcPr>
            <w:tcW w:type="dxa" w:w="1871"/>
          </w:tcPr>
          <w:p>
            <w:pPr>
              <w:spacing w:after="40" w:before="40"/>
            </w:pPr>
            <w:r/>
            <w:r>
              <w:rPr>
                <w:rFonts w:ascii="Calibri" w:hAnsi="Calibri"/>
                <w:b w:val="0"/>
                <w:i w:val="0"/>
                <w:color w:val="1F2933"/>
                <w:sz w:val="17"/>
              </w:rPr>
              <w:t>Per-device</w:t>
            </w:r>
          </w:p>
        </w:tc>
      </w:tr>
      <w:tr>
        <w:trPr>
          <w:cantSplit/>
        </w:trPr>
        <w:tc>
          <w:tcPr>
            <w:tcW w:type="dxa" w:w="1644"/>
            <w:shd w:val="clear" w:fill="F4F6F8"/>
          </w:tcPr>
          <w:p>
            <w:pPr>
              <w:spacing w:after="40" w:before="40"/>
            </w:pPr>
            <w:r/>
            <w:r>
              <w:rPr>
                <w:rFonts w:ascii="Calibri" w:hAnsi="Calibri"/>
                <w:b w:val="0"/>
                <w:i w:val="0"/>
                <w:color w:val="1F2933"/>
                <w:sz w:val="17"/>
              </w:rPr>
              <w:t>Indicative fixed cost</w:t>
            </w:r>
          </w:p>
        </w:tc>
        <w:tc>
          <w:tcPr>
            <w:tcW w:type="dxa" w:w="1871"/>
            <w:shd w:val="clear" w:fill="F4F6F8"/>
          </w:tcPr>
          <w:p>
            <w:pPr>
              <w:spacing w:after="40" w:before="40"/>
            </w:pPr>
            <w:r/>
            <w:r>
              <w:rPr>
                <w:rFonts w:ascii="Calibri" w:hAnsi="Calibri"/>
                <w:b w:val="0"/>
                <w:i w:val="0"/>
                <w:color w:val="1F2933"/>
                <w:sz w:val="17"/>
              </w:rPr>
              <w:t>—</w:t>
            </w:r>
          </w:p>
        </w:tc>
        <w:tc>
          <w:tcPr>
            <w:tcW w:type="dxa" w:w="2041"/>
            <w:shd w:val="clear" w:fill="F4F6F8"/>
          </w:tcPr>
          <w:p>
            <w:pPr>
              <w:spacing w:after="40" w:before="40"/>
            </w:pPr>
            <w:r/>
            <w:r>
              <w:rPr>
                <w:rFonts w:ascii="Calibri" w:hAnsi="Calibri"/>
                <w:b w:val="0"/>
                <w:i w:val="0"/>
                <w:color w:val="1F2933"/>
                <w:sz w:val="17"/>
              </w:rPr>
              <w:t>≈ US$260 / month</w:t>
            </w:r>
          </w:p>
        </w:tc>
        <w:tc>
          <w:tcPr>
            <w:tcW w:type="dxa" w:w="1984"/>
            <w:shd w:val="clear" w:fill="F4F6F8"/>
          </w:tcPr>
          <w:p>
            <w:pPr>
              <w:spacing w:after="40" w:before="40"/>
            </w:pPr>
            <w:r/>
            <w:r>
              <w:rPr>
                <w:rFonts w:ascii="Calibri" w:hAnsi="Calibri"/>
                <w:b w:val="0"/>
                <w:i w:val="0"/>
                <w:color w:val="1F2933"/>
                <w:sz w:val="17"/>
              </w:rPr>
              <w:t>One server: 4 vCPU, 8 GB, 60 GB</w:t>
            </w:r>
          </w:p>
        </w:tc>
        <w:tc>
          <w:tcPr>
            <w:tcW w:type="dxa" w:w="1871"/>
            <w:shd w:val="clear" w:fill="F4F6F8"/>
          </w:tcPr>
          <w:p>
            <w:pPr>
              <w:spacing w:after="40" w:before="40"/>
            </w:pPr>
            <w:r/>
            <w:r>
              <w:rPr>
                <w:rFonts w:ascii="Calibri" w:hAnsi="Calibri"/>
                <w:b w:val="0"/>
                <w:i w:val="0"/>
                <w:color w:val="1F2933"/>
                <w:sz w:val="17"/>
              </w:rPr>
              <w:t>Hardware only</w:t>
            </w:r>
          </w:p>
        </w:tc>
      </w:tr>
      <w:tr>
        <w:trPr>
          <w:cantSplit/>
        </w:trPr>
        <w:tc>
          <w:tcPr>
            <w:tcW w:type="dxa" w:w="1644"/>
          </w:tcPr>
          <w:p>
            <w:pPr>
              <w:spacing w:after="40" w:before="40"/>
            </w:pPr>
            <w:r/>
            <w:r>
              <w:rPr>
                <w:rFonts w:ascii="Calibri" w:hAnsi="Calibri"/>
                <w:b w:val="0"/>
                <w:i w:val="0"/>
                <w:color w:val="1F2933"/>
                <w:sz w:val="17"/>
              </w:rPr>
              <w:t>Best for</w:t>
            </w:r>
          </w:p>
        </w:tc>
        <w:tc>
          <w:tcPr>
            <w:tcW w:type="dxa" w:w="1871"/>
          </w:tcPr>
          <w:p>
            <w:pPr>
              <w:spacing w:after="40" w:before="40"/>
            </w:pPr>
            <w:r/>
            <w:r>
              <w:rPr>
                <w:rFonts w:ascii="Calibri" w:hAnsi="Calibri"/>
                <w:b w:val="0"/>
                <w:i w:val="0"/>
                <w:color w:val="1F2933"/>
                <w:sz w:val="17"/>
              </w:rPr>
              <w:t>Proving the concept before committing</w:t>
            </w:r>
          </w:p>
        </w:tc>
        <w:tc>
          <w:tcPr>
            <w:tcW w:type="dxa" w:w="2041"/>
          </w:tcPr>
          <w:p>
            <w:pPr>
              <w:spacing w:after="40" w:before="40"/>
            </w:pPr>
            <w:r/>
            <w:r>
              <w:rPr>
                <w:rFonts w:ascii="Calibri" w:hAnsi="Calibri"/>
                <w:b w:val="0"/>
                <w:i w:val="0"/>
                <w:color w:val="1F2933"/>
                <w:sz w:val="17"/>
              </w:rPr>
              <w:t>A national rollout with an in-country IT function</w:t>
            </w:r>
          </w:p>
        </w:tc>
        <w:tc>
          <w:tcPr>
            <w:tcW w:type="dxa" w:w="1984"/>
          </w:tcPr>
          <w:p>
            <w:pPr>
              <w:spacing w:after="40" w:before="40"/>
            </w:pPr>
            <w:r/>
            <w:r>
              <w:rPr>
                <w:rFonts w:ascii="Calibri" w:hAnsi="Calibri"/>
                <w:b w:val="0"/>
                <w:i w:val="0"/>
                <w:color w:val="1F2933"/>
                <w:sz w:val="17"/>
              </w:rPr>
              <w:t>A ministry data centre, or a tight budget</w:t>
            </w:r>
          </w:p>
        </w:tc>
        <w:tc>
          <w:tcPr>
            <w:tcW w:type="dxa" w:w="1871"/>
          </w:tcPr>
          <w:p>
            <w:pPr>
              <w:spacing w:after="40" w:before="40"/>
            </w:pPr>
            <w:r/>
            <w:r>
              <w:rPr>
                <w:rFonts w:ascii="Calibri" w:hAnsi="Calibri"/>
                <w:b w:val="0"/>
                <w:i w:val="0"/>
                <w:color w:val="1F2933"/>
                <w:sz w:val="17"/>
              </w:rPr>
              <w:t>Remote schools, or a hard data-residency rule</w:t>
            </w:r>
          </w:p>
        </w:tc>
      </w:tr>
    </w:tbl>
    <w:p>
      <w:pPr>
        <w:spacing w:after="40"/>
      </w:pPr>
    </w:p>
    <w:p>
      <w:pPr>
        <w:pStyle w:val="Heading2"/>
      </w:pPr>
      <w:r>
        <w:t>The offline options in more detail</w:t>
      </w:r>
    </w:p>
    <w:p>
      <w:pPr>
        <w:pStyle w:val="ListBullet"/>
        <w:spacing w:after="60"/>
      </w:pPr>
      <w:r>
        <w:rPr>
          <w:rFonts w:ascii="Calibri" w:hAnsi="Calibri"/>
          <w:b/>
          <w:i w:val="0"/>
          <w:color w:val="1F2933"/>
          <w:sz w:val="21"/>
        </w:rPr>
        <w:t>Offline desktop application</w:t>
      </w:r>
      <w:r>
        <w:rPr>
          <w:rFonts w:ascii="Calibri" w:hAnsi="Calibri"/>
          <w:b w:val="0"/>
          <w:i w:val="0"/>
          <w:color w:val="1F2933"/>
          <w:sz w:val="21"/>
        </w:rPr>
        <w:t xml:space="preserve"> — Linux, Windows and macOS. Runs a language model on the classroom machine and never calls out. Work syncs back to a server when one is reachable, and provisioned laptops are seeded from a content pack carried on a USB stick.</w:t>
      </w:r>
    </w:p>
    <w:p>
      <w:pPr>
        <w:pStyle w:val="ListBullet"/>
        <w:spacing w:after="60"/>
      </w:pPr>
      <w:r>
        <w:rPr>
          <w:rFonts w:ascii="Calibri" w:hAnsi="Calibri"/>
          <w:b/>
          <w:i w:val="0"/>
          <w:color w:val="1F2933"/>
          <w:sz w:val="21"/>
        </w:rPr>
        <w:t>Offline kiosk</w:t>
      </w:r>
      <w:r>
        <w:rPr>
          <w:rFonts w:ascii="Calibri" w:hAnsi="Calibri"/>
          <w:b w:val="0"/>
          <w:i w:val="0"/>
          <w:color w:val="1F2933"/>
          <w:sz w:val="21"/>
        </w:rPr>
        <w:t xml:space="preserve"> — a small NVIDIA Jetson board that broadcasts its own WiFi network and serves the tutor to any browser in the room at a fixed address. No monitor, no keyboard, no internet: power it on and students connect. First reply after a cold boot takes about ninety seconds while the model loads; subsequent turns settle to around twenty.</w:t>
      </w:r>
    </w:p>
    <w:p>
      <w:pPr>
        <w:spacing w:after="140"/>
      </w:pPr>
      <w:r>
        <w:rPr>
          <w:rFonts w:ascii="Calibri" w:hAnsi="Calibri"/>
          <w:b w:val="0"/>
          <w:i w:val="0"/>
          <w:color w:val="1F2933"/>
          <w:sz w:val="21"/>
        </w:rPr>
        <w:t>Both trade tutoring quality for independence. A small local model is a weaker tutor than a frontier cloud model, and slower on a machine without a GPU. The platform is built so that this trade-off can be measured rather than argued about — see section 8.</w:t>
      </w:r>
    </w:p>
    <w:p>
      <w:pPr>
        <w:pStyle w:val="Heading2"/>
      </w:pPr>
      <w:r>
        <w:t>Choosing between them</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5669"/>
            <w:shd w:val="clear" w:fill="1F2933"/>
          </w:tcPr>
          <w:p>
            <w:pPr>
              <w:spacing w:after="40" w:before="40"/>
            </w:pPr>
            <w:r/>
            <w:r>
              <w:rPr>
                <w:rFonts w:ascii="Calibri" w:hAnsi="Calibri"/>
                <w:b/>
                <w:i w:val="0"/>
                <w:color w:val="FFFFFF"/>
                <w:sz w:val="19"/>
              </w:rPr>
              <w:t>If this is true…</w:t>
            </w:r>
          </w:p>
        </w:tc>
        <w:tc>
          <w:tcPr>
            <w:tcW w:type="dxa" w:w="3742"/>
            <w:shd w:val="clear" w:fill="1F2933"/>
          </w:tcPr>
          <w:p>
            <w:pPr>
              <w:spacing w:after="40" w:before="40"/>
            </w:pPr>
            <w:r/>
            <w:r>
              <w:rPr>
                <w:rFonts w:ascii="Calibri" w:hAnsi="Calibri"/>
                <w:b/>
                <w:i w:val="0"/>
                <w:color w:val="FFFFFF"/>
                <w:sz w:val="19"/>
              </w:rPr>
              <w:t>…start here</w:t>
            </w:r>
          </w:p>
        </w:tc>
      </w:tr>
      <w:tr>
        <w:trPr>
          <w:cantSplit/>
        </w:trPr>
        <w:tc>
          <w:tcPr>
            <w:tcW w:type="dxa" w:w="5669"/>
          </w:tcPr>
          <w:p>
            <w:pPr>
              <w:spacing w:after="40" w:before="40"/>
            </w:pPr>
            <w:r/>
            <w:r>
              <w:rPr>
                <w:rFonts w:ascii="Calibri" w:hAnsi="Calibri"/>
                <w:b w:val="0"/>
                <w:i w:val="0"/>
                <w:color w:val="1F2933"/>
                <w:sz w:val="19"/>
              </w:rPr>
              <w:t>Student conversation content may not leave the country under law or policy</w:t>
            </w:r>
          </w:p>
        </w:tc>
        <w:tc>
          <w:tcPr>
            <w:tcW w:type="dxa" w:w="3742"/>
          </w:tcPr>
          <w:p>
            <w:pPr>
              <w:spacing w:after="40" w:before="40"/>
            </w:pPr>
            <w:r/>
            <w:r>
              <w:rPr>
                <w:rFonts w:ascii="Calibri" w:hAnsi="Calibri"/>
                <w:b w:val="0"/>
                <w:i w:val="0"/>
                <w:color w:val="1F2933"/>
                <w:sz w:val="19"/>
              </w:rPr>
              <w:t>D, or B/C with a self-hosted model</w:t>
            </w:r>
          </w:p>
        </w:tc>
      </w:tr>
      <w:tr>
        <w:trPr>
          <w:cantSplit/>
        </w:trPr>
        <w:tc>
          <w:tcPr>
            <w:tcW w:type="dxa" w:w="5669"/>
            <w:shd w:val="clear" w:fill="F4F6F8"/>
          </w:tcPr>
          <w:p>
            <w:pPr>
              <w:spacing w:after="40" w:before="40"/>
            </w:pPr>
            <w:r/>
            <w:r>
              <w:rPr>
                <w:rFonts w:ascii="Calibri" w:hAnsi="Calibri"/>
                <w:b w:val="0"/>
                <w:i w:val="0"/>
                <w:color w:val="1F2933"/>
                <w:sz w:val="19"/>
              </w:rPr>
              <w:t>Classrooms have no reliable internet</w:t>
            </w:r>
          </w:p>
        </w:tc>
        <w:tc>
          <w:tcPr>
            <w:tcW w:type="dxa" w:w="3742"/>
            <w:shd w:val="clear" w:fill="F4F6F8"/>
          </w:tcPr>
          <w:p>
            <w:pPr>
              <w:spacing w:after="40" w:before="40"/>
            </w:pPr>
            <w:r/>
            <w:r>
              <w:rPr>
                <w:rFonts w:ascii="Calibri" w:hAnsi="Calibri"/>
                <w:b w:val="0"/>
                <w:i w:val="0"/>
                <w:color w:val="1F2933"/>
                <w:sz w:val="19"/>
              </w:rPr>
              <w:t>D</w:t>
            </w:r>
          </w:p>
        </w:tc>
      </w:tr>
      <w:tr>
        <w:trPr>
          <w:cantSplit/>
        </w:trPr>
        <w:tc>
          <w:tcPr>
            <w:tcW w:type="dxa" w:w="5669"/>
          </w:tcPr>
          <w:p>
            <w:pPr>
              <w:spacing w:after="40" w:before="40"/>
            </w:pPr>
            <w:r/>
            <w:r>
              <w:rPr>
                <w:rFonts w:ascii="Calibri" w:hAnsi="Calibri"/>
                <w:b w:val="0"/>
                <w:i w:val="0"/>
                <w:color w:val="1F2933"/>
                <w:sz w:val="19"/>
              </w:rPr>
              <w:t>There is an in-country IT function that can own a cloud account</w:t>
            </w:r>
          </w:p>
        </w:tc>
        <w:tc>
          <w:tcPr>
            <w:tcW w:type="dxa" w:w="3742"/>
          </w:tcPr>
          <w:p>
            <w:pPr>
              <w:spacing w:after="40" w:before="40"/>
            </w:pPr>
            <w:r/>
            <w:r>
              <w:rPr>
                <w:rFonts w:ascii="Calibri" w:hAnsi="Calibri"/>
                <w:b w:val="0"/>
                <w:i w:val="0"/>
                <w:color w:val="1F2933"/>
                <w:sz w:val="19"/>
              </w:rPr>
              <w:t>B</w:t>
            </w:r>
          </w:p>
        </w:tc>
      </w:tr>
      <w:tr>
        <w:trPr>
          <w:cantSplit/>
        </w:trPr>
        <w:tc>
          <w:tcPr>
            <w:tcW w:type="dxa" w:w="5669"/>
            <w:shd w:val="clear" w:fill="F4F6F8"/>
          </w:tcPr>
          <w:p>
            <w:pPr>
              <w:spacing w:after="40" w:before="40"/>
            </w:pPr>
            <w:r/>
            <w:r>
              <w:rPr>
                <w:rFonts w:ascii="Calibri" w:hAnsi="Calibri"/>
                <w:b w:val="0"/>
                <w:i w:val="0"/>
                <w:color w:val="1F2933"/>
                <w:sz w:val="19"/>
              </w:rPr>
              <w:t>There is a ministry data centre and a preference for on-premises</w:t>
            </w:r>
          </w:p>
        </w:tc>
        <w:tc>
          <w:tcPr>
            <w:tcW w:type="dxa" w:w="3742"/>
            <w:shd w:val="clear" w:fill="F4F6F8"/>
          </w:tcPr>
          <w:p>
            <w:pPr>
              <w:spacing w:after="40" w:before="40"/>
            </w:pPr>
            <w:r/>
            <w:r>
              <w:rPr>
                <w:rFonts w:ascii="Calibri" w:hAnsi="Calibri"/>
                <w:b w:val="0"/>
                <w:i w:val="0"/>
                <w:color w:val="1F2933"/>
                <w:sz w:val="19"/>
              </w:rPr>
              <w:t>C</w:t>
            </w:r>
          </w:p>
        </w:tc>
      </w:tr>
      <w:tr>
        <w:trPr>
          <w:cantSplit/>
        </w:trPr>
        <w:tc>
          <w:tcPr>
            <w:tcW w:type="dxa" w:w="5669"/>
          </w:tcPr>
          <w:p>
            <w:pPr>
              <w:spacing w:after="40" w:before="40"/>
            </w:pPr>
            <w:r/>
            <w:r>
              <w:rPr>
                <w:rFonts w:ascii="Calibri" w:hAnsi="Calibri"/>
                <w:b w:val="0"/>
                <w:i w:val="0"/>
                <w:color w:val="1F2933"/>
                <w:sz w:val="19"/>
              </w:rPr>
              <w:t>The goal this year is evidence, not a national rollout</w:t>
            </w:r>
          </w:p>
        </w:tc>
        <w:tc>
          <w:tcPr>
            <w:tcW w:type="dxa" w:w="3742"/>
          </w:tcPr>
          <w:p>
            <w:pPr>
              <w:spacing w:after="40" w:before="40"/>
            </w:pPr>
            <w:r/>
            <w:r>
              <w:rPr>
                <w:rFonts w:ascii="Calibri" w:hAnsi="Calibri"/>
                <w:b w:val="0"/>
                <w:i w:val="0"/>
                <w:color w:val="1F2933"/>
                <w:sz w:val="19"/>
              </w:rPr>
              <w:t>A, then migrate</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MIGRATION BETWEEN MODELS IS SUPPORTED AND NORMAL</w:t>
            </w:r>
          </w:p>
          <w:p>
            <w:pPr>
              <w:spacing w:after="100"/>
            </w:pPr>
            <w:r>
              <w:rPr>
                <w:rFonts w:ascii="Calibri" w:hAnsi="Calibri"/>
                <w:b w:val="0"/>
                <w:i w:val="0"/>
                <w:color w:val="1F2933"/>
                <w:sz w:val="19"/>
              </w:rPr>
              <w:t>The same application image runs on all of these paths, and content moves between deployments as a curriculum pack. Starting managed to prove the concept and migrating to a country-owned instance later is a supported path, not a rebuild — the platform already runs the same image on two different clouds simultaneously.</w:t>
            </w:r>
          </w:p>
        </w:tc>
      </w:tr>
    </w:tbl>
    <w:p>
      <w:pPr>
        <w:spacing w:after="40"/>
      </w:pPr>
    </w:p>
    <w:p>
      <w:pPr>
        <w:pStyle w:val="Heading1"/>
        <w:pBdr>
          <w:bottom w:val="single" w:sz="12" w:space="6" w:color="E8590C"/>
        </w:pBdr>
      </w:pPr>
      <w:r>
        <w:t>5.  Data sovereignty: the honest account</w:t>
      </w:r>
    </w:p>
    <w:p>
      <w:pPr>
        <w:pStyle w:val="Heading2"/>
      </w:pPr>
      <w:r>
        <w:t>What stays where you put it</w:t>
      </w:r>
    </w:p>
    <w:p>
      <w:pPr>
        <w:spacing w:after="140"/>
      </w:pPr>
      <w:r>
        <w:rPr>
          <w:rFonts w:ascii="Calibri" w:hAnsi="Calibri"/>
          <w:b w:val="0"/>
          <w:i w:val="0"/>
          <w:color w:val="1F2933"/>
          <w:sz w:val="21"/>
        </w:rPr>
        <w:t>The database, uploaded media and the application itself stay wherever the country deploys them. Student records, session transcripts, results and teacher accounts do not leave that boundary.</w:t>
      </w:r>
    </w:p>
    <w:p>
      <w:pPr>
        <w:pStyle w:val="Heading2"/>
      </w:pPr>
      <w:r>
        <w:t>What leaves, and why no setting changes it</w:t>
      </w:r>
    </w:p>
    <w:p>
      <w:pPr>
        <w:spacing w:after="140"/>
      </w:pPr>
      <w:r>
        <w:rPr>
          <w:rFonts w:ascii="Calibri" w:hAnsi="Calibri"/>
          <w:b w:val="0"/>
          <w:i w:val="0"/>
          <w:color w:val="1F2933"/>
          <w:sz w:val="21"/>
        </w:rPr>
        <w:t>When a student sends a message, that message is sent to the language model provider — Anthropic, OpenAI or Google — to be answered. It leaves the server, the cloud account and the country. This is not a configuration oversight; it is what the product is. Being explicit about it early is far cheaper than discovering it during a data protection review.</w:t>
      </w:r>
    </w:p>
    <w:p>
      <w:pPr>
        <w:spacing w:after="140"/>
      </w:pPr>
      <w:r>
        <w:rPr>
          <w:rFonts w:ascii="Calibri" w:hAnsi="Calibri"/>
          <w:b w:val="0"/>
          <w:i w:val="0"/>
          <w:color w:val="1F2933"/>
          <w:sz w:val="21"/>
        </w:rPr>
        <w:t>Also leaving the network, and worth listing so nobody is surprised by it in a firewall log: certificate issuance contacts Let's Encrypt, and container image pulls contact the image registry. Neither carries student data.</w:t>
      </w:r>
    </w:p>
    <w:p>
      <w:pPr>
        <w:pStyle w:val="Heading2"/>
      </w:pPr>
      <w:r>
        <w:t>Three ways to close the gap</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928"/>
            <w:shd w:val="clear" w:fill="1F2933"/>
          </w:tcPr>
          <w:p>
            <w:pPr>
              <w:spacing w:after="40" w:before="40"/>
            </w:pPr>
            <w:r/>
            <w:r>
              <w:rPr>
                <w:rFonts w:ascii="Calibri" w:hAnsi="Calibri"/>
                <w:b/>
                <w:i w:val="0"/>
                <w:color w:val="FFFFFF"/>
                <w:sz w:val="18"/>
              </w:rPr>
              <w:t>Option</w:t>
            </w:r>
          </w:p>
        </w:tc>
        <w:tc>
          <w:tcPr>
            <w:tcW w:type="dxa" w:w="4535"/>
            <w:shd w:val="clear" w:fill="1F2933"/>
          </w:tcPr>
          <w:p>
            <w:pPr>
              <w:spacing w:after="40" w:before="40"/>
            </w:pPr>
            <w:r/>
            <w:r>
              <w:rPr>
                <w:rFonts w:ascii="Calibri" w:hAnsi="Calibri"/>
                <w:b/>
                <w:i w:val="0"/>
                <w:color w:val="FFFFFF"/>
                <w:sz w:val="18"/>
              </w:rPr>
              <w:t>What it gives you</w:t>
            </w:r>
          </w:p>
        </w:tc>
        <w:tc>
          <w:tcPr>
            <w:tcW w:type="dxa" w:w="2948"/>
            <w:shd w:val="clear" w:fill="1F2933"/>
          </w:tcPr>
          <w:p>
            <w:pPr>
              <w:spacing w:after="40" w:before="40"/>
            </w:pPr>
            <w:r/>
            <w:r>
              <w:rPr>
                <w:rFonts w:ascii="Calibri" w:hAnsi="Calibri"/>
                <w:b/>
                <w:i w:val="0"/>
                <w:color w:val="FFFFFF"/>
                <w:sz w:val="18"/>
              </w:rPr>
              <w:t>What it costs you</w:t>
            </w:r>
          </w:p>
        </w:tc>
      </w:tr>
      <w:tr>
        <w:trPr>
          <w:cantSplit/>
        </w:trPr>
        <w:tc>
          <w:tcPr>
            <w:tcW w:type="dxa" w:w="1928"/>
          </w:tcPr>
          <w:p>
            <w:pPr>
              <w:spacing w:after="40" w:before="40"/>
            </w:pPr>
            <w:r/>
            <w:r>
              <w:rPr>
                <w:rFonts w:ascii="Calibri" w:hAnsi="Calibri"/>
                <w:b w:val="0"/>
                <w:i w:val="0"/>
                <w:color w:val="1F2933"/>
                <w:sz w:val="18"/>
              </w:rPr>
              <w:t>Regional provider endpoint</w:t>
            </w:r>
          </w:p>
        </w:tc>
        <w:tc>
          <w:tcPr>
            <w:tcW w:type="dxa" w:w="4535"/>
          </w:tcPr>
          <w:p>
            <w:pPr>
              <w:spacing w:after="40" w:before="40"/>
            </w:pPr>
            <w:r/>
            <w:r>
              <w:rPr>
                <w:rFonts w:ascii="Calibri" w:hAnsi="Calibri"/>
                <w:b w:val="0"/>
                <w:i w:val="0"/>
                <w:color w:val="1F2933"/>
                <w:sz w:val="18"/>
              </w:rPr>
              <w:t>Model calls stay within a chosen jurisdiction, if the provider offers one there</w:t>
            </w:r>
          </w:p>
        </w:tc>
        <w:tc>
          <w:tcPr>
            <w:tcW w:type="dxa" w:w="2948"/>
          </w:tcPr>
          <w:p>
            <w:pPr>
              <w:spacing w:after="40" w:before="40"/>
            </w:pPr>
            <w:r/>
            <w:r>
              <w:rPr>
                <w:rFonts w:ascii="Calibri" w:hAnsi="Calibri"/>
                <w:b w:val="0"/>
                <w:i w:val="0"/>
                <w:color w:val="1F2933"/>
                <w:sz w:val="18"/>
              </w:rPr>
              <w:t>Availability varies by country; usually no quality loss</w:t>
            </w:r>
          </w:p>
        </w:tc>
      </w:tr>
      <w:tr>
        <w:trPr>
          <w:cantSplit/>
        </w:trPr>
        <w:tc>
          <w:tcPr>
            <w:tcW w:type="dxa" w:w="1928"/>
            <w:shd w:val="clear" w:fill="F4F6F8"/>
          </w:tcPr>
          <w:p>
            <w:pPr>
              <w:spacing w:after="40" w:before="40"/>
            </w:pPr>
            <w:r/>
            <w:r>
              <w:rPr>
                <w:rFonts w:ascii="Calibri" w:hAnsi="Calibri"/>
                <w:b w:val="0"/>
                <w:i w:val="0"/>
                <w:color w:val="1F2933"/>
                <w:sz w:val="18"/>
              </w:rPr>
              <w:t>Self-hosted open model</w:t>
            </w:r>
          </w:p>
        </w:tc>
        <w:tc>
          <w:tcPr>
            <w:tcW w:type="dxa" w:w="4535"/>
            <w:shd w:val="clear" w:fill="F4F6F8"/>
          </w:tcPr>
          <w:p>
            <w:pPr>
              <w:spacing w:after="40" w:before="40"/>
            </w:pPr>
            <w:r/>
            <w:r>
              <w:rPr>
                <w:rFonts w:ascii="Calibri" w:hAnsi="Calibri"/>
                <w:b w:val="0"/>
                <w:i w:val="0"/>
                <w:color w:val="1F2933"/>
                <w:sz w:val="18"/>
              </w:rPr>
              <w:t>Nothing leaves your network at all. The platform speaks to Ollama, so an open model can serve the tutoring role while cloud models stay available for other purposes</w:t>
            </w:r>
          </w:p>
        </w:tc>
        <w:tc>
          <w:tcPr>
            <w:tcW w:type="dxa" w:w="2948"/>
            <w:shd w:val="clear" w:fill="F4F6F8"/>
          </w:tcPr>
          <w:p>
            <w:pPr>
              <w:spacing w:after="40" w:before="40"/>
            </w:pPr>
            <w:r/>
            <w:r>
              <w:rPr>
                <w:rFonts w:ascii="Calibri" w:hAnsi="Calibri"/>
                <w:b w:val="0"/>
                <w:i w:val="0"/>
                <w:color w:val="1F2933"/>
                <w:sz w:val="18"/>
              </w:rPr>
              <w:t>Weaker tutoring than a frontier model; hardware; slower replies</w:t>
            </w:r>
          </w:p>
        </w:tc>
      </w:tr>
      <w:tr>
        <w:trPr>
          <w:cantSplit/>
        </w:trPr>
        <w:tc>
          <w:tcPr>
            <w:tcW w:type="dxa" w:w="1928"/>
          </w:tcPr>
          <w:p>
            <w:pPr>
              <w:spacing w:after="40" w:before="40"/>
            </w:pPr>
            <w:r/>
            <w:r>
              <w:rPr>
                <w:rFonts w:ascii="Calibri" w:hAnsi="Calibri"/>
                <w:b w:val="0"/>
                <w:i w:val="0"/>
                <w:color w:val="1F2933"/>
                <w:sz w:val="18"/>
              </w:rPr>
              <w:t>Offline desktop or kiosk build</w:t>
            </w:r>
          </w:p>
        </w:tc>
        <w:tc>
          <w:tcPr>
            <w:tcW w:type="dxa" w:w="4535"/>
          </w:tcPr>
          <w:p>
            <w:pPr>
              <w:spacing w:after="40" w:before="40"/>
            </w:pPr>
            <w:r/>
            <w:r>
              <w:rPr>
                <w:rFonts w:ascii="Calibri" w:hAnsi="Calibri"/>
                <w:b w:val="0"/>
                <w:i w:val="0"/>
                <w:color w:val="1F2933"/>
                <w:sz w:val="18"/>
              </w:rPr>
              <w:t>The model runs in the classroom. No network at all</w:t>
            </w:r>
          </w:p>
        </w:tc>
        <w:tc>
          <w:tcPr>
            <w:tcW w:type="dxa" w:w="2948"/>
          </w:tcPr>
          <w:p>
            <w:pPr>
              <w:spacing w:after="40" w:before="40"/>
            </w:pPr>
            <w:r/>
            <w:r>
              <w:rPr>
                <w:rFonts w:ascii="Calibri" w:hAnsi="Calibri"/>
                <w:b w:val="0"/>
                <w:i w:val="0"/>
                <w:color w:val="1F2933"/>
                <w:sz w:val="18"/>
              </w:rPr>
              <w:t>The same quality trade-off, plus per-device hardware</w:t>
            </w:r>
          </w:p>
        </w:tc>
      </w:tr>
    </w:tbl>
    <w:p>
      <w:pPr>
        <w:spacing w:after="40"/>
      </w:pPr>
    </w:p>
    <w:p>
      <w:pPr>
        <w:spacing w:after="140"/>
      </w:pPr>
      <w:r>
        <w:rPr>
          <w:rFonts w:ascii="Calibri" w:hAnsi="Calibri"/>
          <w:b w:val="0"/>
          <w:i w:val="0"/>
          <w:color w:val="1F2933"/>
          <w:sz w:val="21"/>
        </w:rPr>
        <w:t xml:space="preserve">The middle option is the one most often chosen for a national rollout, and the one most often chosen badly. </w:t>
      </w:r>
      <w:r>
        <w:rPr>
          <w:rFonts w:ascii="Calibri" w:hAnsi="Calibri"/>
          <w:b/>
          <w:i w:val="0"/>
          <w:color w:val="1F2933"/>
          <w:sz w:val="21"/>
        </w:rPr>
        <w:t>Measure it on your own content before committing a cohort.</w:t>
      </w:r>
      <w:r>
        <w:rPr>
          <w:rFonts w:ascii="Calibri" w:hAnsi="Calibri"/>
          <w:b w:val="0"/>
          <w:i w:val="0"/>
          <w:color w:val="1F2933"/>
          <w:sz w:val="21"/>
        </w:rPr>
        <w:t xml:space="preserve"> How much weaker a local model is depends on the model, the hardware and the subject, and the platform ships the harnesses to find out (section 8).</w:t>
      </w:r>
    </w:p>
    <w:p>
      <w:pPr>
        <w:pStyle w:val="Heading2"/>
      </w:pPr>
      <w:r>
        <w:t>Compliance features already in the platform</w:t>
      </w:r>
    </w:p>
    <w:p>
      <w:pPr>
        <w:pStyle w:val="ListBullet"/>
        <w:spacing w:after="60"/>
      </w:pPr>
      <w:r>
        <w:rPr>
          <w:rFonts w:ascii="Calibri" w:hAnsi="Calibri"/>
          <w:b/>
          <w:i w:val="0"/>
          <w:color w:val="1F2933"/>
          <w:sz w:val="21"/>
        </w:rPr>
        <w:t>Consent records</w:t>
      </w:r>
      <w:r>
        <w:rPr>
          <w:rFonts w:ascii="Calibri" w:hAnsi="Calibri"/>
          <w:b w:val="0"/>
          <w:i w:val="0"/>
          <w:color w:val="1F2933"/>
          <w:sz w:val="21"/>
        </w:rPr>
        <w:t xml:space="preserve"> — consent granted and withdrawn, tracked per user.</w:t>
      </w:r>
    </w:p>
    <w:p>
      <w:pPr>
        <w:pStyle w:val="ListBullet"/>
        <w:spacing w:after="60"/>
      </w:pPr>
      <w:r>
        <w:rPr>
          <w:rFonts w:ascii="Calibri" w:hAnsi="Calibri"/>
          <w:b/>
          <w:i w:val="0"/>
          <w:color w:val="1F2933"/>
          <w:sz w:val="21"/>
        </w:rPr>
        <w:t>Safety audit log</w:t>
      </w:r>
      <w:r>
        <w:rPr>
          <w:rFonts w:ascii="Calibri" w:hAnsi="Calibri"/>
          <w:b w:val="0"/>
          <w:i w:val="0"/>
          <w:color w:val="1F2933"/>
          <w:sz w:val="21"/>
        </w:rPr>
        <w:t xml:space="preserve"> — flagged content, rate limiting, age verification, authentication attempts, data exports and deletions, each with severity and a hashed user identifier so the log itself is not a second copy of the student register.</w:t>
      </w:r>
    </w:p>
    <w:p>
      <w:pPr>
        <w:pStyle w:val="ListBullet"/>
        <w:spacing w:after="60"/>
      </w:pPr>
      <w:r>
        <w:rPr>
          <w:rFonts w:ascii="Calibri" w:hAnsi="Calibri"/>
          <w:b/>
          <w:i w:val="0"/>
          <w:color w:val="1F2933"/>
          <w:sz w:val="21"/>
        </w:rPr>
        <w:t>Subject access and erasure</w:t>
      </w:r>
      <w:r>
        <w:rPr>
          <w:rFonts w:ascii="Calibri" w:hAnsi="Calibri"/>
          <w:b w:val="0"/>
          <w:i w:val="0"/>
          <w:color w:val="1F2933"/>
          <w:sz w:val="21"/>
        </w:rPr>
        <w:t xml:space="preserve"> — data export and deletion routines for a student on request.</w:t>
      </w:r>
    </w:p>
    <w:p>
      <w:pPr>
        <w:pStyle w:val="ListBullet"/>
        <w:spacing w:after="60"/>
      </w:pPr>
      <w:r>
        <w:rPr>
          <w:rFonts w:ascii="Calibri" w:hAnsi="Calibri"/>
          <w:b/>
          <w:i w:val="0"/>
          <w:color w:val="1F2933"/>
          <w:sz w:val="21"/>
        </w:rPr>
        <w:t>Age verification</w:t>
      </w:r>
      <w:r>
        <w:rPr>
          <w:rFonts w:ascii="Calibri" w:hAnsi="Calibri"/>
          <w:b w:val="0"/>
          <w:i w:val="0"/>
          <w:color w:val="1F2933"/>
          <w:sz w:val="21"/>
        </w:rPr>
        <w:t xml:space="preserve"> aligned to COPPA/GDPR expectations for minors.</w:t>
      </w:r>
    </w:p>
    <w:p>
      <w:pPr>
        <w:pStyle w:val="ListBullet"/>
        <w:spacing w:after="60"/>
      </w:pPr>
      <w:r>
        <w:rPr>
          <w:rFonts w:ascii="Calibri" w:hAnsi="Calibri"/>
          <w:b/>
          <w:i w:val="0"/>
          <w:color w:val="1F2933"/>
          <w:sz w:val="21"/>
        </w:rPr>
        <w:t>Automated retention cleanup</w:t>
      </w:r>
      <w:r>
        <w:rPr>
          <w:rFonts w:ascii="Calibri" w:hAnsi="Calibri"/>
          <w:b w:val="0"/>
          <w:i w:val="0"/>
          <w:color w:val="1F2933"/>
          <w:sz w:val="21"/>
        </w:rPr>
        <w:t xml:space="preserve"> of data past its retention window.</w:t>
      </w:r>
    </w:p>
    <w:p>
      <w:pPr>
        <w:pStyle w:val="ListBullet"/>
        <w:spacing w:after="60"/>
      </w:pPr>
      <w:r>
        <w:rPr>
          <w:rFonts w:ascii="Calibri" w:hAnsi="Calibri"/>
          <w:b/>
          <w:i w:val="0"/>
          <w:color w:val="1F2933"/>
          <w:sz w:val="21"/>
        </w:rPr>
        <w:t>Content flagging and teacher review</w:t>
      </w:r>
      <w:r>
        <w:rPr>
          <w:rFonts w:ascii="Calibri" w:hAnsi="Calibri"/>
          <w:b w:val="0"/>
          <w:i w:val="0"/>
          <w:color w:val="1F2933"/>
          <w:sz w:val="21"/>
        </w:rPr>
        <w:t xml:space="preserve"> of concerning student messages.</w:t>
      </w:r>
    </w:p>
    <w:p>
      <w:pPr>
        <w:pStyle w:val="ListBullet"/>
        <w:spacing w:after="60"/>
      </w:pPr>
      <w:r>
        <w:rPr>
          <w:rFonts w:ascii="Calibri" w:hAnsi="Calibri"/>
          <w:b/>
          <w:i w:val="0"/>
          <w:color w:val="1F2933"/>
          <w:sz w:val="21"/>
        </w:rPr>
        <w:t>Hardened by external penetration testing</w:t>
      </w:r>
      <w:r>
        <w:rPr>
          <w:rFonts w:ascii="Calibri" w:hAnsi="Calibri"/>
          <w:b w:val="0"/>
          <w:i w:val="0"/>
          <w:color w:val="1F2933"/>
          <w:sz w:val="21"/>
        </w:rPr>
        <w:t xml:space="preserve"> — two assessment waves in 2026 remediated, covering input validation, login lockout, session and cookie handling, upload sandboxing and content security policy.</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RECOMMENDATION</w:t>
            </w:r>
          </w:p>
          <w:p>
            <w:pPr>
              <w:spacing w:after="100"/>
            </w:pPr>
            <w:r>
              <w:rPr>
                <w:rFonts w:ascii="Calibri" w:hAnsi="Calibri"/>
                <w:b w:val="0"/>
                <w:i w:val="0"/>
                <w:color w:val="1F2933"/>
                <w:sz w:val="19"/>
              </w:rPr>
              <w:t>Run the data protection impact assessment in Phase 0, before content work begins, and make model placement its first finding. A country that decides in month four that model calls may not leave has to re-validate every subject already generated and reviewed.</w:t>
            </w:r>
          </w:p>
        </w:tc>
      </w:tr>
    </w:tbl>
    <w:p>
      <w:pPr>
        <w:spacing w:after="40"/>
      </w:pPr>
    </w:p>
    <w:p>
      <w:pPr>
        <w:pStyle w:val="Heading1"/>
        <w:pBdr>
          <w:bottom w:val="single" w:sz="12" w:space="6" w:color="E8590C"/>
        </w:pBdr>
      </w:pPr>
      <w:r>
        <w:t>6.  What it costs, and what drives the cost</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READ THESE AS PLANNING INPUTS, NOT PRICES</w:t>
            </w:r>
          </w:p>
          <w:p>
            <w:pPr>
              <w:spacing w:after="100"/>
            </w:pPr>
            <w:r>
              <w:rPr>
                <w:rFonts w:ascii="Calibri" w:hAnsi="Calibri"/>
                <w:b w:val="0"/>
                <w:i w:val="0"/>
                <w:color w:val="1F2933"/>
                <w:sz w:val="19"/>
              </w:rPr>
              <w:t>Every figure below is an observed cost from a 2026 deployment at pilot scale. Model pricing changes, cloud pricing differs by region, and usage per student is the largest single variable. Re-derive them for your country and your cohort before they enter a budget.</w:t>
            </w:r>
          </w:p>
        </w:tc>
      </w:tr>
    </w:tbl>
    <w:p>
      <w:pPr>
        <w:spacing w:after="40"/>
      </w:pPr>
    </w:p>
    <w:p>
      <w:pPr>
        <w:pStyle w:val="Heading2"/>
      </w:pPr>
      <w:r>
        <w:t>Fixed infrastructure — a country-owned cloud instance</w:t>
      </w:r>
    </w:p>
    <w:p>
      <w:pPr>
        <w:spacing w:after="140"/>
      </w:pPr>
      <w:r>
        <w:rPr>
          <w:rFonts w:ascii="Calibri" w:hAnsi="Calibri"/>
          <w:b w:val="0"/>
          <w:i w:val="0"/>
          <w:color w:val="1F2933"/>
          <w:sz w:val="21"/>
        </w:rPr>
        <w:t>The AWS shape the platform provisions, at one running task:</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4876"/>
            <w:shd w:val="clear" w:fill="1F2933"/>
          </w:tcPr>
          <w:p>
            <w:pPr>
              <w:spacing w:after="40" w:before="40"/>
            </w:pPr>
            <w:r/>
            <w:r>
              <w:rPr>
                <w:rFonts w:ascii="Calibri" w:hAnsi="Calibri"/>
                <w:b/>
                <w:i w:val="0"/>
                <w:color w:val="FFFFFF"/>
                <w:sz w:val="19"/>
              </w:rPr>
              <w:t>Item</w:t>
            </w:r>
          </w:p>
        </w:tc>
        <w:tc>
          <w:tcPr>
            <w:tcW w:type="dxa" w:w="2835"/>
            <w:shd w:val="clear" w:fill="1F2933"/>
          </w:tcPr>
          <w:p>
            <w:pPr>
              <w:spacing w:after="40" w:before="40"/>
            </w:pPr>
            <w:r/>
            <w:r>
              <w:rPr>
                <w:rFonts w:ascii="Calibri" w:hAnsi="Calibri"/>
                <w:b/>
                <w:i w:val="0"/>
                <w:color w:val="FFFFFF"/>
                <w:sz w:val="19"/>
              </w:rPr>
              <w:t>Basis</w:t>
            </w:r>
          </w:p>
        </w:tc>
        <w:tc>
          <w:tcPr>
            <w:tcW w:type="dxa" w:w="1701"/>
            <w:shd w:val="clear" w:fill="1F2933"/>
          </w:tcPr>
          <w:p>
            <w:pPr>
              <w:spacing w:after="40" w:before="40"/>
            </w:pPr>
            <w:r/>
            <w:r>
              <w:rPr>
                <w:rFonts w:ascii="Calibri" w:hAnsi="Calibri"/>
                <w:b/>
                <w:i w:val="0"/>
                <w:color w:val="FFFFFF"/>
                <w:sz w:val="19"/>
              </w:rPr>
              <w:t>US$ / month</w:t>
            </w:r>
          </w:p>
        </w:tc>
      </w:tr>
      <w:tr>
        <w:trPr>
          <w:cantSplit/>
        </w:trPr>
        <w:tc>
          <w:tcPr>
            <w:tcW w:type="dxa" w:w="4876"/>
          </w:tcPr>
          <w:p>
            <w:pPr>
              <w:spacing w:after="40" w:before="40"/>
            </w:pPr>
            <w:r/>
            <w:r>
              <w:rPr>
                <w:rFonts w:ascii="Calibri" w:hAnsi="Calibri"/>
                <w:b w:val="0"/>
                <w:i w:val="0"/>
                <w:color w:val="1F2933"/>
                <w:sz w:val="19"/>
              </w:rPr>
              <w:t>Application container (ECS Fargate, 1 task)</w:t>
            </w:r>
          </w:p>
        </w:tc>
        <w:tc>
          <w:tcPr>
            <w:tcW w:type="dxa" w:w="2835"/>
          </w:tcPr>
          <w:p>
            <w:pPr>
              <w:spacing w:after="40" w:before="40"/>
            </w:pPr>
            <w:r/>
            <w:r>
              <w:rPr>
                <w:rFonts w:ascii="Calibri" w:hAnsi="Calibri"/>
                <w:b w:val="0"/>
                <w:i w:val="0"/>
                <w:color w:val="1F2933"/>
                <w:sz w:val="19"/>
              </w:rPr>
              <w:t>4 vCPU, 8 GB, 730 h</w:t>
            </w:r>
          </w:p>
        </w:tc>
        <w:tc>
          <w:tcPr>
            <w:tcW w:type="dxa" w:w="1701"/>
          </w:tcPr>
          <w:p>
            <w:pPr>
              <w:spacing w:after="40" w:before="40"/>
            </w:pPr>
            <w:r/>
            <w:r>
              <w:rPr>
                <w:rFonts w:ascii="Calibri" w:hAnsi="Calibri"/>
                <w:b w:val="0"/>
                <w:i w:val="0"/>
                <w:color w:val="1F2933"/>
                <w:sz w:val="19"/>
              </w:rPr>
              <w:t>≈ 144</w:t>
            </w:r>
          </w:p>
        </w:tc>
      </w:tr>
      <w:tr>
        <w:trPr>
          <w:cantSplit/>
        </w:trPr>
        <w:tc>
          <w:tcPr>
            <w:tcW w:type="dxa" w:w="4876"/>
            <w:shd w:val="clear" w:fill="F4F6F8"/>
          </w:tcPr>
          <w:p>
            <w:pPr>
              <w:spacing w:after="40" w:before="40"/>
            </w:pPr>
            <w:r/>
            <w:r>
              <w:rPr>
                <w:rFonts w:ascii="Calibri" w:hAnsi="Calibri"/>
                <w:b w:val="0"/>
                <w:i w:val="0"/>
                <w:color w:val="1F2933"/>
                <w:sz w:val="19"/>
              </w:rPr>
              <w:t>Managed database (RDS db.t4g.medium)</w:t>
            </w:r>
          </w:p>
        </w:tc>
        <w:tc>
          <w:tcPr>
            <w:tcW w:type="dxa" w:w="2835"/>
            <w:shd w:val="clear" w:fill="F4F6F8"/>
          </w:tcPr>
          <w:p>
            <w:pPr>
              <w:spacing w:after="40" w:before="40"/>
            </w:pPr>
            <w:r/>
            <w:r>
              <w:rPr>
                <w:rFonts w:ascii="Calibri" w:hAnsi="Calibri"/>
                <w:b w:val="0"/>
                <w:i w:val="0"/>
                <w:color w:val="1F2933"/>
                <w:sz w:val="19"/>
              </w:rPr>
              <w:t>730 h</w:t>
            </w:r>
          </w:p>
        </w:tc>
        <w:tc>
          <w:tcPr>
            <w:tcW w:type="dxa" w:w="1701"/>
            <w:shd w:val="clear" w:fill="F4F6F8"/>
          </w:tcPr>
          <w:p>
            <w:pPr>
              <w:spacing w:after="40" w:before="40"/>
            </w:pPr>
            <w:r/>
            <w:r>
              <w:rPr>
                <w:rFonts w:ascii="Calibri" w:hAnsi="Calibri"/>
                <w:b w:val="0"/>
                <w:i w:val="0"/>
                <w:color w:val="1F2933"/>
                <w:sz w:val="19"/>
              </w:rPr>
              <w:t>≈ 47</w:t>
            </w:r>
          </w:p>
        </w:tc>
      </w:tr>
      <w:tr>
        <w:trPr>
          <w:cantSplit/>
        </w:trPr>
        <w:tc>
          <w:tcPr>
            <w:tcW w:type="dxa" w:w="4876"/>
          </w:tcPr>
          <w:p>
            <w:pPr>
              <w:spacing w:after="40" w:before="40"/>
            </w:pPr>
            <w:r/>
            <w:r>
              <w:rPr>
                <w:rFonts w:ascii="Calibri" w:hAnsi="Calibri"/>
                <w:b w:val="0"/>
                <w:i w:val="0"/>
                <w:color w:val="1F2933"/>
                <w:sz w:val="19"/>
              </w:rPr>
              <w:t>NAT gateway</w:t>
            </w:r>
          </w:p>
        </w:tc>
        <w:tc>
          <w:tcPr>
            <w:tcW w:type="dxa" w:w="2835"/>
          </w:tcPr>
          <w:p>
            <w:pPr>
              <w:spacing w:after="40" w:before="40"/>
            </w:pPr>
            <w:r/>
            <w:r>
              <w:rPr>
                <w:rFonts w:ascii="Calibri" w:hAnsi="Calibri"/>
                <w:b w:val="0"/>
                <w:i w:val="0"/>
                <w:color w:val="1F2933"/>
                <w:sz w:val="19"/>
              </w:rPr>
              <w:t>730 h, before data charges</w:t>
            </w:r>
          </w:p>
        </w:tc>
        <w:tc>
          <w:tcPr>
            <w:tcW w:type="dxa" w:w="1701"/>
          </w:tcPr>
          <w:p>
            <w:pPr>
              <w:spacing w:after="40" w:before="40"/>
            </w:pPr>
            <w:r/>
            <w:r>
              <w:rPr>
                <w:rFonts w:ascii="Calibri" w:hAnsi="Calibri"/>
                <w:b w:val="0"/>
                <w:i w:val="0"/>
                <w:color w:val="1F2933"/>
                <w:sz w:val="19"/>
              </w:rPr>
              <w:t>≈ 33</w:t>
            </w:r>
          </w:p>
        </w:tc>
      </w:tr>
      <w:tr>
        <w:trPr>
          <w:cantSplit/>
        </w:trPr>
        <w:tc>
          <w:tcPr>
            <w:tcW w:type="dxa" w:w="4876"/>
            <w:shd w:val="clear" w:fill="F4F6F8"/>
          </w:tcPr>
          <w:p>
            <w:pPr>
              <w:spacing w:after="40" w:before="40"/>
            </w:pPr>
            <w:r/>
            <w:r>
              <w:rPr>
                <w:rFonts w:ascii="Calibri" w:hAnsi="Calibri"/>
                <w:b w:val="0"/>
                <w:i w:val="0"/>
                <w:color w:val="1F2933"/>
                <w:sz w:val="19"/>
              </w:rPr>
              <w:t>Load balancer</w:t>
            </w:r>
          </w:p>
        </w:tc>
        <w:tc>
          <w:tcPr>
            <w:tcW w:type="dxa" w:w="2835"/>
            <w:shd w:val="clear" w:fill="F4F6F8"/>
          </w:tcPr>
          <w:p>
            <w:pPr>
              <w:spacing w:after="40" w:before="40"/>
            </w:pPr>
            <w:r/>
            <w:r>
              <w:rPr>
                <w:rFonts w:ascii="Calibri" w:hAnsi="Calibri"/>
                <w:b w:val="0"/>
                <w:i w:val="0"/>
                <w:color w:val="1F2933"/>
                <w:sz w:val="19"/>
              </w:rPr>
              <w:t>730 h, before capacity units</w:t>
            </w:r>
          </w:p>
        </w:tc>
        <w:tc>
          <w:tcPr>
            <w:tcW w:type="dxa" w:w="1701"/>
            <w:shd w:val="clear" w:fill="F4F6F8"/>
          </w:tcPr>
          <w:p>
            <w:pPr>
              <w:spacing w:after="40" w:before="40"/>
            </w:pPr>
            <w:r/>
            <w:r>
              <w:rPr>
                <w:rFonts w:ascii="Calibri" w:hAnsi="Calibri"/>
                <w:b w:val="0"/>
                <w:i w:val="0"/>
                <w:color w:val="1F2933"/>
                <w:sz w:val="19"/>
              </w:rPr>
              <w:t>≈ 16</w:t>
            </w:r>
          </w:p>
        </w:tc>
      </w:tr>
      <w:tr>
        <w:trPr>
          <w:cantSplit/>
        </w:trPr>
        <w:tc>
          <w:tcPr>
            <w:tcW w:type="dxa" w:w="4876"/>
          </w:tcPr>
          <w:p>
            <w:pPr>
              <w:spacing w:after="40" w:before="40"/>
            </w:pPr>
            <w:r/>
            <w:r>
              <w:rPr>
                <w:rFonts w:ascii="Calibri" w:hAnsi="Calibri"/>
                <w:b w:val="0"/>
                <w:i w:val="0"/>
                <w:color w:val="1F2933"/>
                <w:sz w:val="19"/>
              </w:rPr>
              <w:t>Web application firewall</w:t>
            </w:r>
          </w:p>
        </w:tc>
        <w:tc>
          <w:tcPr>
            <w:tcW w:type="dxa" w:w="2835"/>
          </w:tcPr>
          <w:p>
            <w:pPr>
              <w:spacing w:after="40" w:before="40"/>
            </w:pPr>
            <w:r/>
            <w:r>
              <w:rPr>
                <w:rFonts w:ascii="Calibri" w:hAnsi="Calibri"/>
                <w:b w:val="0"/>
                <w:i w:val="0"/>
                <w:color w:val="1F2933"/>
                <w:sz w:val="19"/>
              </w:rPr>
              <w:t>1 ACL, 4 rules</w:t>
            </w:r>
          </w:p>
        </w:tc>
        <w:tc>
          <w:tcPr>
            <w:tcW w:type="dxa" w:w="1701"/>
          </w:tcPr>
          <w:p>
            <w:pPr>
              <w:spacing w:after="40" w:before="40"/>
            </w:pPr>
            <w:r/>
            <w:r>
              <w:rPr>
                <w:rFonts w:ascii="Calibri" w:hAnsi="Calibri"/>
                <w:b w:val="0"/>
                <w:i w:val="0"/>
                <w:color w:val="1F2933"/>
                <w:sz w:val="19"/>
              </w:rPr>
              <w:t>≈ 9</w:t>
            </w:r>
          </w:p>
        </w:tc>
      </w:tr>
      <w:tr>
        <w:trPr>
          <w:cantSplit/>
        </w:trPr>
        <w:tc>
          <w:tcPr>
            <w:tcW w:type="dxa" w:w="4876"/>
            <w:shd w:val="clear" w:fill="F4F6F8"/>
          </w:tcPr>
          <w:p>
            <w:pPr>
              <w:spacing w:after="40" w:before="40"/>
            </w:pPr>
            <w:r/>
            <w:r>
              <w:rPr>
                <w:rFonts w:ascii="Calibri" w:hAnsi="Calibri"/>
                <w:b w:val="0"/>
                <w:i w:val="0"/>
                <w:color w:val="1F2933"/>
                <w:sz w:val="19"/>
              </w:rPr>
              <w:t>Database storage</w:t>
            </w:r>
          </w:p>
        </w:tc>
        <w:tc>
          <w:tcPr>
            <w:tcW w:type="dxa" w:w="2835"/>
            <w:shd w:val="clear" w:fill="F4F6F8"/>
          </w:tcPr>
          <w:p>
            <w:pPr>
              <w:spacing w:after="40" w:before="40"/>
            </w:pPr>
            <w:r/>
            <w:r>
              <w:rPr>
                <w:rFonts w:ascii="Calibri" w:hAnsi="Calibri"/>
                <w:b w:val="0"/>
                <w:i w:val="0"/>
                <w:color w:val="1F2933"/>
                <w:sz w:val="19"/>
              </w:rPr>
              <w:t>50 GB</w:t>
            </w:r>
          </w:p>
        </w:tc>
        <w:tc>
          <w:tcPr>
            <w:tcW w:type="dxa" w:w="1701"/>
            <w:shd w:val="clear" w:fill="F4F6F8"/>
          </w:tcPr>
          <w:p>
            <w:pPr>
              <w:spacing w:after="40" w:before="40"/>
            </w:pPr>
            <w:r/>
            <w:r>
              <w:rPr>
                <w:rFonts w:ascii="Calibri" w:hAnsi="Calibri"/>
                <w:b w:val="0"/>
                <w:i w:val="0"/>
                <w:color w:val="1F2933"/>
                <w:sz w:val="19"/>
              </w:rPr>
              <w:t>≈ 6</w:t>
            </w:r>
          </w:p>
        </w:tc>
      </w:tr>
      <w:tr>
        <w:trPr>
          <w:cantSplit/>
        </w:trPr>
        <w:tc>
          <w:tcPr>
            <w:tcW w:type="dxa" w:w="4876"/>
          </w:tcPr>
          <w:p>
            <w:pPr>
              <w:spacing w:after="40" w:before="40"/>
            </w:pPr>
            <w:r/>
            <w:r>
              <w:rPr>
                <w:rFonts w:ascii="Calibri" w:hAnsi="Calibri"/>
                <w:b w:val="0"/>
                <w:i w:val="0"/>
                <w:color w:val="1F2933"/>
                <w:sz w:val="19"/>
              </w:rPr>
              <w:t>Secrets management</w:t>
            </w:r>
          </w:p>
        </w:tc>
        <w:tc>
          <w:tcPr>
            <w:tcW w:type="dxa" w:w="2835"/>
          </w:tcPr>
          <w:p>
            <w:pPr>
              <w:spacing w:after="40" w:before="40"/>
            </w:pPr>
            <w:r/>
            <w:r>
              <w:rPr>
                <w:rFonts w:ascii="Calibri" w:hAnsi="Calibri"/>
                <w:b w:val="0"/>
                <w:i w:val="0"/>
                <w:color w:val="1F2933"/>
                <w:sz w:val="19"/>
              </w:rPr>
              <w:t>6 secrets</w:t>
            </w:r>
          </w:p>
        </w:tc>
        <w:tc>
          <w:tcPr>
            <w:tcW w:type="dxa" w:w="1701"/>
          </w:tcPr>
          <w:p>
            <w:pPr>
              <w:spacing w:after="40" w:before="40"/>
            </w:pPr>
            <w:r/>
            <w:r>
              <w:rPr>
                <w:rFonts w:ascii="Calibri" w:hAnsi="Calibri"/>
                <w:b w:val="0"/>
                <w:i w:val="0"/>
                <w:color w:val="1F2933"/>
                <w:sz w:val="19"/>
              </w:rPr>
              <w:t>≈ 2.40</w:t>
            </w:r>
          </w:p>
        </w:tc>
      </w:tr>
      <w:tr>
        <w:trPr>
          <w:cantSplit/>
        </w:trPr>
        <w:tc>
          <w:tcPr>
            <w:tcW w:type="dxa" w:w="4876"/>
            <w:shd w:val="clear" w:fill="F4F6F8"/>
          </w:tcPr>
          <w:p>
            <w:pPr>
              <w:spacing w:after="40" w:before="40"/>
            </w:pPr>
            <w:r/>
            <w:r>
              <w:rPr>
                <w:rFonts w:ascii="Calibri" w:hAnsi="Calibri"/>
                <w:b w:val="0"/>
                <w:i w:val="0"/>
                <w:color w:val="1F2933"/>
                <w:sz w:val="19"/>
              </w:rPr>
              <w:t>Object storage, DNS, image registry</w:t>
            </w:r>
          </w:p>
        </w:tc>
        <w:tc>
          <w:tcPr>
            <w:tcW w:type="dxa" w:w="2835"/>
            <w:shd w:val="clear" w:fill="F4F6F8"/>
          </w:tcPr>
          <w:p>
            <w:pPr>
              <w:spacing w:after="40" w:before="40"/>
            </w:pPr>
            <w:r/>
            <w:r>
              <w:rPr>
                <w:rFonts w:ascii="Calibri" w:hAnsi="Calibri"/>
                <w:b w:val="0"/>
                <w:i w:val="0"/>
                <w:color w:val="1F2933"/>
                <w:sz w:val="19"/>
              </w:rPr>
              <w:t>≈ 11 GB + 1 zone + 5 GB</w:t>
            </w:r>
          </w:p>
        </w:tc>
        <w:tc>
          <w:tcPr>
            <w:tcW w:type="dxa" w:w="1701"/>
            <w:shd w:val="clear" w:fill="F4F6F8"/>
          </w:tcPr>
          <w:p>
            <w:pPr>
              <w:spacing w:after="40" w:before="40"/>
            </w:pPr>
            <w:r/>
            <w:r>
              <w:rPr>
                <w:rFonts w:ascii="Calibri" w:hAnsi="Calibri"/>
                <w:b w:val="0"/>
                <w:i w:val="0"/>
                <w:color w:val="1F2933"/>
                <w:sz w:val="19"/>
              </w:rPr>
              <w:t>≈ 1.30</w:t>
            </w:r>
          </w:p>
        </w:tc>
      </w:tr>
      <w:tr>
        <w:trPr>
          <w:cantSplit/>
        </w:trPr>
        <w:tc>
          <w:tcPr>
            <w:tcW w:type="dxa" w:w="4876"/>
          </w:tcPr>
          <w:p>
            <w:pPr>
              <w:spacing w:after="40" w:before="40"/>
            </w:pPr>
            <w:r/>
            <w:r>
              <w:rPr>
                <w:rFonts w:ascii="Calibri" w:hAnsi="Calibri"/>
                <w:b w:val="0"/>
                <w:i w:val="0"/>
                <w:color w:val="1F2933"/>
                <w:sz w:val="19"/>
              </w:rPr>
              <w:t>Fixed total</w:t>
            </w:r>
          </w:p>
        </w:tc>
        <w:tc>
          <w:tcPr>
            <w:tcW w:type="dxa" w:w="2835"/>
          </w:tcPr>
          <w:p>
            <w:pPr>
              <w:spacing w:after="40" w:before="40"/>
            </w:pPr>
            <w:r/>
          </w:p>
        </w:tc>
        <w:tc>
          <w:tcPr>
            <w:tcW w:type="dxa" w:w="1701"/>
          </w:tcPr>
          <w:p>
            <w:pPr>
              <w:spacing w:after="40" w:before="40"/>
            </w:pPr>
            <w:r/>
            <w:r>
              <w:rPr>
                <w:rFonts w:ascii="Calibri" w:hAnsi="Calibri"/>
                <w:b w:val="0"/>
                <w:i w:val="0"/>
                <w:color w:val="1F2933"/>
                <w:sz w:val="19"/>
              </w:rPr>
              <w:t>≈ 259</w:t>
            </w:r>
          </w:p>
        </w:tc>
      </w:tr>
    </w:tbl>
    <w:p>
      <w:pPr>
        <w:spacing w:after="40"/>
      </w:pPr>
    </w:p>
    <w:p>
      <w:pPr>
        <w:spacing w:after="140"/>
      </w:pPr>
      <w:r>
        <w:rPr>
          <w:rFonts w:ascii="Calibri" w:hAnsi="Calibri"/>
          <w:b w:val="0"/>
          <w:i w:val="0"/>
          <w:color w:val="1F2933"/>
          <w:sz w:val="21"/>
        </w:rPr>
        <w:t>About US$58 of that — the NAT gateway, load balancer and firewall — is network safety rather than capacity. You pay it for a defensible network perimeter, not for the ability to serve one more student. A single-server deployment avoids all US$259 and accepts a single point of failure in exchange.</w:t>
      </w:r>
    </w:p>
    <w:p>
      <w:pPr>
        <w:pStyle w:val="Heading2"/>
      </w:pPr>
      <w:r>
        <w:t>Variable cost — the model, and it dominates</w:t>
      </w:r>
    </w:p>
    <w:p>
      <w:pPr>
        <w:spacing w:after="140"/>
      </w:pPr>
      <w:r>
        <w:rPr>
          <w:rFonts w:ascii="Calibri" w:hAnsi="Calibri"/>
          <w:b w:val="0"/>
          <w:i w:val="0"/>
          <w:color w:val="1F2933"/>
          <w:sz w:val="21"/>
        </w:rPr>
        <w:t xml:space="preserve">Language model calls scale with teaching. In the Seychelles pilot they ran at roughly </w:t>
      </w:r>
      <w:r>
        <w:rPr>
          <w:rFonts w:ascii="Calibri" w:hAnsi="Calibri"/>
          <w:b/>
          <w:i w:val="0"/>
          <w:color w:val="1F2933"/>
          <w:sz w:val="21"/>
        </w:rPr>
        <w:t>US$600 per month across four schools</w:t>
      </w:r>
      <w:r>
        <w:rPr>
          <w:rFonts w:ascii="Calibri" w:hAnsi="Calibri"/>
          <w:b w:val="0"/>
          <w:i w:val="0"/>
          <w:color w:val="1F2933"/>
          <w:sz w:val="21"/>
        </w:rPr>
        <w:t>. This is the number that grows with a national rollout, and the number worth engineering against.</w:t>
      </w:r>
    </w:p>
    <w:p>
      <w:pPr>
        <w:spacing w:after="140"/>
      </w:pPr>
      <w:r>
        <w:rPr>
          <w:rFonts w:ascii="Calibri" w:hAnsi="Calibri"/>
          <w:b w:val="0"/>
          <w:i w:val="0"/>
          <w:color w:val="1F2933"/>
          <w:sz w:val="21"/>
        </w:rPr>
        <w:t>What drives it:</w:t>
      </w:r>
    </w:p>
    <w:p>
      <w:pPr>
        <w:pStyle w:val="ListBullet"/>
        <w:spacing w:after="60"/>
      </w:pPr>
      <w:r>
        <w:rPr>
          <w:rFonts w:ascii="Calibri" w:hAnsi="Calibri"/>
          <w:b/>
          <w:i w:val="0"/>
          <w:color w:val="1F2933"/>
          <w:sz w:val="21"/>
        </w:rPr>
        <w:t>Tutoring turns per student per week</w:t>
      </w:r>
      <w:r>
        <w:rPr>
          <w:rFonts w:ascii="Calibri" w:hAnsi="Calibri"/>
          <w:b w:val="0"/>
          <w:i w:val="0"/>
          <w:color w:val="1F2933"/>
          <w:sz w:val="21"/>
        </w:rPr>
        <w:t xml:space="preserve"> — the primary driver. A student in three sessions a week costs three times a student in one.</w:t>
      </w:r>
    </w:p>
    <w:p>
      <w:pPr>
        <w:pStyle w:val="ListBullet"/>
        <w:spacing w:after="60"/>
      </w:pPr>
      <w:r>
        <w:rPr>
          <w:rFonts w:ascii="Calibri" w:hAnsi="Calibri"/>
          <w:b/>
          <w:i w:val="0"/>
          <w:color w:val="1F2933"/>
          <w:sz w:val="21"/>
        </w:rPr>
        <w:t>Which model serves which purpose.</w:t>
      </w:r>
      <w:r>
        <w:rPr>
          <w:rFonts w:ascii="Calibri" w:hAnsi="Calibri"/>
          <w:b w:val="0"/>
          <w:i w:val="0"/>
          <w:color w:val="1F2933"/>
          <w:sz w:val="21"/>
        </w:rPr>
        <w:t xml:space="preserve"> The platform selects models per purpose — tutoring, judging, content generation, exit tickets — independently. Tutoring can run on a cheaper model than content generation without touching the rest.</w:t>
      </w:r>
    </w:p>
    <w:p>
      <w:pPr>
        <w:pStyle w:val="ListBullet"/>
        <w:spacing w:after="60"/>
      </w:pPr>
      <w:r>
        <w:rPr>
          <w:rFonts w:ascii="Calibri" w:hAnsi="Calibri"/>
          <w:b/>
          <w:i w:val="0"/>
          <w:color w:val="1F2933"/>
          <w:sz w:val="21"/>
        </w:rPr>
        <w:t>The quality judge</w:t>
      </w:r>
      <w:r>
        <w:rPr>
          <w:rFonts w:ascii="Calibri" w:hAnsi="Calibri"/>
          <w:b w:val="0"/>
          <w:i w:val="0"/>
          <w:color w:val="1F2933"/>
          <w:sz w:val="21"/>
        </w:rPr>
        <w:t>, which adds a second model call per tutor turn. It is a real cost and a real safeguard; it can be selectively sampled rather than run on every turn if budget requires.</w:t>
      </w:r>
    </w:p>
    <w:p>
      <w:pPr>
        <w:pStyle w:val="ListBullet"/>
        <w:spacing w:after="60"/>
      </w:pPr>
      <w:r>
        <w:rPr>
          <w:rFonts w:ascii="Calibri" w:hAnsi="Calibri"/>
          <w:b/>
          <w:i w:val="0"/>
          <w:color w:val="1F2933"/>
          <w:sz w:val="21"/>
        </w:rPr>
        <w:t>Prompt caching.</w:t>
      </w:r>
      <w:r>
        <w:rPr>
          <w:rFonts w:ascii="Calibri" w:hAnsi="Calibri"/>
          <w:b w:val="0"/>
          <w:i w:val="0"/>
          <w:color w:val="1F2933"/>
          <w:sz w:val="21"/>
        </w:rPr>
        <w:t xml:space="preserve"> The stable prefix of the tutoring prompt is cached, so most of each turn's input is not re-billed at full rate. This is why the locale rules are written to be byte-stable — a careless edit to a locale string invalidates a country's entire cache.</w:t>
      </w:r>
    </w:p>
    <w:p>
      <w:pPr>
        <w:pStyle w:val="ListBullet"/>
        <w:spacing w:after="60"/>
      </w:pPr>
      <w:r>
        <w:rPr>
          <w:rFonts w:ascii="Calibri" w:hAnsi="Calibri"/>
          <w:b/>
          <w:i w:val="0"/>
          <w:color w:val="1F2933"/>
          <w:sz w:val="21"/>
        </w:rPr>
        <w:t>Content generation</w:t>
      </w:r>
      <w:r>
        <w:rPr>
          <w:rFonts w:ascii="Calibri" w:hAnsi="Calibri"/>
          <w:b w:val="0"/>
          <w:i w:val="0"/>
          <w:color w:val="1F2933"/>
          <w:sz w:val="21"/>
        </w:rPr>
        <w:t>, which is front-loaded per subject and then near zero until the syllabus changes.</w:t>
      </w:r>
    </w:p>
    <w:p>
      <w:pPr>
        <w:pStyle w:val="Heading2"/>
      </w:pPr>
      <w:r>
        <w:t>Levers, in the order worth pulling them</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4195"/>
            <w:shd w:val="clear" w:fill="1F2933"/>
          </w:tcPr>
          <w:p>
            <w:pPr>
              <w:spacing w:after="40" w:before="40"/>
            </w:pPr>
            <w:r/>
            <w:r>
              <w:rPr>
                <w:rFonts w:ascii="Calibri" w:hAnsi="Calibri"/>
                <w:b/>
                <w:i w:val="0"/>
                <w:color w:val="FFFFFF"/>
                <w:sz w:val="19"/>
              </w:rPr>
              <w:t>Lever</w:t>
            </w:r>
          </w:p>
        </w:tc>
        <w:tc>
          <w:tcPr>
            <w:tcW w:type="dxa" w:w="5216"/>
            <w:shd w:val="clear" w:fill="1F2933"/>
          </w:tcPr>
          <w:p>
            <w:pPr>
              <w:spacing w:after="40" w:before="40"/>
            </w:pPr>
            <w:r/>
            <w:r>
              <w:rPr>
                <w:rFonts w:ascii="Calibri" w:hAnsi="Calibri"/>
                <w:b/>
                <w:i w:val="0"/>
                <w:color w:val="FFFFFF"/>
                <w:sz w:val="19"/>
              </w:rPr>
              <w:t>Effect</w:t>
            </w:r>
          </w:p>
        </w:tc>
      </w:tr>
      <w:tr>
        <w:trPr>
          <w:cantSplit/>
        </w:trPr>
        <w:tc>
          <w:tcPr>
            <w:tcW w:type="dxa" w:w="4195"/>
          </w:tcPr>
          <w:p>
            <w:pPr>
              <w:spacing w:after="40" w:before="40"/>
            </w:pPr>
            <w:r/>
            <w:r>
              <w:rPr>
                <w:rFonts w:ascii="Calibri" w:hAnsi="Calibri"/>
                <w:b w:val="0"/>
                <w:i w:val="0"/>
                <w:color w:val="1F2933"/>
                <w:sz w:val="19"/>
              </w:rPr>
              <w:t>Choose a smaller model for the tutoring purpose only</w:t>
            </w:r>
          </w:p>
        </w:tc>
        <w:tc>
          <w:tcPr>
            <w:tcW w:type="dxa" w:w="5216"/>
          </w:tcPr>
          <w:p>
            <w:pPr>
              <w:spacing w:after="40" w:before="40"/>
            </w:pPr>
            <w:r/>
            <w:r>
              <w:rPr>
                <w:rFonts w:ascii="Calibri" w:hAnsi="Calibri"/>
                <w:b w:val="0"/>
                <w:i w:val="0"/>
                <w:color w:val="1F2933"/>
                <w:sz w:val="19"/>
              </w:rPr>
              <w:t>Large reduction; measurable quality cost — validate on your content</w:t>
            </w:r>
          </w:p>
        </w:tc>
      </w:tr>
      <w:tr>
        <w:trPr>
          <w:cantSplit/>
        </w:trPr>
        <w:tc>
          <w:tcPr>
            <w:tcW w:type="dxa" w:w="4195"/>
            <w:shd w:val="clear" w:fill="F4F6F8"/>
          </w:tcPr>
          <w:p>
            <w:pPr>
              <w:spacing w:after="40" w:before="40"/>
            </w:pPr>
            <w:r/>
            <w:r>
              <w:rPr>
                <w:rFonts w:ascii="Calibri" w:hAnsi="Calibri"/>
                <w:b w:val="0"/>
                <w:i w:val="0"/>
                <w:color w:val="1F2933"/>
                <w:sz w:val="19"/>
              </w:rPr>
              <w:t>Keep prompt prefixes stable so caching holds</w:t>
            </w:r>
          </w:p>
        </w:tc>
        <w:tc>
          <w:tcPr>
            <w:tcW w:type="dxa" w:w="5216"/>
            <w:shd w:val="clear" w:fill="F4F6F8"/>
          </w:tcPr>
          <w:p>
            <w:pPr>
              <w:spacing w:after="40" w:before="40"/>
            </w:pPr>
            <w:r/>
            <w:r>
              <w:rPr>
                <w:rFonts w:ascii="Calibri" w:hAnsi="Calibri"/>
                <w:b w:val="0"/>
                <w:i w:val="0"/>
                <w:color w:val="1F2933"/>
                <w:sz w:val="19"/>
              </w:rPr>
              <w:t>Substantial, and free</w:t>
            </w:r>
          </w:p>
        </w:tc>
      </w:tr>
      <w:tr>
        <w:trPr>
          <w:cantSplit/>
        </w:trPr>
        <w:tc>
          <w:tcPr>
            <w:tcW w:type="dxa" w:w="4195"/>
          </w:tcPr>
          <w:p>
            <w:pPr>
              <w:spacing w:after="40" w:before="40"/>
            </w:pPr>
            <w:r/>
            <w:r>
              <w:rPr>
                <w:rFonts w:ascii="Calibri" w:hAnsi="Calibri"/>
                <w:b w:val="0"/>
                <w:i w:val="0"/>
                <w:color w:val="1F2933"/>
                <w:sz w:val="19"/>
              </w:rPr>
              <w:t>Sample the judge rather than running it on every turn</w:t>
            </w:r>
          </w:p>
        </w:tc>
        <w:tc>
          <w:tcPr>
            <w:tcW w:type="dxa" w:w="5216"/>
          </w:tcPr>
          <w:p>
            <w:pPr>
              <w:spacing w:after="40" w:before="40"/>
            </w:pPr>
            <w:r/>
            <w:r>
              <w:rPr>
                <w:rFonts w:ascii="Calibri" w:hAnsi="Calibri"/>
                <w:b w:val="0"/>
                <w:i w:val="0"/>
                <w:color w:val="1F2933"/>
                <w:sz w:val="19"/>
              </w:rPr>
              <w:t>Roughly halves per-turn cost; weakens the live safety net</w:t>
            </w:r>
          </w:p>
        </w:tc>
      </w:tr>
      <w:tr>
        <w:trPr>
          <w:cantSplit/>
        </w:trPr>
        <w:tc>
          <w:tcPr>
            <w:tcW w:type="dxa" w:w="4195"/>
            <w:shd w:val="clear" w:fill="F4F6F8"/>
          </w:tcPr>
          <w:p>
            <w:pPr>
              <w:spacing w:after="40" w:before="40"/>
            </w:pPr>
            <w:r/>
            <w:r>
              <w:rPr>
                <w:rFonts w:ascii="Calibri" w:hAnsi="Calibri"/>
                <w:b w:val="0"/>
                <w:i w:val="0"/>
                <w:color w:val="1F2933"/>
                <w:sz w:val="19"/>
              </w:rPr>
              <w:t>Self-host the tutoring model, keep cloud judges</w:t>
            </w:r>
          </w:p>
        </w:tc>
        <w:tc>
          <w:tcPr>
            <w:tcW w:type="dxa" w:w="5216"/>
            <w:shd w:val="clear" w:fill="F4F6F8"/>
          </w:tcPr>
          <w:p>
            <w:pPr>
              <w:spacing w:after="40" w:before="40"/>
            </w:pPr>
            <w:r/>
            <w:r>
              <w:rPr>
                <w:rFonts w:ascii="Calibri" w:hAnsi="Calibri"/>
                <w:b w:val="0"/>
                <w:i w:val="0"/>
                <w:color w:val="1F2933"/>
                <w:sz w:val="19"/>
              </w:rPr>
              <w:t>Removes the dominant cost and the residency problem; adds hardware</w:t>
            </w:r>
          </w:p>
        </w:tc>
      </w:tr>
      <w:tr>
        <w:trPr>
          <w:cantSplit/>
        </w:trPr>
        <w:tc>
          <w:tcPr>
            <w:tcW w:type="dxa" w:w="4195"/>
          </w:tcPr>
          <w:p>
            <w:pPr>
              <w:spacing w:after="40" w:before="40"/>
            </w:pPr>
            <w:r/>
            <w:r>
              <w:rPr>
                <w:rFonts w:ascii="Calibri" w:hAnsi="Calibri"/>
                <w:b w:val="0"/>
                <w:i w:val="0"/>
                <w:color w:val="1F2933"/>
                <w:sz w:val="19"/>
              </w:rPr>
              <w:t>Offline deployment</w:t>
            </w:r>
          </w:p>
        </w:tc>
        <w:tc>
          <w:tcPr>
            <w:tcW w:type="dxa" w:w="5216"/>
          </w:tcPr>
          <w:p>
            <w:pPr>
              <w:spacing w:after="40" w:before="40"/>
            </w:pPr>
            <w:r/>
            <w:r>
              <w:rPr>
                <w:rFonts w:ascii="Calibri" w:hAnsi="Calibri"/>
                <w:b w:val="0"/>
                <w:i w:val="0"/>
                <w:color w:val="1F2933"/>
                <w:sz w:val="19"/>
              </w:rPr>
              <w:t>Removes both fixed and variable cloud cost entirely</w:t>
            </w:r>
          </w:p>
        </w:tc>
      </w:tr>
    </w:tbl>
    <w:p>
      <w:pPr>
        <w:spacing w:after="40"/>
      </w:pPr>
    </w:p>
    <w:p>
      <w:pPr>
        <w:pStyle w:val="Heading2"/>
      </w:pPr>
      <w:r>
        <w:t>Modelling it for your country</w:t>
      </w:r>
    </w:p>
    <w:p>
      <w:pPr>
        <w:spacing w:after="140"/>
      </w:pPr>
      <w:r>
        <w:rPr>
          <w:rFonts w:ascii="Calibri" w:hAnsi="Calibri"/>
          <w:b w:val="0"/>
          <w:i w:val="0"/>
          <w:color w:val="1F2933"/>
          <w:sz w:val="21"/>
        </w:rPr>
        <w:t>A defensible per-student figure needs three numbers you already have or can decide: students in the cohort, sessions per student per week, and weeks in the school year. Multiply, then measure the cost of one full session on your own content — the platform's evaluation harness reports token usage and cost per run, so this is an afternoon's work rather than a guess. Do it in Phase 3, on reviewed content, not in Phase 0 on samples.</w:t>
      </w:r>
    </w:p>
    <w:p>
      <w:pPr>
        <w:pStyle w:val="Heading1"/>
        <w:pBdr>
          <w:bottom w:val="single" w:sz="12" w:space="6" w:color="E8590C"/>
        </w:pBdr>
      </w:pPr>
      <w:r>
        <w:t>7.  Cost sharing and sustainability</w:t>
      </w:r>
    </w:p>
    <w:p>
      <w:pPr>
        <w:spacing w:after="140"/>
      </w:pPr>
      <w:r>
        <w:rPr>
          <w:rFonts w:ascii="Calibri" w:hAnsi="Calibri"/>
          <w:b w:val="0"/>
          <w:i w:val="0"/>
          <w:color w:val="1F2933"/>
          <w:sz w:val="21"/>
        </w:rPr>
        <w:t>Section 6 says what it costs. This section is about who pays for it, and about whether it is still being paid for in year three. Education technology programmes fail on the second question far more often than on the first.</w:t>
      </w:r>
    </w:p>
    <w:p>
      <w:pPr>
        <w:pStyle w:val="Heading2"/>
      </w:pPr>
      <w:r>
        <w:t>The cost lines behave differently, so share them differently</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814"/>
            <w:shd w:val="clear" w:fill="1F2933"/>
          </w:tcPr>
          <w:p>
            <w:pPr>
              <w:spacing w:after="40" w:before="40"/>
            </w:pPr>
            <w:r/>
            <w:r>
              <w:rPr>
                <w:rFonts w:ascii="Calibri" w:hAnsi="Calibri"/>
                <w:b/>
                <w:i w:val="0"/>
                <w:color w:val="FFFFFF"/>
                <w:sz w:val="18"/>
              </w:rPr>
              <w:t>Cost line</w:t>
            </w:r>
          </w:p>
        </w:tc>
        <w:tc>
          <w:tcPr>
            <w:tcW w:type="dxa" w:w="3402"/>
            <w:shd w:val="clear" w:fill="1F2933"/>
          </w:tcPr>
          <w:p>
            <w:pPr>
              <w:spacing w:after="40" w:before="40"/>
            </w:pPr>
            <w:r/>
            <w:r>
              <w:rPr>
                <w:rFonts w:ascii="Calibri" w:hAnsi="Calibri"/>
                <w:b/>
                <w:i w:val="0"/>
                <w:color w:val="FFFFFF"/>
                <w:sz w:val="18"/>
              </w:rPr>
              <w:t>Shape</w:t>
            </w:r>
          </w:p>
        </w:tc>
        <w:tc>
          <w:tcPr>
            <w:tcW w:type="dxa" w:w="4195"/>
            <w:shd w:val="clear" w:fill="1F2933"/>
          </w:tcPr>
          <w:p>
            <w:pPr>
              <w:spacing w:after="40" w:before="40"/>
            </w:pPr>
            <w:r/>
            <w:r>
              <w:rPr>
                <w:rFonts w:ascii="Calibri" w:hAnsi="Calibri"/>
                <w:b/>
                <w:i w:val="0"/>
                <w:color w:val="FFFFFF"/>
                <w:sz w:val="18"/>
              </w:rPr>
              <w:t>Who can realistically carry it</w:t>
            </w:r>
          </w:p>
        </w:tc>
      </w:tr>
      <w:tr>
        <w:trPr>
          <w:cantSplit/>
        </w:trPr>
        <w:tc>
          <w:tcPr>
            <w:tcW w:type="dxa" w:w="1814"/>
          </w:tcPr>
          <w:p>
            <w:pPr>
              <w:spacing w:after="40" w:before="40"/>
            </w:pPr>
            <w:r/>
            <w:r>
              <w:rPr>
                <w:rFonts w:ascii="Calibri" w:hAnsi="Calibri"/>
                <w:b w:val="0"/>
                <w:i w:val="0"/>
                <w:color w:val="1F2933"/>
                <w:sz w:val="18"/>
              </w:rPr>
              <w:t>Platform infrastructure</w:t>
            </w:r>
          </w:p>
        </w:tc>
        <w:tc>
          <w:tcPr>
            <w:tcW w:type="dxa" w:w="3402"/>
          </w:tcPr>
          <w:p>
            <w:pPr>
              <w:spacing w:after="40" w:before="40"/>
            </w:pPr>
            <w:r/>
            <w:r>
              <w:rPr>
                <w:rFonts w:ascii="Calibri" w:hAnsi="Calibri"/>
                <w:b w:val="0"/>
                <w:i w:val="0"/>
                <w:color w:val="1F2933"/>
                <w:sz w:val="18"/>
              </w:rPr>
              <w:t>Recurring, small, and flat — it does not grow with enrolment</w:t>
            </w:r>
          </w:p>
        </w:tc>
        <w:tc>
          <w:tcPr>
            <w:tcW w:type="dxa" w:w="4195"/>
          </w:tcPr>
          <w:p>
            <w:pPr>
              <w:spacing w:after="40" w:before="40"/>
            </w:pPr>
            <w:r/>
            <w:r>
              <w:rPr>
                <w:rFonts w:ascii="Calibri" w:hAnsi="Calibri"/>
                <w:b w:val="0"/>
                <w:i w:val="0"/>
                <w:color w:val="1F2933"/>
                <w:sz w:val="18"/>
              </w:rPr>
              <w:t>Central. It is the wrong line to devolve to schools, because a school cannot make it smaller by behaving differently.</w:t>
            </w:r>
          </w:p>
        </w:tc>
      </w:tr>
      <w:tr>
        <w:trPr>
          <w:cantSplit/>
        </w:trPr>
        <w:tc>
          <w:tcPr>
            <w:tcW w:type="dxa" w:w="1814"/>
            <w:shd w:val="clear" w:fill="F4F6F8"/>
          </w:tcPr>
          <w:p>
            <w:pPr>
              <w:spacing w:after="40" w:before="40"/>
            </w:pPr>
            <w:r/>
            <w:r>
              <w:rPr>
                <w:rFonts w:ascii="Calibri" w:hAnsi="Calibri"/>
                <w:b w:val="0"/>
                <w:i w:val="0"/>
                <w:color w:val="1F2933"/>
                <w:sz w:val="18"/>
              </w:rPr>
              <w:t>Model usage</w:t>
            </w:r>
          </w:p>
        </w:tc>
        <w:tc>
          <w:tcPr>
            <w:tcW w:type="dxa" w:w="3402"/>
            <w:shd w:val="clear" w:fill="F4F6F8"/>
          </w:tcPr>
          <w:p>
            <w:pPr>
              <w:spacing w:after="40" w:before="40"/>
            </w:pPr>
            <w:r/>
            <w:r>
              <w:rPr>
                <w:rFonts w:ascii="Calibri" w:hAnsi="Calibri"/>
                <w:b w:val="0"/>
                <w:i w:val="0"/>
                <w:color w:val="1F2933"/>
                <w:sz w:val="18"/>
              </w:rPr>
              <w:t>Recurring, and the only line that grows with teaching</w:t>
            </w:r>
          </w:p>
        </w:tc>
        <w:tc>
          <w:tcPr>
            <w:tcW w:type="dxa" w:w="4195"/>
            <w:shd w:val="clear" w:fill="F4F6F8"/>
          </w:tcPr>
          <w:p>
            <w:pPr>
              <w:spacing w:after="40" w:before="40"/>
            </w:pPr>
            <w:r/>
            <w:r>
              <w:rPr>
                <w:rFonts w:ascii="Calibri" w:hAnsi="Calibri"/>
                <w:b w:val="0"/>
                <w:i w:val="0"/>
                <w:color w:val="1F2933"/>
                <w:sz w:val="18"/>
              </w:rPr>
              <w:t>Central, but reported per school. It is the one line school behaviour actually moves.</w:t>
            </w:r>
          </w:p>
        </w:tc>
      </w:tr>
      <w:tr>
        <w:trPr>
          <w:cantSplit/>
        </w:trPr>
        <w:tc>
          <w:tcPr>
            <w:tcW w:type="dxa" w:w="1814"/>
          </w:tcPr>
          <w:p>
            <w:pPr>
              <w:spacing w:after="40" w:before="40"/>
            </w:pPr>
            <w:r/>
            <w:r>
              <w:rPr>
                <w:rFonts w:ascii="Calibri" w:hAnsi="Calibri"/>
                <w:b w:val="0"/>
                <w:i w:val="0"/>
                <w:color w:val="1F2933"/>
                <w:sz w:val="18"/>
              </w:rPr>
              <w:t>Content generation and review</w:t>
            </w:r>
          </w:p>
        </w:tc>
        <w:tc>
          <w:tcPr>
            <w:tcW w:type="dxa" w:w="3402"/>
          </w:tcPr>
          <w:p>
            <w:pPr>
              <w:spacing w:after="40" w:before="40"/>
            </w:pPr>
            <w:r/>
            <w:r>
              <w:rPr>
                <w:rFonts w:ascii="Calibri" w:hAnsi="Calibri"/>
                <w:b w:val="0"/>
                <w:i w:val="0"/>
                <w:color w:val="1F2933"/>
                <w:sz w:val="18"/>
              </w:rPr>
              <w:t>Front-loaded per subject, then near zero until the syllabus changes</w:t>
            </w:r>
          </w:p>
        </w:tc>
        <w:tc>
          <w:tcPr>
            <w:tcW w:type="dxa" w:w="4195"/>
          </w:tcPr>
          <w:p>
            <w:pPr>
              <w:spacing w:after="40" w:before="40"/>
            </w:pPr>
            <w:r/>
            <w:r>
              <w:rPr>
                <w:rFonts w:ascii="Calibri" w:hAnsi="Calibri"/>
                <w:b w:val="0"/>
                <w:i w:val="0"/>
                <w:color w:val="1F2933"/>
                <w:sz w:val="18"/>
              </w:rPr>
              <w:t>Behaves like a capital item — the natural fit for project or partner funding.</w:t>
            </w:r>
          </w:p>
        </w:tc>
      </w:tr>
      <w:tr>
        <w:trPr>
          <w:cantSplit/>
        </w:trPr>
        <w:tc>
          <w:tcPr>
            <w:tcW w:type="dxa" w:w="1814"/>
            <w:shd w:val="clear" w:fill="F4F6F8"/>
          </w:tcPr>
          <w:p>
            <w:pPr>
              <w:spacing w:after="40" w:before="40"/>
            </w:pPr>
            <w:r/>
            <w:r>
              <w:rPr>
                <w:rFonts w:ascii="Calibri" w:hAnsi="Calibri"/>
                <w:b w:val="0"/>
                <w:i w:val="0"/>
                <w:color w:val="1F2933"/>
                <w:sz w:val="18"/>
              </w:rPr>
              <w:t>Devices and connectivity</w:t>
            </w:r>
          </w:p>
        </w:tc>
        <w:tc>
          <w:tcPr>
            <w:tcW w:type="dxa" w:w="3402"/>
            <w:shd w:val="clear" w:fill="F4F6F8"/>
          </w:tcPr>
          <w:p>
            <w:pPr>
              <w:spacing w:after="40" w:before="40"/>
            </w:pPr>
            <w:r/>
            <w:r>
              <w:rPr>
                <w:rFonts w:ascii="Calibri" w:hAnsi="Calibri"/>
                <w:b w:val="0"/>
                <w:i w:val="0"/>
                <w:color w:val="1F2933"/>
                <w:sz w:val="18"/>
              </w:rPr>
              <w:t>Capital plus recurring, and highly local</w:t>
            </w:r>
          </w:p>
        </w:tc>
        <w:tc>
          <w:tcPr>
            <w:tcW w:type="dxa" w:w="4195"/>
            <w:shd w:val="clear" w:fill="F4F6F8"/>
          </w:tcPr>
          <w:p>
            <w:pPr>
              <w:spacing w:after="40" w:before="40"/>
            </w:pPr>
            <w:r/>
            <w:r>
              <w:rPr>
                <w:rFonts w:ascii="Calibri" w:hAnsi="Calibri"/>
                <w:b w:val="0"/>
                <w:i w:val="0"/>
                <w:color w:val="1F2933"/>
                <w:sz w:val="18"/>
              </w:rPr>
              <w:t>School, district or an existing device programme. The largest number, and the least specific to this platform.</w:t>
            </w:r>
          </w:p>
        </w:tc>
      </w:tr>
      <w:tr>
        <w:trPr>
          <w:cantSplit/>
        </w:trPr>
        <w:tc>
          <w:tcPr>
            <w:tcW w:type="dxa" w:w="1814"/>
          </w:tcPr>
          <w:p>
            <w:pPr>
              <w:spacing w:after="40" w:before="40"/>
            </w:pPr>
            <w:r/>
            <w:r>
              <w:rPr>
                <w:rFonts w:ascii="Calibri" w:hAnsi="Calibri"/>
                <w:b w:val="0"/>
                <w:i w:val="0"/>
                <w:color w:val="1F2933"/>
                <w:sz w:val="18"/>
              </w:rPr>
              <w:t>Teacher time</w:t>
            </w:r>
          </w:p>
        </w:tc>
        <w:tc>
          <w:tcPr>
            <w:tcW w:type="dxa" w:w="3402"/>
          </w:tcPr>
          <w:p>
            <w:pPr>
              <w:spacing w:after="40" w:before="40"/>
            </w:pPr>
            <w:r/>
            <w:r>
              <w:rPr>
                <w:rFonts w:ascii="Calibri" w:hAnsi="Calibri"/>
                <w:b w:val="0"/>
                <w:i w:val="0"/>
                <w:color w:val="1F2933"/>
                <w:sz w:val="18"/>
              </w:rPr>
              <w:t>Recurring, non-cash</w:t>
            </w:r>
          </w:p>
        </w:tc>
        <w:tc>
          <w:tcPr>
            <w:tcW w:type="dxa" w:w="4195"/>
          </w:tcPr>
          <w:p>
            <w:pPr>
              <w:spacing w:after="40" w:before="40"/>
            </w:pPr>
            <w:r/>
            <w:r>
              <w:rPr>
                <w:rFonts w:ascii="Calibri" w:hAnsi="Calibri"/>
                <w:b w:val="0"/>
                <w:i w:val="0"/>
                <w:color w:val="1F2933"/>
                <w:sz w:val="18"/>
              </w:rPr>
              <w:t>The school timetable. Non-cash is not the same as free — see section 10.</w:t>
            </w:r>
          </w:p>
        </w:tc>
      </w:tr>
    </w:tbl>
    <w:p>
      <w:pPr>
        <w:spacing w:after="40"/>
      </w:pPr>
    </w:p>
    <w:p>
      <w:pPr>
        <w:spacing w:after="140"/>
      </w:pPr>
      <w:r>
        <w:rPr>
          <w:rFonts w:ascii="Calibri" w:hAnsi="Calibri"/>
          <w:b w:val="0"/>
          <w:i w:val="0"/>
          <w:color w:val="1F2933"/>
          <w:sz w:val="21"/>
        </w:rPr>
        <w:t xml:space="preserve">Only two of those five are recurring central cash. </w:t>
      </w:r>
      <w:r>
        <w:rPr>
          <w:rFonts w:ascii="Calibri" w:hAnsi="Calibri"/>
          <w:b/>
          <w:i w:val="0"/>
          <w:color w:val="1F2933"/>
          <w:sz w:val="21"/>
        </w:rPr>
        <w:t>That pair is the number that has to survive into a ministry budget line</w:t>
      </w:r>
      <w:r>
        <w:rPr>
          <w:rFonts w:ascii="Calibri" w:hAnsi="Calibri"/>
          <w:b w:val="0"/>
          <w:i w:val="0"/>
          <w:color w:val="1F2933"/>
          <w:sz w:val="21"/>
        </w:rPr>
        <w:t>, and it is a much easier number to defend than the programme total — which is dominated by devices and by teacher time that the system is already spending.</w:t>
      </w:r>
    </w:p>
    <w:p>
      <w:pPr>
        <w:pStyle w:val="Heading2"/>
      </w:pPr>
      <w:r>
        <w:t>Four funding models</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2353"/>
        <w:gridCol w:w="2353"/>
        <w:gridCol w:w="2353"/>
        <w:gridCol w:w="2353"/>
      </w:tblGrid>
      <w:tr>
        <w:trPr>
          <w:tblHeader w:val="true"/>
          <w:cantSplit/>
        </w:trPr>
        <w:tc>
          <w:tcPr>
            <w:tcW w:type="dxa" w:w="1701"/>
            <w:shd w:val="clear" w:fill="1F2933"/>
          </w:tcPr>
          <w:p>
            <w:pPr>
              <w:spacing w:after="40" w:before="40"/>
            </w:pPr>
            <w:r/>
            <w:r>
              <w:rPr>
                <w:rFonts w:ascii="Calibri" w:hAnsi="Calibri"/>
                <w:b/>
                <w:i w:val="0"/>
                <w:color w:val="FFFFFF"/>
                <w:sz w:val="17"/>
              </w:rPr>
              <w:t>Model</w:t>
            </w:r>
          </w:p>
        </w:tc>
        <w:tc>
          <w:tcPr>
            <w:tcW w:type="dxa" w:w="3061"/>
            <w:shd w:val="clear" w:fill="1F2933"/>
          </w:tcPr>
          <w:p>
            <w:pPr>
              <w:spacing w:after="40" w:before="40"/>
            </w:pPr>
            <w:r/>
            <w:r>
              <w:rPr>
                <w:rFonts w:ascii="Calibri" w:hAnsi="Calibri"/>
                <w:b/>
                <w:i w:val="0"/>
                <w:color w:val="FFFFFF"/>
                <w:sz w:val="17"/>
              </w:rPr>
              <w:t>Who funds what</w:t>
            </w:r>
          </w:p>
        </w:tc>
        <w:tc>
          <w:tcPr>
            <w:tcW w:type="dxa" w:w="2268"/>
            <w:shd w:val="clear" w:fill="1F2933"/>
          </w:tcPr>
          <w:p>
            <w:pPr>
              <w:spacing w:after="40" w:before="40"/>
            </w:pPr>
            <w:r/>
            <w:r>
              <w:rPr>
                <w:rFonts w:ascii="Calibri" w:hAnsi="Calibri"/>
                <w:b/>
                <w:i w:val="0"/>
                <w:color w:val="FFFFFF"/>
                <w:sz w:val="17"/>
              </w:rPr>
              <w:t>When it fits</w:t>
            </w:r>
          </w:p>
        </w:tc>
        <w:tc>
          <w:tcPr>
            <w:tcW w:type="dxa" w:w="2381"/>
            <w:shd w:val="clear" w:fill="1F2933"/>
          </w:tcPr>
          <w:p>
            <w:pPr>
              <w:spacing w:after="40" w:before="40"/>
            </w:pPr>
            <w:r/>
            <w:r>
              <w:rPr>
                <w:rFonts w:ascii="Calibri" w:hAnsi="Calibri"/>
                <w:b/>
                <w:i w:val="0"/>
                <w:color w:val="FFFFFF"/>
                <w:sz w:val="17"/>
              </w:rPr>
              <w:t>The risk it carries</w:t>
            </w:r>
          </w:p>
        </w:tc>
      </w:tr>
      <w:tr>
        <w:trPr>
          <w:cantSplit/>
        </w:trPr>
        <w:tc>
          <w:tcPr>
            <w:tcW w:type="dxa" w:w="1701"/>
          </w:tcPr>
          <w:p>
            <w:pPr>
              <w:spacing w:after="40" w:before="40"/>
            </w:pPr>
            <w:r/>
            <w:r>
              <w:rPr>
                <w:rFonts w:ascii="Calibri" w:hAnsi="Calibri"/>
                <w:b w:val="0"/>
                <w:i w:val="0"/>
                <w:color w:val="1F2933"/>
                <w:sz w:val="17"/>
              </w:rPr>
              <w:t>A — Centrally funded</w:t>
            </w:r>
          </w:p>
        </w:tc>
        <w:tc>
          <w:tcPr>
            <w:tcW w:type="dxa" w:w="3061"/>
          </w:tcPr>
          <w:p>
            <w:pPr>
              <w:spacing w:after="40" w:before="40"/>
            </w:pPr>
            <w:r/>
            <w:r>
              <w:rPr>
                <w:rFonts w:ascii="Calibri" w:hAnsi="Calibri"/>
                <w:b w:val="0"/>
                <w:i w:val="0"/>
                <w:color w:val="1F2933"/>
                <w:sz w:val="17"/>
              </w:rPr>
              <w:t>The ministry funds infrastructure, model usage and content; schools bring devices and teacher time</w:t>
            </w:r>
          </w:p>
        </w:tc>
        <w:tc>
          <w:tcPr>
            <w:tcW w:type="dxa" w:w="2268"/>
          </w:tcPr>
          <w:p>
            <w:pPr>
              <w:spacing w:after="40" w:before="40"/>
            </w:pPr>
            <w:r/>
            <w:r>
              <w:rPr>
                <w:rFonts w:ascii="Calibri" w:hAnsi="Calibri"/>
                <w:b w:val="0"/>
                <w:i w:val="0"/>
                <w:color w:val="1F2933"/>
                <w:sz w:val="17"/>
              </w:rPr>
              <w:t>A national commitment already made</w:t>
            </w:r>
          </w:p>
        </w:tc>
        <w:tc>
          <w:tcPr>
            <w:tcW w:type="dxa" w:w="2381"/>
          </w:tcPr>
          <w:p>
            <w:pPr>
              <w:spacing w:after="40" w:before="40"/>
            </w:pPr>
            <w:r/>
            <w:r>
              <w:rPr>
                <w:rFonts w:ascii="Calibri" w:hAnsi="Calibri"/>
                <w:b w:val="0"/>
                <w:i w:val="0"/>
                <w:color w:val="1F2933"/>
                <w:sz w:val="17"/>
              </w:rPr>
              <w:t>A single budget line, exposed to one fiscal year</w:t>
            </w:r>
          </w:p>
        </w:tc>
      </w:tr>
      <w:tr>
        <w:trPr>
          <w:cantSplit/>
        </w:trPr>
        <w:tc>
          <w:tcPr>
            <w:tcW w:type="dxa" w:w="1701"/>
            <w:shd w:val="clear" w:fill="F4F6F8"/>
          </w:tcPr>
          <w:p>
            <w:pPr>
              <w:spacing w:after="40" w:before="40"/>
            </w:pPr>
            <w:r/>
            <w:r>
              <w:rPr>
                <w:rFonts w:ascii="Calibri" w:hAnsi="Calibri"/>
                <w:b w:val="0"/>
                <w:i w:val="0"/>
                <w:color w:val="1F2933"/>
                <w:sz w:val="17"/>
              </w:rPr>
              <w:t>B — Partner-funded pilot, ministry-funded scale</w:t>
            </w:r>
          </w:p>
        </w:tc>
        <w:tc>
          <w:tcPr>
            <w:tcW w:type="dxa" w:w="3061"/>
            <w:shd w:val="clear" w:fill="F4F6F8"/>
          </w:tcPr>
          <w:p>
            <w:pPr>
              <w:spacing w:after="40" w:before="40"/>
            </w:pPr>
            <w:r/>
            <w:r>
              <w:rPr>
                <w:rFonts w:ascii="Calibri" w:hAnsi="Calibri"/>
                <w:b w:val="0"/>
                <w:i w:val="0"/>
                <w:color w:val="1F2933"/>
                <w:sz w:val="17"/>
              </w:rPr>
              <w:t>A partner funds content generation, review and the pilot's model spend; the ministry assumes the recurring lines at an agreed date</w:t>
            </w:r>
          </w:p>
        </w:tc>
        <w:tc>
          <w:tcPr>
            <w:tcW w:type="dxa" w:w="2268"/>
            <w:shd w:val="clear" w:fill="F4F6F8"/>
          </w:tcPr>
          <w:p>
            <w:pPr>
              <w:spacing w:after="40" w:before="40"/>
            </w:pPr>
            <w:r/>
            <w:r>
              <w:rPr>
                <w:rFonts w:ascii="Calibri" w:hAnsi="Calibri"/>
                <w:b w:val="0"/>
                <w:i w:val="0"/>
                <w:color w:val="1F2933"/>
                <w:sz w:val="17"/>
              </w:rPr>
              <w:t>Proving the case before committing a budget</w:t>
            </w:r>
          </w:p>
        </w:tc>
        <w:tc>
          <w:tcPr>
            <w:tcW w:type="dxa" w:w="2381"/>
            <w:shd w:val="clear" w:fill="F4F6F8"/>
          </w:tcPr>
          <w:p>
            <w:pPr>
              <w:spacing w:after="40" w:before="40"/>
            </w:pPr>
            <w:r/>
            <w:r>
              <w:rPr>
                <w:rFonts w:ascii="Calibri" w:hAnsi="Calibri"/>
                <w:b w:val="0"/>
                <w:i w:val="0"/>
                <w:color w:val="1F2933"/>
                <w:sz w:val="17"/>
              </w:rPr>
              <w:t>The cliff at handover — see the note below</w:t>
            </w:r>
          </w:p>
        </w:tc>
      </w:tr>
      <w:tr>
        <w:trPr>
          <w:cantSplit/>
        </w:trPr>
        <w:tc>
          <w:tcPr>
            <w:tcW w:type="dxa" w:w="1701"/>
          </w:tcPr>
          <w:p>
            <w:pPr>
              <w:spacing w:after="40" w:before="40"/>
            </w:pPr>
            <w:r/>
            <w:r>
              <w:rPr>
                <w:rFonts w:ascii="Calibri" w:hAnsi="Calibri"/>
                <w:b w:val="0"/>
                <w:i w:val="0"/>
                <w:color w:val="1F2933"/>
                <w:sz w:val="17"/>
              </w:rPr>
              <w:t>C — Cost-shared by level</w:t>
            </w:r>
          </w:p>
        </w:tc>
        <w:tc>
          <w:tcPr>
            <w:tcW w:type="dxa" w:w="3061"/>
          </w:tcPr>
          <w:p>
            <w:pPr>
              <w:spacing w:after="40" w:before="40"/>
            </w:pPr>
            <w:r/>
            <w:r>
              <w:rPr>
                <w:rFonts w:ascii="Calibri" w:hAnsi="Calibri"/>
                <w:b w:val="0"/>
                <w:i w:val="0"/>
                <w:color w:val="1F2933"/>
                <w:sz w:val="17"/>
              </w:rPr>
              <w:t>The ministry funds the platform and the content; districts or schools fund devices, connectivity and champion time</w:t>
            </w:r>
          </w:p>
        </w:tc>
        <w:tc>
          <w:tcPr>
            <w:tcW w:type="dxa" w:w="2268"/>
          </w:tcPr>
          <w:p>
            <w:pPr>
              <w:spacing w:after="40" w:before="40"/>
            </w:pPr>
            <w:r/>
            <w:r>
              <w:rPr>
                <w:rFonts w:ascii="Calibri" w:hAnsi="Calibri"/>
                <w:b w:val="0"/>
                <w:i w:val="0"/>
                <w:color w:val="1F2933"/>
                <w:sz w:val="17"/>
              </w:rPr>
              <w:t>A decentralised system with real district budgets</w:t>
            </w:r>
          </w:p>
        </w:tc>
        <w:tc>
          <w:tcPr>
            <w:tcW w:type="dxa" w:w="2381"/>
          </w:tcPr>
          <w:p>
            <w:pPr>
              <w:spacing w:after="40" w:before="40"/>
            </w:pPr>
            <w:r/>
            <w:r>
              <w:rPr>
                <w:rFonts w:ascii="Calibri" w:hAnsi="Calibri"/>
                <w:b w:val="0"/>
                <w:i w:val="0"/>
                <w:color w:val="1F2933"/>
                <w:sz w:val="17"/>
              </w:rPr>
              <w:t>Uneven provision, producing an equity gap between schools in the same system</w:t>
            </w:r>
          </w:p>
        </w:tc>
      </w:tr>
      <w:tr>
        <w:trPr>
          <w:cantSplit/>
        </w:trPr>
        <w:tc>
          <w:tcPr>
            <w:tcW w:type="dxa" w:w="1701"/>
            <w:shd w:val="clear" w:fill="F4F6F8"/>
          </w:tcPr>
          <w:p>
            <w:pPr>
              <w:spacing w:after="40" w:before="40"/>
            </w:pPr>
            <w:r/>
            <w:r>
              <w:rPr>
                <w:rFonts w:ascii="Calibri" w:hAnsi="Calibri"/>
                <w:b w:val="0"/>
                <w:i w:val="0"/>
                <w:color w:val="1F2933"/>
                <w:sz w:val="17"/>
              </w:rPr>
              <w:t>D — Shared regional instance</w:t>
            </w:r>
          </w:p>
        </w:tc>
        <w:tc>
          <w:tcPr>
            <w:tcW w:type="dxa" w:w="3061"/>
            <w:shd w:val="clear" w:fill="F4F6F8"/>
          </w:tcPr>
          <w:p>
            <w:pPr>
              <w:spacing w:after="40" w:before="40"/>
            </w:pPr>
            <w:r/>
            <w:r>
              <w:rPr>
                <w:rFonts w:ascii="Calibri" w:hAnsi="Calibri"/>
                <w:b w:val="0"/>
                <w:i w:val="0"/>
                <w:color w:val="1F2933"/>
                <w:sz w:val="17"/>
              </w:rPr>
              <w:t>Several systems share the platform cost and exchange curriculum packs for common subjects; each funds its own localisation</w:t>
            </w:r>
          </w:p>
        </w:tc>
        <w:tc>
          <w:tcPr>
            <w:tcW w:type="dxa" w:w="2268"/>
            <w:shd w:val="clear" w:fill="F4F6F8"/>
          </w:tcPr>
          <w:p>
            <w:pPr>
              <w:spacing w:after="40" w:before="40"/>
            </w:pPr>
            <w:r/>
            <w:r>
              <w:rPr>
                <w:rFonts w:ascii="Calibri" w:hAnsi="Calibri"/>
                <w:b w:val="0"/>
                <w:i w:val="0"/>
                <w:color w:val="1F2933"/>
                <w:sz w:val="17"/>
              </w:rPr>
              <w:t>Small systems where the fixed floor is large relative to the student body</w:t>
            </w:r>
          </w:p>
        </w:tc>
        <w:tc>
          <w:tcPr>
            <w:tcW w:type="dxa" w:w="2381"/>
            <w:shd w:val="clear" w:fill="F4F6F8"/>
          </w:tcPr>
          <w:p>
            <w:pPr>
              <w:spacing w:after="40" w:before="40"/>
            </w:pPr>
            <w:r/>
            <w:r>
              <w:rPr>
                <w:rFonts w:ascii="Calibri" w:hAnsi="Calibri"/>
                <w:b w:val="0"/>
                <w:i w:val="0"/>
                <w:color w:val="1F2933"/>
                <w:sz w:val="17"/>
              </w:rPr>
              <w:t>Governance, and data residency across more than one jurisdiction</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WRITE THE HANDOVER INTO THE AGREEMENT AT THE START</w:t>
            </w:r>
          </w:p>
          <w:p>
            <w:pPr>
              <w:spacing w:after="100"/>
            </w:pPr>
            <w:r>
              <w:rPr>
                <w:rFonts w:ascii="Calibri" w:hAnsi="Calibri"/>
                <w:b w:val="0"/>
                <w:i w:val="0"/>
                <w:color w:val="1F2933"/>
                <w:sz w:val="19"/>
              </w:rPr>
              <w:t>Model B fails in a predictable way: the pilot succeeds, the partner's funding ends, and the recurring cost arrives in a budget cycle that has already closed. The mitigation is cheap and has to be early — name the recurring figure and the date the ministry assumes it in the original agreement, and re-measure that figure at the end of the pilot against real usage rather than the projection. A handover discussed in the final quarter is a handover that will not happen.</w:t>
            </w:r>
          </w:p>
        </w:tc>
      </w:tr>
    </w:tbl>
    <w:p>
      <w:pPr>
        <w:spacing w:after="40"/>
      </w:pPr>
    </w:p>
    <w:tbl>
      <w:tblPr>
        <w:tblW w:type="auto" w:w="0"/>
        <w:tblLayout w:type="fixed"/>
        <w:tblLook w:firstColumn="1" w:firstRow="1" w:lastColumn="0" w:lastRow="0" w:noHBand="0" w:noVBand="1" w:val="04A0"/>
        <w:tblBorders>
          <w:top w:val="single" w:sz="2" w:space="0" w:color="F4F6F8"/>
          <w:left w:val="single" w:sz="2" w:space="0" w:color="F4F6F8"/>
          <w:bottom w:val="single" w:sz="2" w:space="0" w:color="F4F6F8"/>
          <w:right w:val="single" w:sz="2" w:space="0" w:color="F4F6F8"/>
          <w:insideH w:val="single" w:sz="2" w:space="0" w:color="F4F6F8"/>
          <w:insideV w:val="single" w:sz="2" w:space="0" w:color="F4F6F8"/>
        </w:tblBorders>
      </w:tblPr>
      <w:tblGrid>
        <w:gridCol w:w="9412"/>
      </w:tblGrid>
      <w:tr>
        <w:trPr>
          <w:cantSplit/>
        </w:trPr>
        <w:tc>
          <w:tcPr>
            <w:tcW w:type="dxa" w:w="9411"/>
            <w:shd w:val="clear" w:fill="F4F6F8"/>
            <w:tcBorders>
              <w:left w:val="single" w:sz="18" w:space="0" w:color="626F7D"/>
            </w:tcBorders>
          </w:tcPr>
          <w:p>
            <w:pPr>
              <w:spacing w:before="80" w:after="40"/>
            </w:pPr>
            <w:r/>
            <w:r>
              <w:rPr>
                <w:rFonts w:ascii="Calibri" w:hAnsi="Calibri"/>
                <w:b/>
                <w:color w:val="E8590C"/>
                <w:sz w:val="17"/>
              </w:rPr>
              <w:t>ON CHARGING HOUSEHOLDS</w:t>
            </w:r>
          </w:p>
          <w:p>
            <w:pPr>
              <w:spacing w:after="100"/>
            </w:pPr>
            <w:r>
              <w:rPr>
                <w:rFonts w:ascii="Calibri" w:hAnsi="Calibri"/>
                <w:b w:val="0"/>
                <w:i w:val="0"/>
                <w:color w:val="1F2933"/>
                <w:sz w:val="19"/>
              </w:rPr>
              <w:t>Direct student or household contribution is technically straightforward and strategically self-defeating. The case for the platform is that it gives a tutor to students who cannot buy one; a fee reintroduces exactly the selection it was meant to remove, and it does so at the schools least able to absorb it. If a contribution is unavoidable, put it at school or district level, where it can be equalised, rather than at the household.</w:t>
            </w:r>
          </w:p>
        </w:tc>
      </w:tr>
    </w:tbl>
    <w:p>
      <w:pPr>
        <w:spacing w:after="40"/>
      </w:pPr>
    </w:p>
    <w:p>
      <w:pPr>
        <w:pStyle w:val="Heading2"/>
      </w:pPr>
      <w:r>
        <w:t>Making the recurring line small</w:t>
      </w:r>
    </w:p>
    <w:p>
      <w:pPr>
        <w:spacing w:after="140"/>
      </w:pPr>
      <w:r>
        <w:rPr>
          <w:rFonts w:ascii="Calibri" w:hAnsi="Calibri"/>
          <w:b w:val="0"/>
          <w:i w:val="0"/>
          <w:color w:val="1F2933"/>
          <w:sz w:val="21"/>
        </w:rPr>
        <w:t>The levers in section 6 are cost engineering. Read through a sustainability lens, three of them change the shape of the commitment rather than just its size:</w:t>
      </w:r>
    </w:p>
    <w:p>
      <w:pPr>
        <w:pStyle w:val="ListBullet"/>
        <w:spacing w:after="60"/>
      </w:pPr>
      <w:r>
        <w:rPr>
          <w:rFonts w:ascii="Calibri" w:hAnsi="Calibri"/>
          <w:b/>
          <w:i w:val="0"/>
          <w:color w:val="1F2933"/>
          <w:sz w:val="21"/>
        </w:rPr>
        <w:t>A self-hosted model converts recurring cash into capital plus electricity.</w:t>
      </w:r>
      <w:r>
        <w:rPr>
          <w:rFonts w:ascii="Calibri" w:hAnsi="Calibri"/>
          <w:b w:val="0"/>
          <w:i w:val="0"/>
          <w:color w:val="1F2933"/>
          <w:sz w:val="21"/>
        </w:rPr>
        <w:t xml:space="preserve"> That is a different budget line, often an easier one to defend, and — unlike per-turn billing — it does not grow when the programme succeeds.</w:t>
      </w:r>
    </w:p>
    <w:p>
      <w:pPr>
        <w:pStyle w:val="ListBullet"/>
        <w:spacing w:after="60"/>
      </w:pPr>
      <w:r>
        <w:rPr>
          <w:rFonts w:ascii="Calibri" w:hAnsi="Calibri"/>
          <w:b/>
          <w:i w:val="0"/>
          <w:color w:val="1F2933"/>
          <w:sz w:val="21"/>
        </w:rPr>
        <w:t>The offline builds remove the recurring cloud cost entirely</w:t>
      </w:r>
      <w:r>
        <w:rPr>
          <w:rFonts w:ascii="Calibri" w:hAnsi="Calibri"/>
          <w:b w:val="0"/>
          <w:i w:val="0"/>
          <w:color w:val="1F2933"/>
          <w:sz w:val="21"/>
        </w:rPr>
        <w:t>, at the price of hardware and a quality trade-off that section 8 explains how to measure.</w:t>
      </w:r>
    </w:p>
    <w:p>
      <w:pPr>
        <w:pStyle w:val="ListBullet"/>
        <w:spacing w:after="60"/>
      </w:pPr>
      <w:r>
        <w:rPr>
          <w:rFonts w:ascii="Calibri" w:hAnsi="Calibri"/>
          <w:b/>
          <w:i w:val="0"/>
          <w:color w:val="1F2933"/>
          <w:sz w:val="21"/>
        </w:rPr>
        <w:t>Per-purpose model selection</w:t>
      </w:r>
      <w:r>
        <w:rPr>
          <w:rFonts w:ascii="Calibri" w:hAnsi="Calibri"/>
          <w:b w:val="0"/>
          <w:i w:val="0"/>
          <w:color w:val="1F2933"/>
          <w:sz w:val="21"/>
        </w:rPr>
        <w:t xml:space="preserve"> means the tutoring model, which drives nearly all of the spend, can be changed without touching content generation or the quality judge.</w:t>
      </w:r>
    </w:p>
    <w:p>
      <w:pPr>
        <w:spacing w:after="140"/>
      </w:pPr>
      <w:r>
        <w:rPr>
          <w:rFonts w:ascii="Calibri" w:hAnsi="Calibri"/>
          <w:b w:val="0"/>
          <w:i w:val="0"/>
          <w:color w:val="1F2933"/>
          <w:sz w:val="21"/>
        </w:rPr>
        <w:t xml:space="preserve">The target is the cheapest configuration that </w:t>
      </w:r>
      <w:r>
        <w:rPr>
          <w:rFonts w:ascii="Calibri" w:hAnsi="Calibri"/>
          <w:b/>
          <w:i w:val="0"/>
          <w:color w:val="1F2933"/>
          <w:sz w:val="21"/>
        </w:rPr>
        <w:t>passes the quality gate</w:t>
      </w:r>
      <w:r>
        <w:rPr>
          <w:rFonts w:ascii="Calibri" w:hAnsi="Calibri"/>
          <w:b w:val="0"/>
          <w:i w:val="0"/>
          <w:color w:val="1F2933"/>
          <w:sz w:val="21"/>
        </w:rPr>
        <w:t>, not the cheapest configuration. A saving that costs a grade is not a saving, and the harnesses in section 8 exist so that this is a measurement rather than an argument.</w:t>
      </w:r>
    </w:p>
    <w:p>
      <w:pPr>
        <w:pStyle w:val="Heading2"/>
      </w:pPr>
      <w:r>
        <w:t>A cost-per-student figure you can defend</w:t>
      </w:r>
    </w:p>
    <w:p>
      <w:pPr>
        <w:spacing w:after="140"/>
      </w:pPr>
      <w:r>
        <w:rPr>
          <w:rFonts w:ascii="Calibri" w:hAnsi="Calibri"/>
          <w:b w:val="0"/>
          <w:i w:val="0"/>
          <w:color w:val="1F2933"/>
          <w:sz w:val="21"/>
        </w:rPr>
        <w:t>Boards and treasuries ask for cost per student, and the honest answer is a ratio you derive rather than a number anyone can quote at you. The method:</w:t>
      </w:r>
    </w:p>
    <w:p>
      <w:pPr>
        <w:pStyle w:val="ListNumber"/>
        <w:spacing w:after="60"/>
      </w:pPr>
      <w:r>
        <w:rPr>
          <w:rFonts w:ascii="Calibri" w:hAnsi="Calibri"/>
          <w:b w:val="0"/>
          <w:i w:val="0"/>
          <w:color w:val="1F2933"/>
          <w:sz w:val="21"/>
        </w:rPr>
        <w:t>Take observed model spend for a month — the pilot anchor in section 6 is roughly US$600 across four schools.</w:t>
      </w:r>
    </w:p>
    <w:p>
      <w:pPr>
        <w:pStyle w:val="ListNumber"/>
        <w:spacing w:after="60"/>
      </w:pPr>
      <w:r>
        <w:rPr>
          <w:rFonts w:ascii="Calibri" w:hAnsi="Calibri"/>
          <w:b w:val="0"/>
          <w:i w:val="0"/>
          <w:color w:val="1F2933"/>
          <w:sz w:val="21"/>
        </w:rPr>
        <w:t xml:space="preserve">Divide by </w:t>
      </w:r>
      <w:r>
        <w:rPr>
          <w:rFonts w:ascii="Calibri" w:hAnsi="Calibri"/>
          <w:b/>
          <w:i w:val="0"/>
          <w:color w:val="1F2933"/>
          <w:sz w:val="21"/>
        </w:rPr>
        <w:t>active</w:t>
      </w:r>
      <w:r>
        <w:rPr>
          <w:rFonts w:ascii="Calibri" w:hAnsi="Calibri"/>
          <w:b w:val="0"/>
          <w:i w:val="0"/>
          <w:color w:val="1F2933"/>
          <w:sz w:val="21"/>
        </w:rPr>
        <w:t xml:space="preserve"> students, not enrolled ones. A student who took no session cost nothing and proves nothing.</w:t>
      </w:r>
    </w:p>
    <w:p>
      <w:pPr>
        <w:pStyle w:val="ListNumber"/>
        <w:spacing w:after="60"/>
      </w:pPr>
      <w:r>
        <w:rPr>
          <w:rFonts w:ascii="Calibri" w:hAnsi="Calibri"/>
          <w:b w:val="0"/>
          <w:i w:val="0"/>
          <w:color w:val="1F2933"/>
          <w:sz w:val="21"/>
        </w:rPr>
        <w:t>Multiply by the months in the school year, and add the fixed infrastructure line divided across the whole cohort — that second term shrinks as the system grows, which is the main argument for one national instance rather than several.</w:t>
      </w:r>
    </w:p>
    <w:p>
      <w:pPr>
        <w:spacing w:after="140"/>
      </w:pPr>
      <w:r>
        <w:rPr>
          <w:rFonts w:ascii="Calibri" w:hAnsi="Calibri"/>
          <w:b w:val="0"/>
          <w:i w:val="0"/>
          <w:color w:val="1F2933"/>
          <w:sz w:val="21"/>
        </w:rPr>
        <w:t xml:space="preserve">Worked through with an illustrative 400 active students across those four schools, that is about US$1.50 per active student per month, or roughly US$15 across a ten-month year, before infrastructure. </w:t>
      </w:r>
      <w:r>
        <w:rPr>
          <w:rFonts w:ascii="Calibri" w:hAnsi="Calibri"/>
          <w:b/>
          <w:i w:val="0"/>
          <w:color w:val="1F2933"/>
          <w:sz w:val="21"/>
        </w:rPr>
        <w:t>Substitute your own active-student count</w:t>
      </w:r>
      <w:r>
        <w:rPr>
          <w:rFonts w:ascii="Calibri" w:hAnsi="Calibri"/>
          <w:b w:val="0"/>
          <w:i w:val="0"/>
          <w:color w:val="1F2933"/>
          <w:sz w:val="21"/>
        </w:rPr>
        <w:t xml:space="preserve"> — the arithmetic is given for its shape, not its total, and the student number is an assumption here rather than an observation.</w:t>
      </w:r>
    </w:p>
    <w:p>
      <w:pPr>
        <w:pStyle w:val="Heading2"/>
      </w:pPr>
      <w:r>
        <w:t>Sustainability is not only financial</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474"/>
            <w:shd w:val="clear" w:fill="1F2933"/>
          </w:tcPr>
          <w:p>
            <w:pPr>
              <w:spacing w:after="40" w:before="40"/>
            </w:pPr>
            <w:r/>
            <w:r>
              <w:rPr>
                <w:rFonts w:ascii="Calibri" w:hAnsi="Calibri"/>
                <w:b/>
                <w:i w:val="0"/>
                <w:color w:val="FFFFFF"/>
                <w:sz w:val="18"/>
              </w:rPr>
              <w:t>Kind</w:t>
            </w:r>
          </w:p>
        </w:tc>
        <w:tc>
          <w:tcPr>
            <w:tcW w:type="dxa" w:w="3628"/>
            <w:shd w:val="clear" w:fill="1F2933"/>
          </w:tcPr>
          <w:p>
            <w:pPr>
              <w:spacing w:after="40" w:before="40"/>
            </w:pPr>
            <w:r/>
            <w:r>
              <w:rPr>
                <w:rFonts w:ascii="Calibri" w:hAnsi="Calibri"/>
                <w:b/>
                <w:i w:val="0"/>
                <w:color w:val="FFFFFF"/>
                <w:sz w:val="18"/>
              </w:rPr>
              <w:t>What it means here</w:t>
            </w:r>
          </w:p>
        </w:tc>
        <w:tc>
          <w:tcPr>
            <w:tcW w:type="dxa" w:w="4309"/>
            <w:shd w:val="clear" w:fill="1F2933"/>
          </w:tcPr>
          <w:p>
            <w:pPr>
              <w:spacing w:after="40" w:before="40"/>
            </w:pPr>
            <w:r/>
            <w:r>
              <w:rPr>
                <w:rFonts w:ascii="Calibri" w:hAnsi="Calibri"/>
                <w:b/>
                <w:i w:val="0"/>
                <w:color w:val="FFFFFF"/>
                <w:sz w:val="18"/>
              </w:rPr>
              <w:t>What makes it hold</w:t>
            </w:r>
          </w:p>
        </w:tc>
      </w:tr>
      <w:tr>
        <w:trPr>
          <w:cantSplit/>
        </w:trPr>
        <w:tc>
          <w:tcPr>
            <w:tcW w:type="dxa" w:w="1474"/>
          </w:tcPr>
          <w:p>
            <w:pPr>
              <w:spacing w:after="40" w:before="40"/>
            </w:pPr>
            <w:r/>
            <w:r>
              <w:rPr>
                <w:rFonts w:ascii="Calibri" w:hAnsi="Calibri"/>
                <w:b w:val="0"/>
                <w:i w:val="0"/>
                <w:color w:val="1F2933"/>
                <w:sz w:val="18"/>
              </w:rPr>
              <w:t>Financial</w:t>
            </w:r>
          </w:p>
        </w:tc>
        <w:tc>
          <w:tcPr>
            <w:tcW w:type="dxa" w:w="3628"/>
          </w:tcPr>
          <w:p>
            <w:pPr>
              <w:spacing w:after="40" w:before="40"/>
            </w:pPr>
            <w:r/>
            <w:r>
              <w:rPr>
                <w:rFonts w:ascii="Calibri" w:hAnsi="Calibri"/>
                <w:b w:val="0"/>
                <w:i w:val="0"/>
                <w:color w:val="1F2933"/>
                <w:sz w:val="18"/>
              </w:rPr>
              <w:t>The recurring line survives a change of budget cycle</w:t>
            </w:r>
          </w:p>
        </w:tc>
        <w:tc>
          <w:tcPr>
            <w:tcW w:type="dxa" w:w="4309"/>
          </w:tcPr>
          <w:p>
            <w:pPr>
              <w:spacing w:after="40" w:before="40"/>
            </w:pPr>
            <w:r/>
            <w:r>
              <w:rPr>
                <w:rFonts w:ascii="Calibri" w:hAnsi="Calibri"/>
                <w:b w:val="0"/>
                <w:i w:val="0"/>
                <w:color w:val="1F2933"/>
                <w:sz w:val="18"/>
              </w:rPr>
              <w:t>A named directorate owns it, not a project code with an end date</w:t>
            </w:r>
          </w:p>
        </w:tc>
      </w:tr>
      <w:tr>
        <w:trPr>
          <w:cantSplit/>
        </w:trPr>
        <w:tc>
          <w:tcPr>
            <w:tcW w:type="dxa" w:w="1474"/>
            <w:shd w:val="clear" w:fill="F4F6F8"/>
          </w:tcPr>
          <w:p>
            <w:pPr>
              <w:spacing w:after="40" w:before="40"/>
            </w:pPr>
            <w:r/>
            <w:r>
              <w:rPr>
                <w:rFonts w:ascii="Calibri" w:hAnsi="Calibri"/>
                <w:b w:val="0"/>
                <w:i w:val="0"/>
                <w:color w:val="1F2933"/>
                <w:sz w:val="18"/>
              </w:rPr>
              <w:t>Technical</w:t>
            </w:r>
          </w:p>
        </w:tc>
        <w:tc>
          <w:tcPr>
            <w:tcW w:type="dxa" w:w="3628"/>
            <w:shd w:val="clear" w:fill="F4F6F8"/>
          </w:tcPr>
          <w:p>
            <w:pPr>
              <w:spacing w:after="40" w:before="40"/>
            </w:pPr>
            <w:r/>
            <w:r>
              <w:rPr>
                <w:rFonts w:ascii="Calibri" w:hAnsi="Calibri"/>
                <w:b w:val="0"/>
                <w:i w:val="0"/>
                <w:color w:val="1F2933"/>
                <w:sz w:val="18"/>
              </w:rPr>
              <w:t>The country can operate, upgrade and redeploy its own instance</w:t>
            </w:r>
          </w:p>
        </w:tc>
        <w:tc>
          <w:tcPr>
            <w:tcW w:type="dxa" w:w="4309"/>
            <w:shd w:val="clear" w:fill="F4F6F8"/>
          </w:tcPr>
          <w:p>
            <w:pPr>
              <w:spacing w:after="40" w:before="40"/>
            </w:pPr>
            <w:r/>
            <w:r>
              <w:rPr>
                <w:rFonts w:ascii="Calibri" w:hAnsi="Calibri"/>
                <w:b w:val="0"/>
                <w:i w:val="0"/>
                <w:color w:val="1F2933"/>
                <w:sz w:val="18"/>
              </w:rPr>
              <w:t>The self-hosting paths exist so that operation does not have to be bought. A system that can rebuild its own deployment is not exposed to anyone's continuity</w:t>
            </w:r>
          </w:p>
        </w:tc>
      </w:tr>
      <w:tr>
        <w:trPr>
          <w:cantSplit/>
        </w:trPr>
        <w:tc>
          <w:tcPr>
            <w:tcW w:type="dxa" w:w="1474"/>
          </w:tcPr>
          <w:p>
            <w:pPr>
              <w:spacing w:after="40" w:before="40"/>
            </w:pPr>
            <w:r/>
            <w:r>
              <w:rPr>
                <w:rFonts w:ascii="Calibri" w:hAnsi="Calibri"/>
                <w:b w:val="0"/>
                <w:i w:val="0"/>
                <w:color w:val="1F2933"/>
                <w:sz w:val="18"/>
              </w:rPr>
              <w:t>Content</w:t>
            </w:r>
          </w:p>
        </w:tc>
        <w:tc>
          <w:tcPr>
            <w:tcW w:type="dxa" w:w="3628"/>
          </w:tcPr>
          <w:p>
            <w:pPr>
              <w:spacing w:after="40" w:before="40"/>
            </w:pPr>
            <w:r/>
            <w:r>
              <w:rPr>
                <w:rFonts w:ascii="Calibri" w:hAnsi="Calibri"/>
                <w:b w:val="0"/>
                <w:i w:val="0"/>
                <w:color w:val="1F2933"/>
                <w:sz w:val="18"/>
              </w:rPr>
              <w:t>The curriculum is still current after the next syllabus revision</w:t>
            </w:r>
          </w:p>
        </w:tc>
        <w:tc>
          <w:tcPr>
            <w:tcW w:type="dxa" w:w="4309"/>
          </w:tcPr>
          <w:p>
            <w:pPr>
              <w:spacing w:after="40" w:before="40"/>
            </w:pPr>
            <w:r/>
            <w:r>
              <w:rPr>
                <w:rFonts w:ascii="Calibri" w:hAnsi="Calibri"/>
                <w:b w:val="0"/>
                <w:i w:val="0"/>
                <w:color w:val="1F2933"/>
                <w:sz w:val="18"/>
              </w:rPr>
              <w:t>A funded refresh cycle. Regeneration is cheap; the expert review after it is not, and it is the part that gets forgotten</w:t>
            </w:r>
          </w:p>
        </w:tc>
      </w:tr>
      <w:tr>
        <w:trPr>
          <w:cantSplit/>
        </w:trPr>
        <w:tc>
          <w:tcPr>
            <w:tcW w:type="dxa" w:w="1474"/>
            <w:shd w:val="clear" w:fill="F4F6F8"/>
          </w:tcPr>
          <w:p>
            <w:pPr>
              <w:spacing w:after="40" w:before="40"/>
            </w:pPr>
            <w:r/>
            <w:r>
              <w:rPr>
                <w:rFonts w:ascii="Calibri" w:hAnsi="Calibri"/>
                <w:b w:val="0"/>
                <w:i w:val="0"/>
                <w:color w:val="1F2933"/>
                <w:sz w:val="18"/>
              </w:rPr>
              <w:t>Institutional</w:t>
            </w:r>
          </w:p>
        </w:tc>
        <w:tc>
          <w:tcPr>
            <w:tcW w:type="dxa" w:w="3628"/>
            <w:shd w:val="clear" w:fill="F4F6F8"/>
          </w:tcPr>
          <w:p>
            <w:pPr>
              <w:spacing w:after="40" w:before="40"/>
            </w:pPr>
            <w:r/>
            <w:r>
              <w:rPr>
                <w:rFonts w:ascii="Calibri" w:hAnsi="Calibri"/>
                <w:b w:val="0"/>
                <w:i w:val="0"/>
                <w:color w:val="1F2933"/>
                <w:sz w:val="18"/>
              </w:rPr>
              <w:t>The programme survives the people who started it</w:t>
            </w:r>
          </w:p>
        </w:tc>
        <w:tc>
          <w:tcPr>
            <w:tcW w:type="dxa" w:w="4309"/>
            <w:shd w:val="clear" w:fill="F4F6F8"/>
          </w:tcPr>
          <w:p>
            <w:pPr>
              <w:spacing w:after="40" w:before="40"/>
            </w:pPr>
            <w:r/>
            <w:r>
              <w:rPr>
                <w:rFonts w:ascii="Calibri" w:hAnsi="Calibri"/>
                <w:b w:val="0"/>
                <w:i w:val="0"/>
                <w:color w:val="1F2933"/>
                <w:sz w:val="18"/>
              </w:rPr>
              <w:t>Named roles rather than named people, two champions per school, and documentation that ships with the product</w:t>
            </w:r>
          </w:p>
        </w:tc>
      </w:tr>
    </w:tbl>
    <w:p>
      <w:pPr>
        <w:spacing w:after="40"/>
      </w:pPr>
    </w:p>
    <w:p>
      <w:pPr>
        <w:pStyle w:val="Heading2"/>
      </w:pPr>
      <w:r>
        <w:t>What to write into the funding agreement</w:t>
      </w:r>
    </w:p>
    <w:p>
      <w:pPr>
        <w:pStyle w:val="ListBullet"/>
        <w:spacing w:after="60"/>
      </w:pPr>
      <w:r>
        <w:rPr>
          <w:rFonts w:ascii="Calibri" w:hAnsi="Calibri"/>
          <w:b w:val="0"/>
          <w:i w:val="0"/>
          <w:color w:val="1F2933"/>
          <w:sz w:val="21"/>
        </w:rPr>
        <w:t>The recurring figure, and the date and budget line that assumes it.</w:t>
      </w:r>
    </w:p>
    <w:p>
      <w:pPr>
        <w:pStyle w:val="ListBullet"/>
        <w:spacing w:after="60"/>
      </w:pPr>
      <w:r>
        <w:rPr>
          <w:rFonts w:ascii="Calibri" w:hAnsi="Calibri"/>
          <w:b w:val="0"/>
          <w:i w:val="0"/>
          <w:color w:val="1F2933"/>
          <w:sz w:val="21"/>
        </w:rPr>
        <w:t>Who owns the deployment, the data and the credentials when the project ends.</w:t>
      </w:r>
    </w:p>
    <w:p>
      <w:pPr>
        <w:pStyle w:val="ListBullet"/>
        <w:spacing w:after="60"/>
      </w:pPr>
      <w:r>
        <w:rPr>
          <w:rFonts w:ascii="Calibri" w:hAnsi="Calibri"/>
          <w:b w:val="0"/>
          <w:i w:val="0"/>
          <w:color w:val="1F2933"/>
          <w:sz w:val="21"/>
        </w:rPr>
        <w:t>Rights to the generated content, and to the syllabus material it derives from.</w:t>
      </w:r>
    </w:p>
    <w:p>
      <w:pPr>
        <w:pStyle w:val="ListBullet"/>
        <w:spacing w:after="60"/>
      </w:pPr>
      <w:r>
        <w:rPr>
          <w:rFonts w:ascii="Calibri" w:hAnsi="Calibri"/>
          <w:b w:val="0"/>
          <w:i w:val="0"/>
          <w:color w:val="1F2933"/>
          <w:sz w:val="21"/>
        </w:rPr>
        <w:t>A content refresh cycle tied to the syllabus revision calendar, and who funds the review.</w:t>
      </w:r>
    </w:p>
    <w:p>
      <w:pPr>
        <w:pStyle w:val="ListBullet"/>
        <w:spacing w:after="60"/>
      </w:pPr>
      <w:r>
        <w:rPr>
          <w:rFonts w:ascii="Calibri" w:hAnsi="Calibri"/>
          <w:b w:val="0"/>
          <w:i w:val="0"/>
          <w:color w:val="1F2933"/>
          <w:sz w:val="21"/>
        </w:rPr>
        <w:t>An exit clause: what happens to the instance and the data if the programme stops. This is cheap to honour here — the platform runs on the country's own infrastructure and its content exports as a portable pack, so leaving costs a migration rather than a rebuild.</w:t>
      </w:r>
    </w:p>
    <w:p>
      <w:pPr>
        <w:pStyle w:val="Heading1"/>
        <w:pBdr>
          <w:bottom w:val="single" w:sz="12" w:space="6" w:color="E8590C"/>
        </w:pBdr>
      </w:pPr>
      <w:r>
        <w:t>8.  Evidence, evaluation and quality assurance</w:t>
      </w:r>
    </w:p>
    <w:p>
      <w:pPr>
        <w:spacing w:after="140"/>
      </w:pPr>
      <w:r>
        <w:rPr>
          <w:rFonts w:ascii="Calibri" w:hAnsi="Calibri"/>
          <w:b w:val="0"/>
          <w:i w:val="0"/>
          <w:color w:val="1F2933"/>
          <w:sz w:val="21"/>
        </w:rPr>
        <w:t>A ministry putting a language model in front of thirteen-year-olds needs to be able to answer two questions: how do you know it teaches well, and how do you know when it doesn't. The platform has three layers of answer.</w:t>
      </w:r>
    </w:p>
    <w:p>
      <w:pPr>
        <w:pStyle w:val="Heading2"/>
      </w:pPr>
      <w:r>
        <w:t>Layer 1 — The runtime judge</w:t>
      </w:r>
    </w:p>
    <w:p>
      <w:pPr>
        <w:spacing w:after="140"/>
      </w:pPr>
      <w:r>
        <w:rPr>
          <w:rFonts w:ascii="Calibri" w:hAnsi="Calibri"/>
          <w:b w:val="0"/>
          <w:i w:val="0"/>
          <w:color w:val="1F2933"/>
          <w:sz w:val="21"/>
        </w:rPr>
        <w:t>Every tutor reply is scored on ten dimensions before it is shown, in a single model call against a cross-vendor cascade. It catches factual errors, rule violations, incoherence and safety problems as they happen, and flags sessions for teacher review.</w:t>
      </w:r>
    </w:p>
    <w:p>
      <w:pPr>
        <w:pStyle w:val="Heading2"/>
      </w:pPr>
      <w:r>
        <w:t>Layer 2 — Turn-level evaluation against a rubric</w:t>
      </w:r>
    </w:p>
    <w:p>
      <w:pPr>
        <w:spacing w:after="140"/>
      </w:pPr>
      <w:r>
        <w:rPr>
          <w:rFonts w:ascii="Calibri" w:hAnsi="Calibri"/>
          <w:b w:val="0"/>
          <w:i w:val="0"/>
          <w:color w:val="1F2933"/>
          <w:sz w:val="21"/>
        </w:rPr>
        <w:t>An evaluation workbench, built into the dashboard, annotates individual tutor turns from real production sessions against an internal rubric of thirty labels across nineteen failure categories. Both human annotators and model annotators score the same turns, so the two can be compared rather than assumed to agree.</w:t>
      </w:r>
    </w:p>
    <w:p>
      <w:pPr>
        <w:pStyle w:val="Heading2"/>
      </w:pPr>
      <w:r>
        <w:t>Layer 3 — Session-level pedagogical evaluation</w:t>
      </w:r>
    </w:p>
    <w:p>
      <w:pPr>
        <w:spacing w:after="140"/>
      </w:pPr>
      <w:r>
        <w:rPr>
          <w:rFonts w:ascii="Calibri" w:hAnsi="Calibri"/>
          <w:b w:val="0"/>
          <w:i w:val="0"/>
          <w:color w:val="1F2933"/>
          <w:sz w:val="21"/>
        </w:rPr>
        <w:t>Whole sessions are scored against the eight pedagogical dimensions of the standard AI-tutor evaluation framework in the research literature (Maurya et al., NAACL 2025) — mistake identification, mistake location, revealing of the answer, guidance, actionability, coherence, tutor tone and human-likeness — on a three-way scale rather than pass/fail.</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A FINDING WORTH CARRYING INTO YOUR OWN PLAN</w:t>
            </w:r>
          </w:p>
          <w:p>
            <w:pPr>
              <w:spacing w:after="100"/>
            </w:pPr>
            <w:r>
              <w:rPr>
                <w:rFonts w:ascii="Calibri" w:hAnsi="Calibri"/>
                <w:b w:val="0"/>
                <w:i w:val="0"/>
                <w:color w:val="1F2933"/>
                <w:sz w:val="19"/>
              </w:rPr>
              <w:t>On 215 hand-graded sessions from the live pilot, the automated judges and human graders disagreed 50 times — and every single disagreement was in the same direction: the judge passed a session a human failed. Automated evaluation is a useful filter and a poor gate. Plan for human grading before a new locale reaches students, not judge scores alone.</w:t>
            </w:r>
          </w:p>
        </w:tc>
      </w:tr>
    </w:tbl>
    <w:p>
      <w:pPr>
        <w:spacing w:after="40"/>
      </w:pPr>
    </w:p>
    <w:p>
      <w:pPr>
        <w:pStyle w:val="Heading2"/>
      </w:pPr>
      <w:r>
        <w:t>The quality gate to apply before a cohort</w:t>
      </w:r>
    </w:p>
    <w:p>
      <w:pPr>
        <w:pStyle w:val="ListBullet"/>
        <w:spacing w:after="60"/>
      </w:pPr>
      <w:r>
        <w:rPr>
          <w:rFonts w:ascii="Calibri" w:hAnsi="Calibri"/>
          <w:b w:val="0"/>
          <w:i w:val="0"/>
          <w:color w:val="1F2933"/>
          <w:sz w:val="21"/>
        </w:rPr>
        <w:t>A sample of complete sessions per subject, hand-graded by a subject teacher against the session rubric — enough to see the failure patterns, not enough to be a research study.</w:t>
      </w:r>
    </w:p>
    <w:p>
      <w:pPr>
        <w:pStyle w:val="ListBullet"/>
        <w:spacing w:after="60"/>
      </w:pPr>
      <w:r>
        <w:rPr>
          <w:rFonts w:ascii="Calibri" w:hAnsi="Calibri"/>
          <w:b w:val="0"/>
          <w:i w:val="0"/>
          <w:color w:val="1F2933"/>
          <w:sz w:val="21"/>
        </w:rPr>
        <w:t>A content review pass: every lesson in scope read and approved by a subject expert, with figures checked against the text they illustrate.</w:t>
      </w:r>
    </w:p>
    <w:p>
      <w:pPr>
        <w:pStyle w:val="ListBullet"/>
        <w:spacing w:after="60"/>
      </w:pPr>
      <w:r>
        <w:rPr>
          <w:rFonts w:ascii="Calibri" w:hAnsi="Calibri"/>
          <w:b w:val="0"/>
          <w:i w:val="0"/>
          <w:color w:val="1F2933"/>
          <w:sz w:val="21"/>
        </w:rPr>
        <w:t>A language review pass by a native-speaking educator, on generated content and on live sessions, checking register and the absence of code-switching.</w:t>
      </w:r>
    </w:p>
    <w:p>
      <w:pPr>
        <w:pStyle w:val="ListBullet"/>
        <w:spacing w:after="60"/>
      </w:pPr>
      <w:r>
        <w:rPr>
          <w:rFonts w:ascii="Calibri" w:hAnsi="Calibri"/>
          <w:b w:val="0"/>
          <w:i w:val="0"/>
          <w:color w:val="1F2933"/>
          <w:sz w:val="21"/>
        </w:rPr>
        <w:t>A safety walkthrough: deliberate off-topic, distressing and adversarial student messages, confirming flagging and teacher visibility work.</w:t>
      </w:r>
    </w:p>
    <w:p>
      <w:pPr>
        <w:pStyle w:val="ListBullet"/>
        <w:spacing w:after="60"/>
      </w:pPr>
      <w:r>
        <w:rPr>
          <w:rFonts w:ascii="Calibri" w:hAnsi="Calibri"/>
          <w:b w:val="0"/>
          <w:i w:val="0"/>
          <w:color w:val="1F2933"/>
          <w:sz w:val="21"/>
        </w:rPr>
        <w:t>A cost measurement on the reviewed content, at the model configuration you intend to ship.</w:t>
      </w:r>
    </w:p>
    <w:p>
      <w:pPr>
        <w:spacing w:after="140"/>
      </w:pPr>
      <w:r>
        <w:rPr>
          <w:rFonts w:ascii="Calibri" w:hAnsi="Calibri"/>
          <w:b w:val="0"/>
          <w:i w:val="0"/>
          <w:color w:val="1F2933"/>
          <w:sz w:val="21"/>
        </w:rPr>
        <w:t>If a local model is being used instead of a cloud model, run this gate twice — once per configuration — and compare. That comparison is the evidence for the sovereignty trade-off, and it is the single most valuable artefact a country pilot can produce.</w:t>
      </w:r>
    </w:p>
    <w:p>
      <w:pPr>
        <w:pStyle w:val="Heading1"/>
        <w:pBdr>
          <w:bottom w:val="single" w:sz="12" w:space="6" w:color="E8590C"/>
        </w:pBdr>
      </w:pPr>
      <w:r>
        <w:t>9.  A phased adoption roadmap</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2353"/>
        <w:gridCol w:w="2353"/>
        <w:gridCol w:w="2353"/>
        <w:gridCol w:w="2353"/>
      </w:tblGrid>
      <w:tr>
        <w:trPr>
          <w:tblHeader w:val="true"/>
          <w:cantSplit/>
        </w:trPr>
        <w:tc>
          <w:tcPr>
            <w:tcW w:type="dxa" w:w="1361"/>
            <w:shd w:val="clear" w:fill="1F2933"/>
          </w:tcPr>
          <w:p>
            <w:pPr>
              <w:spacing w:after="40" w:before="40"/>
            </w:pPr>
            <w:r/>
            <w:r>
              <w:rPr>
                <w:rFonts w:ascii="Calibri" w:hAnsi="Calibri"/>
                <w:b/>
                <w:i w:val="0"/>
                <w:color w:val="FFFFFF"/>
                <w:sz w:val="17"/>
              </w:rPr>
              <w:t>Phase</w:t>
            </w:r>
          </w:p>
        </w:tc>
        <w:tc>
          <w:tcPr>
            <w:tcW w:type="dxa" w:w="3742"/>
            <w:shd w:val="clear" w:fill="1F2933"/>
          </w:tcPr>
          <w:p>
            <w:pPr>
              <w:spacing w:after="40" w:before="40"/>
            </w:pPr>
            <w:r/>
            <w:r>
              <w:rPr>
                <w:rFonts w:ascii="Calibri" w:hAnsi="Calibri"/>
                <w:b/>
                <w:i w:val="0"/>
                <w:color w:val="FFFFFF"/>
                <w:sz w:val="17"/>
              </w:rPr>
              <w:t>Work</w:t>
            </w:r>
          </w:p>
        </w:tc>
        <w:tc>
          <w:tcPr>
            <w:tcW w:type="dxa" w:w="1814"/>
            <w:shd w:val="clear" w:fill="1F2933"/>
          </w:tcPr>
          <w:p>
            <w:pPr>
              <w:spacing w:after="40" w:before="40"/>
            </w:pPr>
            <w:r/>
            <w:r>
              <w:rPr>
                <w:rFonts w:ascii="Calibri" w:hAnsi="Calibri"/>
                <w:b/>
                <w:i w:val="0"/>
                <w:color w:val="FFFFFF"/>
                <w:sz w:val="17"/>
              </w:rPr>
              <w:t>Owner</w:t>
            </w:r>
          </w:p>
        </w:tc>
        <w:tc>
          <w:tcPr>
            <w:tcW w:type="dxa" w:w="2494"/>
            <w:shd w:val="clear" w:fill="1F2933"/>
          </w:tcPr>
          <w:p>
            <w:pPr>
              <w:spacing w:after="40" w:before="40"/>
            </w:pPr>
            <w:r/>
            <w:r>
              <w:rPr>
                <w:rFonts w:ascii="Calibri" w:hAnsi="Calibri"/>
                <w:b/>
                <w:i w:val="0"/>
                <w:color w:val="FFFFFF"/>
                <w:sz w:val="17"/>
              </w:rPr>
              <w:t>Exit criterion</w:t>
            </w:r>
          </w:p>
        </w:tc>
      </w:tr>
      <w:tr>
        <w:trPr>
          <w:cantSplit/>
        </w:trPr>
        <w:tc>
          <w:tcPr>
            <w:tcW w:type="dxa" w:w="1361"/>
          </w:tcPr>
          <w:p>
            <w:pPr>
              <w:spacing w:after="40" w:before="40"/>
            </w:pPr>
            <w:r/>
            <w:r>
              <w:rPr>
                <w:rFonts w:ascii="Calibri" w:hAnsi="Calibri"/>
                <w:b w:val="0"/>
                <w:i w:val="0"/>
                <w:color w:val="1F2933"/>
                <w:sz w:val="17"/>
              </w:rPr>
              <w:t>0 — Decide 2–3 weeks</w:t>
            </w:r>
          </w:p>
        </w:tc>
        <w:tc>
          <w:tcPr>
            <w:tcW w:type="dxa" w:w="3742"/>
          </w:tcPr>
          <w:p>
            <w:pPr>
              <w:spacing w:after="40" w:before="40"/>
            </w:pPr>
            <w:r/>
            <w:r>
              <w:rPr>
                <w:rFonts w:ascii="Calibri" w:hAnsi="Calibri"/>
                <w:b w:val="0"/>
                <w:i w:val="0"/>
                <w:color w:val="1F2933"/>
                <w:sz w:val="17"/>
              </w:rPr>
              <w:t>Model placement (cloud, self-hosted or offline). Deployment model. Subjects and grades in scope. Data protection impact assessment. Rights to the syllabus material confirmed.</w:t>
            </w:r>
          </w:p>
        </w:tc>
        <w:tc>
          <w:tcPr>
            <w:tcW w:type="dxa" w:w="1814"/>
          </w:tcPr>
          <w:p>
            <w:pPr>
              <w:spacing w:after="40" w:before="40"/>
            </w:pPr>
            <w:r/>
            <w:r>
              <w:rPr>
                <w:rFonts w:ascii="Calibri" w:hAnsi="Calibri"/>
                <w:b w:val="0"/>
                <w:i w:val="0"/>
                <w:color w:val="1F2933"/>
                <w:sz w:val="17"/>
              </w:rPr>
              <w:t>Ministry + data protection officer</w:t>
            </w:r>
          </w:p>
        </w:tc>
        <w:tc>
          <w:tcPr>
            <w:tcW w:type="dxa" w:w="2494"/>
          </w:tcPr>
          <w:p>
            <w:pPr>
              <w:spacing w:after="40" w:before="40"/>
            </w:pPr>
            <w:r/>
            <w:r>
              <w:rPr>
                <w:rFonts w:ascii="Calibri" w:hAnsi="Calibri"/>
                <w:b w:val="0"/>
                <w:i w:val="0"/>
                <w:color w:val="1F2933"/>
                <w:sz w:val="17"/>
              </w:rPr>
              <w:t>A written decision on where model calls run, signed off</w:t>
            </w:r>
          </w:p>
        </w:tc>
      </w:tr>
      <w:tr>
        <w:trPr>
          <w:cantSplit/>
        </w:trPr>
        <w:tc>
          <w:tcPr>
            <w:tcW w:type="dxa" w:w="1361"/>
            <w:shd w:val="clear" w:fill="F4F6F8"/>
          </w:tcPr>
          <w:p>
            <w:pPr>
              <w:spacing w:after="40" w:before="40"/>
            </w:pPr>
            <w:r/>
            <w:r>
              <w:rPr>
                <w:rFonts w:ascii="Calibri" w:hAnsi="Calibri"/>
                <w:b w:val="0"/>
                <w:i w:val="0"/>
                <w:color w:val="1F2933"/>
                <w:sz w:val="17"/>
              </w:rPr>
              <w:t>1 — Stand up 1–2 weeks</w:t>
            </w:r>
          </w:p>
        </w:tc>
        <w:tc>
          <w:tcPr>
            <w:tcW w:type="dxa" w:w="3742"/>
            <w:shd w:val="clear" w:fill="F4F6F8"/>
          </w:tcPr>
          <w:p>
            <w:pPr>
              <w:spacing w:after="40" w:before="40"/>
            </w:pPr>
            <w:r/>
            <w:r>
              <w:rPr>
                <w:rFonts w:ascii="Calibri" w:hAnsi="Calibri"/>
                <w:b w:val="0"/>
                <w:i w:val="0"/>
                <w:color w:val="1F2933"/>
                <w:sz w:val="17"/>
              </w:rPr>
              <w:t>Infrastructure provisioned. Locale registered end to end. Grades, schools, terminology, competency bands and branding configured. First administrator and a test school created.</w:t>
            </w:r>
          </w:p>
        </w:tc>
        <w:tc>
          <w:tcPr>
            <w:tcW w:type="dxa" w:w="1814"/>
            <w:shd w:val="clear" w:fill="F4F6F8"/>
          </w:tcPr>
          <w:p>
            <w:pPr>
              <w:spacing w:after="40" w:before="40"/>
            </w:pPr>
            <w:r/>
            <w:r>
              <w:rPr>
                <w:rFonts w:ascii="Calibri" w:hAnsi="Calibri"/>
                <w:b w:val="0"/>
                <w:i w:val="0"/>
                <w:color w:val="1F2933"/>
                <w:sz w:val="17"/>
              </w:rPr>
              <w:t>Technical owner</w:t>
            </w:r>
          </w:p>
        </w:tc>
        <w:tc>
          <w:tcPr>
            <w:tcW w:type="dxa" w:w="2494"/>
            <w:shd w:val="clear" w:fill="F4F6F8"/>
          </w:tcPr>
          <w:p>
            <w:pPr>
              <w:spacing w:after="40" w:before="40"/>
            </w:pPr>
            <w:r/>
            <w:r>
              <w:rPr>
                <w:rFonts w:ascii="Calibri" w:hAnsi="Calibri"/>
                <w:b w:val="0"/>
                <w:i w:val="0"/>
                <w:color w:val="1F2933"/>
                <w:sz w:val="17"/>
              </w:rPr>
              <w:t>A teacher and a student can sign in and complete the bundled sample lesson</w:t>
            </w:r>
          </w:p>
        </w:tc>
      </w:tr>
      <w:tr>
        <w:trPr>
          <w:cantSplit/>
        </w:trPr>
        <w:tc>
          <w:tcPr>
            <w:tcW w:type="dxa" w:w="1361"/>
          </w:tcPr>
          <w:p>
            <w:pPr>
              <w:spacing w:after="40" w:before="40"/>
            </w:pPr>
            <w:r/>
            <w:r>
              <w:rPr>
                <w:rFonts w:ascii="Calibri" w:hAnsi="Calibri"/>
                <w:b w:val="0"/>
                <w:i w:val="0"/>
                <w:color w:val="1F2933"/>
                <w:sz w:val="17"/>
              </w:rPr>
              <w:t>2 — Content 4–8 weeks per subject</w:t>
            </w:r>
          </w:p>
        </w:tc>
        <w:tc>
          <w:tcPr>
            <w:tcW w:type="dxa" w:w="3742"/>
          </w:tcPr>
          <w:p>
            <w:pPr>
              <w:spacing w:after="40" w:before="40"/>
            </w:pPr>
            <w:r/>
            <w:r>
              <w:rPr>
                <w:rFonts w:ascii="Calibri" w:hAnsi="Calibri"/>
                <w:b w:val="0"/>
                <w:i w:val="0"/>
                <w:color w:val="1F2933"/>
                <w:sz w:val="17"/>
              </w:rPr>
              <w:t>Syllabus ingested per grade. Lessons, figures and exit tickets generated. Subject experts review, edit and publish. Local context library seeded. Prerequisites checked.</w:t>
            </w:r>
          </w:p>
        </w:tc>
        <w:tc>
          <w:tcPr>
            <w:tcW w:type="dxa" w:w="1814"/>
          </w:tcPr>
          <w:p>
            <w:pPr>
              <w:spacing w:after="40" w:before="40"/>
            </w:pPr>
            <w:r/>
            <w:r>
              <w:rPr>
                <w:rFonts w:ascii="Calibri" w:hAnsi="Calibri"/>
                <w:b w:val="0"/>
                <w:i w:val="0"/>
                <w:color w:val="1F2933"/>
                <w:sz w:val="17"/>
              </w:rPr>
              <w:t>Curriculum authority</w:t>
            </w:r>
          </w:p>
        </w:tc>
        <w:tc>
          <w:tcPr>
            <w:tcW w:type="dxa" w:w="2494"/>
          </w:tcPr>
          <w:p>
            <w:pPr>
              <w:spacing w:after="40" w:before="40"/>
            </w:pPr>
            <w:r/>
            <w:r>
              <w:rPr>
                <w:rFonts w:ascii="Calibri" w:hAnsi="Calibri"/>
                <w:b w:val="0"/>
                <w:i w:val="0"/>
                <w:color w:val="1F2933"/>
                <w:sz w:val="17"/>
              </w:rPr>
              <w:t>Every lesson in scope approved by a named subject expert</w:t>
            </w:r>
          </w:p>
        </w:tc>
      </w:tr>
      <w:tr>
        <w:trPr>
          <w:cantSplit/>
        </w:trPr>
        <w:tc>
          <w:tcPr>
            <w:tcW w:type="dxa" w:w="1361"/>
            <w:shd w:val="clear" w:fill="F4F6F8"/>
          </w:tcPr>
          <w:p>
            <w:pPr>
              <w:spacing w:after="40" w:before="40"/>
            </w:pPr>
            <w:r/>
            <w:r>
              <w:rPr>
                <w:rFonts w:ascii="Calibri" w:hAnsi="Calibri"/>
                <w:b w:val="0"/>
                <w:i w:val="0"/>
                <w:color w:val="1F2933"/>
                <w:sz w:val="17"/>
              </w:rPr>
              <w:t>3 — Validate 2–3 weeks</w:t>
            </w:r>
          </w:p>
        </w:tc>
        <w:tc>
          <w:tcPr>
            <w:tcW w:type="dxa" w:w="3742"/>
            <w:shd w:val="clear" w:fill="F4F6F8"/>
          </w:tcPr>
          <w:p>
            <w:pPr>
              <w:spacing w:after="40" w:before="40"/>
            </w:pPr>
            <w:r/>
            <w:r>
              <w:rPr>
                <w:rFonts w:ascii="Calibri" w:hAnsi="Calibri"/>
                <w:b w:val="0"/>
                <w:i w:val="0"/>
                <w:color w:val="1F2933"/>
                <w:sz w:val="17"/>
              </w:rPr>
              <w:t>Human grading of sample sessions. Language review. Safety walkthrough. Load check at expected concurrency. Cost measured on final content. Teacher training delivered.</w:t>
            </w:r>
          </w:p>
        </w:tc>
        <w:tc>
          <w:tcPr>
            <w:tcW w:type="dxa" w:w="1814"/>
            <w:shd w:val="clear" w:fill="F4F6F8"/>
          </w:tcPr>
          <w:p>
            <w:pPr>
              <w:spacing w:after="40" w:before="40"/>
            </w:pPr>
            <w:r/>
            <w:r>
              <w:rPr>
                <w:rFonts w:ascii="Calibri" w:hAnsi="Calibri"/>
                <w:b w:val="0"/>
                <w:i w:val="0"/>
                <w:color w:val="1F2933"/>
                <w:sz w:val="17"/>
              </w:rPr>
              <w:t>Ministry + platform team</w:t>
            </w:r>
          </w:p>
        </w:tc>
        <w:tc>
          <w:tcPr>
            <w:tcW w:type="dxa" w:w="2494"/>
            <w:shd w:val="clear" w:fill="F4F6F8"/>
          </w:tcPr>
          <w:p>
            <w:pPr>
              <w:spacing w:after="40" w:before="40"/>
            </w:pPr>
            <w:r/>
            <w:r>
              <w:rPr>
                <w:rFonts w:ascii="Calibri" w:hAnsi="Calibri"/>
                <w:b w:val="0"/>
                <w:i w:val="0"/>
                <w:color w:val="1F2933"/>
                <w:sz w:val="17"/>
              </w:rPr>
              <w:t>The section 8 quality gate passed and recorded</w:t>
            </w:r>
          </w:p>
        </w:tc>
      </w:tr>
      <w:tr>
        <w:trPr>
          <w:cantSplit/>
        </w:trPr>
        <w:tc>
          <w:tcPr>
            <w:tcW w:type="dxa" w:w="1361"/>
          </w:tcPr>
          <w:p>
            <w:pPr>
              <w:spacing w:after="40" w:before="40"/>
            </w:pPr>
            <w:r/>
            <w:r>
              <w:rPr>
                <w:rFonts w:ascii="Calibri" w:hAnsi="Calibri"/>
                <w:b w:val="0"/>
                <w:i w:val="0"/>
                <w:color w:val="1F2933"/>
                <w:sz w:val="17"/>
              </w:rPr>
              <w:t>4 — Pilot one school term</w:t>
            </w:r>
          </w:p>
        </w:tc>
        <w:tc>
          <w:tcPr>
            <w:tcW w:type="dxa" w:w="3742"/>
          </w:tcPr>
          <w:p>
            <w:pPr>
              <w:spacing w:after="40" w:before="40"/>
            </w:pPr>
            <w:r/>
            <w:r>
              <w:rPr>
                <w:rFonts w:ascii="Calibri" w:hAnsi="Calibri"/>
                <w:b w:val="0"/>
                <w:i w:val="0"/>
                <w:color w:val="1F2933"/>
                <w:sz w:val="17"/>
              </w:rPr>
              <w:t>Three to six schools. Weekly review of flagged sessions and teacher feedback. Cost tracked against the Phase 3 model. Content fixes shipped continuously.</w:t>
            </w:r>
          </w:p>
        </w:tc>
        <w:tc>
          <w:tcPr>
            <w:tcW w:type="dxa" w:w="1814"/>
          </w:tcPr>
          <w:p>
            <w:pPr>
              <w:spacing w:after="40" w:before="40"/>
            </w:pPr>
            <w:r/>
            <w:r>
              <w:rPr>
                <w:rFonts w:ascii="Calibri" w:hAnsi="Calibri"/>
                <w:b w:val="0"/>
                <w:i w:val="0"/>
                <w:color w:val="1F2933"/>
                <w:sz w:val="17"/>
              </w:rPr>
              <w:t>Ministry</w:t>
            </w:r>
          </w:p>
        </w:tc>
        <w:tc>
          <w:tcPr>
            <w:tcW w:type="dxa" w:w="2494"/>
          </w:tcPr>
          <w:p>
            <w:pPr>
              <w:spacing w:after="40" w:before="40"/>
            </w:pPr>
            <w:r/>
            <w:r>
              <w:rPr>
                <w:rFonts w:ascii="Calibri" w:hAnsi="Calibri"/>
                <w:b w:val="0"/>
                <w:i w:val="0"/>
                <w:color w:val="1F2933"/>
                <w:sz w:val="17"/>
              </w:rPr>
              <w:t>Attainment, usage and cost data sufficient to decide on scale</w:t>
            </w:r>
          </w:p>
        </w:tc>
      </w:tr>
      <w:tr>
        <w:trPr>
          <w:cantSplit/>
        </w:trPr>
        <w:tc>
          <w:tcPr>
            <w:tcW w:type="dxa" w:w="1361"/>
            <w:shd w:val="clear" w:fill="F4F6F8"/>
          </w:tcPr>
          <w:p>
            <w:pPr>
              <w:spacing w:after="40" w:before="40"/>
            </w:pPr>
            <w:r/>
            <w:r>
              <w:rPr>
                <w:rFonts w:ascii="Calibri" w:hAnsi="Calibri"/>
                <w:b w:val="0"/>
                <w:i w:val="0"/>
                <w:color w:val="1F2933"/>
                <w:sz w:val="17"/>
              </w:rPr>
              <w:t>5 — Scale</w:t>
            </w:r>
          </w:p>
        </w:tc>
        <w:tc>
          <w:tcPr>
            <w:tcW w:type="dxa" w:w="3742"/>
            <w:shd w:val="clear" w:fill="F4F6F8"/>
          </w:tcPr>
          <w:p>
            <w:pPr>
              <w:spacing w:after="40" w:before="40"/>
            </w:pPr>
            <w:r/>
            <w:r>
              <w:rPr>
                <w:rFonts w:ascii="Calibri" w:hAnsi="Calibri"/>
                <w:b w:val="0"/>
                <w:i w:val="0"/>
                <w:color w:val="1F2933"/>
                <w:sz w:val="17"/>
              </w:rPr>
              <w:t>Remaining schools onboarded as institutions on the same instance. Additional subjects follow the Phase 2 loop. Offline builds where connectivity requires them.</w:t>
            </w:r>
          </w:p>
        </w:tc>
        <w:tc>
          <w:tcPr>
            <w:tcW w:type="dxa" w:w="1814"/>
            <w:shd w:val="clear" w:fill="F4F6F8"/>
          </w:tcPr>
          <w:p>
            <w:pPr>
              <w:spacing w:after="40" w:before="40"/>
            </w:pPr>
            <w:r/>
            <w:r>
              <w:rPr>
                <w:rFonts w:ascii="Calibri" w:hAnsi="Calibri"/>
                <w:b w:val="0"/>
                <w:i w:val="0"/>
                <w:color w:val="1F2933"/>
                <w:sz w:val="17"/>
              </w:rPr>
              <w:t>Ministry + technical owner</w:t>
            </w:r>
          </w:p>
        </w:tc>
        <w:tc>
          <w:tcPr>
            <w:tcW w:type="dxa" w:w="2494"/>
            <w:shd w:val="clear" w:fill="F4F6F8"/>
          </w:tcPr>
          <w:p>
            <w:pPr>
              <w:spacing w:after="40" w:before="40"/>
            </w:pPr>
            <w:r/>
            <w:r>
              <w:rPr>
                <w:rFonts w:ascii="Calibri" w:hAnsi="Calibri"/>
                <w:b w:val="0"/>
                <w:i w:val="0"/>
                <w:color w:val="1F2933"/>
                <w:sz w:val="17"/>
              </w:rPr>
              <w:t>—</w:t>
            </w:r>
          </w:p>
        </w:tc>
      </w:tr>
    </w:tbl>
    <w:p>
      <w:pPr>
        <w:spacing w:after="40"/>
      </w:pPr>
    </w:p>
    <w:p>
      <w:pPr>
        <w:spacing w:after="140"/>
      </w:pPr>
      <w:r>
        <w:rPr>
          <w:rFonts w:ascii="Calibri" w:hAnsi="Calibri"/>
          <w:b w:val="0"/>
          <w:i w:val="0"/>
          <w:color w:val="1F2933"/>
          <w:sz w:val="21"/>
        </w:rPr>
        <w:t>Two sequencing rules earn their keep:</w:t>
      </w:r>
    </w:p>
    <w:p>
      <w:pPr>
        <w:pStyle w:val="ListBullet"/>
        <w:spacing w:after="60"/>
      </w:pPr>
      <w:r>
        <w:rPr>
          <w:rFonts w:ascii="Calibri" w:hAnsi="Calibri"/>
          <w:b/>
          <w:i w:val="0"/>
          <w:color w:val="1F2933"/>
          <w:sz w:val="21"/>
        </w:rPr>
        <w:t>Do not start Phase 2 before Phase 1 is genuinely finished.</w:t>
      </w:r>
      <w:r>
        <w:rPr>
          <w:rFonts w:ascii="Calibri" w:hAnsi="Calibri"/>
          <w:b w:val="0"/>
          <w:i w:val="0"/>
          <w:color w:val="1F2933"/>
          <w:sz w:val="21"/>
        </w:rPr>
        <w:t xml:space="preserve"> Content generated against an unsettled locale or grade structure is content generated twice.</w:t>
      </w:r>
    </w:p>
    <w:p>
      <w:pPr>
        <w:pStyle w:val="ListBullet"/>
        <w:spacing w:after="60"/>
      </w:pPr>
      <w:r>
        <w:rPr>
          <w:rFonts w:ascii="Calibri" w:hAnsi="Calibri"/>
          <w:b/>
          <w:i w:val="0"/>
          <w:color w:val="1F2933"/>
          <w:sz w:val="21"/>
        </w:rPr>
        <w:t>Run Phase 2 per subject, not per country.</w:t>
      </w:r>
      <w:r>
        <w:rPr>
          <w:rFonts w:ascii="Calibri" w:hAnsi="Calibri"/>
          <w:b w:val="0"/>
          <w:i w:val="0"/>
          <w:color w:val="1F2933"/>
          <w:sz w:val="21"/>
        </w:rPr>
        <w:t xml:space="preserve"> One subject through to a validated pilot teaches more than four subjects half-reviewed, and it gives teachers something real to react to while the rest is built.</w:t>
      </w:r>
    </w:p>
    <w:p>
      <w:pPr>
        <w:pStyle w:val="Heading1"/>
        <w:pBdr>
          <w:bottom w:val="single" w:sz="12" w:space="6" w:color="E8590C"/>
        </w:pBdr>
      </w:pPr>
      <w:r>
        <w:t>10.  Teacher training and support</w:t>
      </w:r>
    </w:p>
    <w:p>
      <w:pPr>
        <w:spacing w:after="140"/>
      </w:pPr>
      <w:r>
        <w:rPr>
          <w:rFonts w:ascii="Calibri" w:hAnsi="Calibri"/>
          <w:b w:val="0"/>
          <w:i w:val="0"/>
          <w:color w:val="1F2933"/>
          <w:sz w:val="21"/>
        </w:rPr>
        <w:t>Section 12 lists teacher non-adoption as a risk. This section is its mitigation, and it is the part of the programme that cannot be bought, generated or deployed. A platform teachers do not open is indistinguishable from one that was never installed. Budget training as a funded line item with an owner and a calendar, not as an event held once the week before launch.</w:t>
      </w:r>
    </w:p>
    <w:p>
      <w:pPr>
        <w:pStyle w:val="Heading2"/>
      </w:pPr>
      <w:r>
        <w:t>What a teacher has to be able to do, and when</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928"/>
            <w:shd w:val="clear" w:fill="1F2933"/>
          </w:tcPr>
          <w:p>
            <w:pPr>
              <w:spacing w:after="40" w:before="40"/>
            </w:pPr>
            <w:r/>
            <w:r>
              <w:rPr>
                <w:rFonts w:ascii="Calibri" w:hAnsi="Calibri"/>
                <w:b/>
                <w:i w:val="0"/>
                <w:color w:val="FFFFFF"/>
                <w:sz w:val="18"/>
              </w:rPr>
              <w:t>By when</w:t>
            </w:r>
          </w:p>
        </w:tc>
        <w:tc>
          <w:tcPr>
            <w:tcW w:type="dxa" w:w="4876"/>
            <w:shd w:val="clear" w:fill="1F2933"/>
          </w:tcPr>
          <w:p>
            <w:pPr>
              <w:spacing w:after="40" w:before="40"/>
            </w:pPr>
            <w:r/>
            <w:r>
              <w:rPr>
                <w:rFonts w:ascii="Calibri" w:hAnsi="Calibri"/>
                <w:b/>
                <w:i w:val="0"/>
                <w:color w:val="FFFFFF"/>
                <w:sz w:val="18"/>
              </w:rPr>
              <w:t>The teacher can…</w:t>
            </w:r>
          </w:p>
        </w:tc>
        <w:tc>
          <w:tcPr>
            <w:tcW w:type="dxa" w:w="2608"/>
            <w:shd w:val="clear" w:fill="1F2933"/>
          </w:tcPr>
          <w:p>
            <w:pPr>
              <w:spacing w:after="40" w:before="40"/>
            </w:pPr>
            <w:r/>
            <w:r>
              <w:rPr>
                <w:rFonts w:ascii="Calibri" w:hAnsi="Calibri"/>
                <w:b/>
                <w:i w:val="0"/>
                <w:color w:val="FFFFFF"/>
                <w:sz w:val="18"/>
              </w:rPr>
              <w:t>Where they do it</w:t>
            </w:r>
          </w:p>
        </w:tc>
      </w:tr>
      <w:tr>
        <w:trPr>
          <w:cantSplit/>
        </w:trPr>
        <w:tc>
          <w:tcPr>
            <w:tcW w:type="dxa" w:w="1928"/>
          </w:tcPr>
          <w:p>
            <w:pPr>
              <w:spacing w:after="40" w:before="40"/>
            </w:pPr>
            <w:r/>
            <w:r>
              <w:rPr>
                <w:rFonts w:ascii="Calibri" w:hAnsi="Calibri"/>
                <w:b w:val="0"/>
                <w:i w:val="0"/>
                <w:color w:val="1F2933"/>
                <w:sz w:val="18"/>
              </w:rPr>
              <w:t>Before their first lesson with students</w:t>
            </w:r>
          </w:p>
        </w:tc>
        <w:tc>
          <w:tcPr>
            <w:tcW w:type="dxa" w:w="4876"/>
          </w:tcPr>
          <w:p>
            <w:pPr>
              <w:spacing w:after="40" w:before="40"/>
            </w:pPr>
            <w:r/>
            <w:r>
              <w:rPr>
                <w:rFonts w:ascii="Calibri" w:hAnsi="Calibri"/>
                <w:b w:val="0"/>
                <w:i w:val="0"/>
                <w:color w:val="1F2933"/>
                <w:sz w:val="18"/>
              </w:rPr>
              <w:t>Sign in and find their class. Assign a lesson to a week. Set the lesson duration. Watch a lesson while it is happening. Read the session report afterwards.</w:t>
            </w:r>
          </w:p>
        </w:tc>
        <w:tc>
          <w:tcPr>
            <w:tcW w:type="dxa" w:w="2608"/>
          </w:tcPr>
          <w:p>
            <w:pPr>
              <w:spacing w:after="40" w:before="40"/>
            </w:pPr>
            <w:r/>
            <w:r>
              <w:rPr>
                <w:rFonts w:ascii="Calibri" w:hAnsi="Calibri"/>
                <w:b w:val="0"/>
                <w:i w:val="0"/>
                <w:color w:val="1F2933"/>
                <w:sz w:val="18"/>
              </w:rPr>
              <w:t>Class page, weekly assignments, live monitoring, session report</w:t>
            </w:r>
          </w:p>
        </w:tc>
      </w:tr>
      <w:tr>
        <w:trPr>
          <w:cantSplit/>
        </w:trPr>
        <w:tc>
          <w:tcPr>
            <w:tcW w:type="dxa" w:w="1928"/>
            <w:shd w:val="clear" w:fill="F4F6F8"/>
          </w:tcPr>
          <w:p>
            <w:pPr>
              <w:spacing w:after="40" w:before="40"/>
            </w:pPr>
            <w:r/>
            <w:r>
              <w:rPr>
                <w:rFonts w:ascii="Calibri" w:hAnsi="Calibri"/>
                <w:b w:val="0"/>
                <w:i w:val="0"/>
                <w:color w:val="1F2933"/>
                <w:sz w:val="18"/>
              </w:rPr>
              <w:t>Within the first month</w:t>
            </w:r>
          </w:p>
        </w:tc>
        <w:tc>
          <w:tcPr>
            <w:tcW w:type="dxa" w:w="4876"/>
            <w:shd w:val="clear" w:fill="F4F6F8"/>
          </w:tcPr>
          <w:p>
            <w:pPr>
              <w:spacing w:after="40" w:before="40"/>
            </w:pPr>
            <w:r/>
            <w:r>
              <w:rPr>
                <w:rFonts w:ascii="Calibri" w:hAnsi="Calibri"/>
                <w:b w:val="0"/>
                <w:i w:val="0"/>
                <w:color w:val="1F2933"/>
                <w:sz w:val="18"/>
              </w:rPr>
              <w:t>Read the class competency map and the class readiness report. Act on the ranked list of what needs them on the overview. Open a flagged session, read the transcript and escalate it. Edit an exit-ticket question. Ask the in-product assistant a how-to question.</w:t>
            </w:r>
          </w:p>
        </w:tc>
        <w:tc>
          <w:tcPr>
            <w:tcW w:type="dxa" w:w="2608"/>
            <w:shd w:val="clear" w:fill="F4F6F8"/>
          </w:tcPr>
          <w:p>
            <w:pPr>
              <w:spacing w:after="40" w:before="40"/>
            </w:pPr>
            <w:r/>
            <w:r>
              <w:rPr>
                <w:rFonts w:ascii="Calibri" w:hAnsi="Calibri"/>
                <w:b w:val="0"/>
                <w:i w:val="0"/>
                <w:color w:val="1F2933"/>
                <w:sz w:val="18"/>
              </w:rPr>
              <w:t>Overview, reports, flagged chats, exit-ticket editor</w:t>
            </w:r>
          </w:p>
        </w:tc>
      </w:tr>
      <w:tr>
        <w:trPr>
          <w:cantSplit/>
        </w:trPr>
        <w:tc>
          <w:tcPr>
            <w:tcW w:type="dxa" w:w="1928"/>
          </w:tcPr>
          <w:p>
            <w:pPr>
              <w:spacing w:after="40" w:before="40"/>
            </w:pPr>
            <w:r/>
            <w:r>
              <w:rPr>
                <w:rFonts w:ascii="Calibri" w:hAnsi="Calibri"/>
                <w:b w:val="0"/>
                <w:i w:val="0"/>
                <w:color w:val="1F2933"/>
                <w:sz w:val="18"/>
              </w:rPr>
              <w:t>Lead teachers, once trained through it</w:t>
            </w:r>
          </w:p>
        </w:tc>
        <w:tc>
          <w:tcPr>
            <w:tcW w:type="dxa" w:w="4876"/>
          </w:tcPr>
          <w:p>
            <w:pPr>
              <w:spacing w:after="40" w:before="40"/>
            </w:pPr>
            <w:r/>
            <w:r>
              <w:rPr>
                <w:rFonts w:ascii="Calibri" w:hAnsi="Calibri"/>
                <w:b w:val="0"/>
                <w:i w:val="0"/>
                <w:color w:val="1F2933"/>
                <w:sz w:val="18"/>
              </w:rPr>
              <w:t>Review and edit generated lesson content. Generate and review a summative exam. Manage the roster, including bulk student upload. Re-parse or regenerate a course.</w:t>
            </w:r>
          </w:p>
        </w:tc>
        <w:tc>
          <w:tcPr>
            <w:tcW w:type="dxa" w:w="2608"/>
          </w:tcPr>
          <w:p>
            <w:pPr>
              <w:spacing w:after="40" w:before="40"/>
            </w:pPr>
            <w:r/>
            <w:r>
              <w:rPr>
                <w:rFonts w:ascii="Calibri" w:hAnsi="Calibri"/>
                <w:b w:val="0"/>
                <w:i w:val="0"/>
                <w:color w:val="1F2933"/>
                <w:sz w:val="18"/>
              </w:rPr>
              <w:t>Content review, summative, students, curriculum upload</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THE PERMISSION GATES ARE A TRAINING DIAL</w:t>
            </w:r>
          </w:p>
          <w:p>
            <w:pPr>
              <w:spacing w:after="100"/>
            </w:pPr>
            <w:r>
              <w:rPr>
                <w:rFonts w:ascii="Calibri" w:hAnsi="Calibri"/>
                <w:b w:val="0"/>
                <w:i w:val="0"/>
                <w:color w:val="1F2933"/>
                <w:sz w:val="19"/>
              </w:rPr>
              <w:t>The three teacher permissions — edit and publish content, upload curriculum, regenerate a course — are independent and off by default, and they map onto the third tier above. Open a gate for a teacher when they have been trained through it, not on day one. Regeneration rebuilds every lesson and exit ticket in a course, so it is the last gate to open and the one most schools never need.</w:t>
            </w:r>
          </w:p>
        </w:tc>
      </w:tr>
    </w:tbl>
    <w:p>
      <w:pPr>
        <w:spacing w:after="40"/>
      </w:pPr>
    </w:p>
    <w:p>
      <w:pPr>
        <w:pStyle w:val="Heading2"/>
      </w:pPr>
      <w:r>
        <w:t>A three-tier training model</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2353"/>
        <w:gridCol w:w="2353"/>
        <w:gridCol w:w="2353"/>
        <w:gridCol w:w="2353"/>
      </w:tblGrid>
      <w:tr>
        <w:trPr>
          <w:tblHeader w:val="true"/>
          <w:cantSplit/>
        </w:trPr>
        <w:tc>
          <w:tcPr>
            <w:tcW w:type="dxa" w:w="1361"/>
            <w:shd w:val="clear" w:fill="1F2933"/>
          </w:tcPr>
          <w:p>
            <w:pPr>
              <w:spacing w:after="40" w:before="40"/>
            </w:pPr>
            <w:r/>
            <w:r>
              <w:rPr>
                <w:rFonts w:ascii="Calibri" w:hAnsi="Calibri"/>
                <w:b/>
                <w:i w:val="0"/>
                <w:color w:val="FFFFFF"/>
                <w:sz w:val="17"/>
              </w:rPr>
              <w:t>Tier</w:t>
            </w:r>
          </w:p>
        </w:tc>
        <w:tc>
          <w:tcPr>
            <w:tcW w:type="dxa" w:w="1928"/>
            <w:shd w:val="clear" w:fill="1F2933"/>
          </w:tcPr>
          <w:p>
            <w:pPr>
              <w:spacing w:after="40" w:before="40"/>
            </w:pPr>
            <w:r/>
            <w:r>
              <w:rPr>
                <w:rFonts w:ascii="Calibri" w:hAnsi="Calibri"/>
                <w:b/>
                <w:i w:val="0"/>
                <w:color w:val="FFFFFF"/>
                <w:sz w:val="17"/>
              </w:rPr>
              <w:t>Format</w:t>
            </w:r>
          </w:p>
        </w:tc>
        <w:tc>
          <w:tcPr>
            <w:tcW w:type="dxa" w:w="1928"/>
            <w:shd w:val="clear" w:fill="1F2933"/>
          </w:tcPr>
          <w:p>
            <w:pPr>
              <w:spacing w:after="40" w:before="40"/>
            </w:pPr>
            <w:r/>
            <w:r>
              <w:rPr>
                <w:rFonts w:ascii="Calibri" w:hAnsi="Calibri"/>
                <w:b/>
                <w:i w:val="0"/>
                <w:color w:val="FFFFFF"/>
                <w:sz w:val="17"/>
              </w:rPr>
              <w:t>Delivered by</w:t>
            </w:r>
          </w:p>
        </w:tc>
        <w:tc>
          <w:tcPr>
            <w:tcW w:type="dxa" w:w="4195"/>
            <w:shd w:val="clear" w:fill="1F2933"/>
          </w:tcPr>
          <w:p>
            <w:pPr>
              <w:spacing w:after="40" w:before="40"/>
            </w:pPr>
            <w:r/>
            <w:r>
              <w:rPr>
                <w:rFonts w:ascii="Calibri" w:hAnsi="Calibri"/>
                <w:b/>
                <w:i w:val="0"/>
                <w:color w:val="FFFFFF"/>
                <w:sz w:val="17"/>
              </w:rPr>
              <w:t>Covers</w:t>
            </w:r>
          </w:p>
        </w:tc>
      </w:tr>
      <w:tr>
        <w:trPr>
          <w:cantSplit/>
        </w:trPr>
        <w:tc>
          <w:tcPr>
            <w:tcW w:type="dxa" w:w="1361"/>
          </w:tcPr>
          <w:p>
            <w:pPr>
              <w:spacing w:after="40" w:before="40"/>
            </w:pPr>
            <w:r/>
            <w:r>
              <w:rPr>
                <w:rFonts w:ascii="Calibri" w:hAnsi="Calibri"/>
                <w:b w:val="0"/>
                <w:i w:val="0"/>
                <w:color w:val="1F2933"/>
                <w:sz w:val="17"/>
              </w:rPr>
              <w:t>Orientation</w:t>
            </w:r>
          </w:p>
        </w:tc>
        <w:tc>
          <w:tcPr>
            <w:tcW w:type="dxa" w:w="1928"/>
          </w:tcPr>
          <w:p>
            <w:pPr>
              <w:spacing w:after="40" w:before="40"/>
            </w:pPr>
            <w:r/>
            <w:r>
              <w:rPr>
                <w:rFonts w:ascii="Calibri" w:hAnsi="Calibri"/>
                <w:b w:val="0"/>
                <w:i w:val="0"/>
                <w:color w:val="1F2933"/>
                <w:sz w:val="17"/>
              </w:rPr>
              <w:t>Half a day, in the week before teaching starts</w:t>
            </w:r>
          </w:p>
        </w:tc>
        <w:tc>
          <w:tcPr>
            <w:tcW w:type="dxa" w:w="1928"/>
          </w:tcPr>
          <w:p>
            <w:pPr>
              <w:spacing w:after="40" w:before="40"/>
            </w:pPr>
            <w:r/>
            <w:r>
              <w:rPr>
                <w:rFonts w:ascii="Calibri" w:hAnsi="Calibri"/>
                <w:b w:val="0"/>
                <w:i w:val="0"/>
                <w:color w:val="1F2933"/>
                <w:sz w:val="17"/>
              </w:rPr>
              <w:t>Platform team with the national trainer cohort</w:t>
            </w:r>
          </w:p>
        </w:tc>
        <w:tc>
          <w:tcPr>
            <w:tcW w:type="dxa" w:w="4195"/>
          </w:tcPr>
          <w:p>
            <w:pPr>
              <w:spacing w:after="40" w:before="40"/>
            </w:pPr>
            <w:r/>
            <w:r>
              <w:rPr>
                <w:rFonts w:ascii="Calibri" w:hAnsi="Calibri"/>
                <w:b w:val="0"/>
                <w:i w:val="0"/>
                <w:color w:val="1F2933"/>
                <w:sz w:val="17"/>
              </w:rPr>
              <w:t>Every teacher takes a lesson as a student first — the fastest way to understand what their class will experience. Then the overview and its triage list, assigning a lesson, watching one live, and reading the session report.</w:t>
            </w:r>
          </w:p>
        </w:tc>
      </w:tr>
      <w:tr>
        <w:trPr>
          <w:cantSplit/>
        </w:trPr>
        <w:tc>
          <w:tcPr>
            <w:tcW w:type="dxa" w:w="1361"/>
            <w:shd w:val="clear" w:fill="F4F6F8"/>
          </w:tcPr>
          <w:p>
            <w:pPr>
              <w:spacing w:after="40" w:before="40"/>
            </w:pPr>
            <w:r/>
            <w:r>
              <w:rPr>
                <w:rFonts w:ascii="Calibri" w:hAnsi="Calibri"/>
                <w:b w:val="0"/>
                <w:i w:val="0"/>
                <w:color w:val="1F2933"/>
                <w:sz w:val="17"/>
              </w:rPr>
              <w:t>Accompaniment</w:t>
            </w:r>
          </w:p>
        </w:tc>
        <w:tc>
          <w:tcPr>
            <w:tcW w:type="dxa" w:w="1928"/>
            <w:shd w:val="clear" w:fill="F4F6F8"/>
          </w:tcPr>
          <w:p>
            <w:pPr>
              <w:spacing w:after="40" w:before="40"/>
            </w:pPr>
            <w:r/>
            <w:r>
              <w:rPr>
                <w:rFonts w:ascii="Calibri" w:hAnsi="Calibri"/>
                <w:b w:val="0"/>
                <w:i w:val="0"/>
                <w:color w:val="1F2933"/>
                <w:sz w:val="17"/>
              </w:rPr>
              <w:t>In the room, for the first two to three weeks of teaching</w:t>
            </w:r>
          </w:p>
        </w:tc>
        <w:tc>
          <w:tcPr>
            <w:tcW w:type="dxa" w:w="1928"/>
            <w:shd w:val="clear" w:fill="F4F6F8"/>
          </w:tcPr>
          <w:p>
            <w:pPr>
              <w:spacing w:after="40" w:before="40"/>
            </w:pPr>
            <w:r/>
            <w:r>
              <w:rPr>
                <w:rFonts w:ascii="Calibri" w:hAnsi="Calibri"/>
                <w:b w:val="0"/>
                <w:i w:val="0"/>
                <w:color w:val="1F2933"/>
                <w:sz w:val="17"/>
              </w:rPr>
              <w:t>Champion teacher or trainer</w:t>
            </w:r>
          </w:p>
        </w:tc>
        <w:tc>
          <w:tcPr>
            <w:tcW w:type="dxa" w:w="4195"/>
            <w:shd w:val="clear" w:fill="F4F6F8"/>
          </w:tcPr>
          <w:p>
            <w:pPr>
              <w:spacing w:after="40" w:before="40"/>
            </w:pPr>
            <w:r/>
            <w:r>
              <w:rPr>
                <w:rFonts w:ascii="Calibri" w:hAnsi="Calibri"/>
                <w:b w:val="0"/>
                <w:i w:val="0"/>
                <w:color w:val="1F2933"/>
                <w:sz w:val="17"/>
              </w:rPr>
              <w:t>The practical failures no slide deck prevents: sign-in, shared devices, a student stuck on a step, a lesson that reads wrong on the day.</w:t>
            </w:r>
          </w:p>
        </w:tc>
      </w:tr>
      <w:tr>
        <w:trPr>
          <w:cantSplit/>
        </w:trPr>
        <w:tc>
          <w:tcPr>
            <w:tcW w:type="dxa" w:w="1361"/>
          </w:tcPr>
          <w:p>
            <w:pPr>
              <w:spacing w:after="40" w:before="40"/>
            </w:pPr>
            <w:r/>
            <w:r>
              <w:rPr>
                <w:rFonts w:ascii="Calibri" w:hAnsi="Calibri"/>
                <w:b w:val="0"/>
                <w:i w:val="0"/>
                <w:color w:val="1F2933"/>
                <w:sz w:val="17"/>
              </w:rPr>
              <w:t>Clinics</w:t>
            </w:r>
          </w:p>
        </w:tc>
        <w:tc>
          <w:tcPr>
            <w:tcW w:type="dxa" w:w="1928"/>
          </w:tcPr>
          <w:p>
            <w:pPr>
              <w:spacing w:after="40" w:before="40"/>
            </w:pPr>
            <w:r/>
            <w:r>
              <w:rPr>
                <w:rFonts w:ascii="Calibri" w:hAnsi="Calibri"/>
                <w:b w:val="0"/>
                <w:i w:val="0"/>
                <w:color w:val="1F2933"/>
                <w:sz w:val="17"/>
              </w:rPr>
              <w:t>45 minutes, monthly, through the pilot</w:t>
            </w:r>
          </w:p>
        </w:tc>
        <w:tc>
          <w:tcPr>
            <w:tcW w:type="dxa" w:w="1928"/>
          </w:tcPr>
          <w:p>
            <w:pPr>
              <w:spacing w:after="40" w:before="40"/>
            </w:pPr>
            <w:r/>
            <w:r>
              <w:rPr>
                <w:rFonts w:ascii="Calibri" w:hAnsi="Calibri"/>
                <w:b w:val="0"/>
                <w:i w:val="0"/>
                <w:color w:val="1F2933"/>
                <w:sz w:val="17"/>
              </w:rPr>
              <w:t>Champion teachers</w:t>
            </w:r>
          </w:p>
        </w:tc>
        <w:tc>
          <w:tcPr>
            <w:tcW w:type="dxa" w:w="4195"/>
          </w:tcPr>
          <w:p>
            <w:pPr>
              <w:spacing w:after="40" w:before="40"/>
            </w:pPr>
            <w:r/>
            <w:r>
              <w:rPr>
                <w:rFonts w:ascii="Calibri" w:hAnsi="Calibri"/>
                <w:b w:val="0"/>
                <w:i w:val="0"/>
                <w:color w:val="1F2933"/>
                <w:sz w:val="17"/>
              </w:rPr>
              <w:t>What the flagged sessions showed, which lessons needed editing, and one new capability per clinic.</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TRAIN ON YOUR OWN CONTENT, NOT ON THE SAMPLE CURRICULUM</w:t>
            </w:r>
          </w:p>
          <w:p>
            <w:pPr>
              <w:spacing w:after="100"/>
            </w:pPr>
            <w:r>
              <w:rPr>
                <w:rFonts w:ascii="Calibri" w:hAnsi="Calibri"/>
                <w:b w:val="0"/>
                <w:i w:val="0"/>
                <w:color w:val="1F2933"/>
                <w:sz w:val="19"/>
              </w:rPr>
              <w:t>Orientation held before the subject's content has been reviewed trains teachers on the bundled sample curriculum, which is a different product from the one they will teach. Orientation is the last item in Phase 3, after content approval and before the first cohort — not the first item in Phase 1.</w:t>
            </w:r>
          </w:p>
        </w:tc>
      </w:tr>
    </w:tbl>
    <w:p>
      <w:pPr>
        <w:spacing w:after="40"/>
      </w:pPr>
    </w:p>
    <w:p>
      <w:pPr>
        <w:pStyle w:val="Heading2"/>
      </w:pPr>
      <w:r>
        <w:t>Who trains whom</w:t>
      </w:r>
    </w:p>
    <w:p>
      <w:pPr>
        <w:pStyle w:val="ListBullet"/>
        <w:spacing w:after="60"/>
      </w:pPr>
      <w:r>
        <w:rPr>
          <w:rFonts w:ascii="Calibri" w:hAnsi="Calibri"/>
          <w:b/>
          <w:i w:val="0"/>
          <w:color w:val="1F2933"/>
          <w:sz w:val="21"/>
        </w:rPr>
        <w:t>Two or three champion teachers per school</w:t>
      </w:r>
      <w:r>
        <w:rPr>
          <w:rFonts w:ascii="Calibri" w:hAnsi="Calibri"/>
          <w:b w:val="0"/>
          <w:i w:val="0"/>
          <w:color w:val="1F2933"/>
          <w:sz w:val="21"/>
        </w:rPr>
        <w:t>, identified before orientation and trained in more depth than their colleagues. Two, not one: a single champion who transfers school takes the school's capability with them.</w:t>
      </w:r>
    </w:p>
    <w:p>
      <w:pPr>
        <w:pStyle w:val="ListBullet"/>
        <w:spacing w:after="60"/>
      </w:pPr>
      <w:r>
        <w:rPr>
          <w:rFonts w:ascii="Calibri" w:hAnsi="Calibri"/>
          <w:b/>
          <w:i w:val="0"/>
          <w:color w:val="1F2933"/>
          <w:sz w:val="21"/>
        </w:rPr>
        <w:t>A national trainer cohort</w:t>
      </w:r>
      <w:r>
        <w:rPr>
          <w:rFonts w:ascii="Calibri" w:hAnsi="Calibri"/>
          <w:b w:val="0"/>
          <w:i w:val="0"/>
          <w:color w:val="1F2933"/>
          <w:sz w:val="21"/>
        </w:rPr>
        <w:t xml:space="preserve"> trained first and most deeply, so that the second wave of schools can be trained in-country without the platform team. This is the difference between a pilot and a programme that can scale.</w:t>
      </w:r>
    </w:p>
    <w:p>
      <w:pPr>
        <w:pStyle w:val="ListBullet"/>
        <w:spacing w:after="60"/>
      </w:pPr>
      <w:r>
        <w:rPr>
          <w:rFonts w:ascii="Calibri" w:hAnsi="Calibri"/>
          <w:b/>
          <w:i w:val="0"/>
          <w:color w:val="1F2933"/>
          <w:sz w:val="21"/>
        </w:rPr>
        <w:t>Champion time has to be timetabled.</w:t>
      </w:r>
      <w:r>
        <w:rPr>
          <w:rFonts w:ascii="Calibri" w:hAnsi="Calibri"/>
          <w:b w:val="0"/>
          <w:i w:val="0"/>
          <w:color w:val="1F2933"/>
          <w:sz w:val="21"/>
        </w:rPr>
        <w:t xml:space="preserve"> Support that depends on goodwill in a free period stops the week the timetable tightens.</w:t>
      </w:r>
    </w:p>
    <w:p>
      <w:pPr>
        <w:pStyle w:val="ListBullet"/>
        <w:spacing w:after="60"/>
      </w:pPr>
      <w:r>
        <w:rPr>
          <w:rFonts w:ascii="Calibri" w:hAnsi="Calibri"/>
          <w:b/>
          <w:i w:val="0"/>
          <w:color w:val="1F2933"/>
          <w:sz w:val="21"/>
        </w:rPr>
        <w:t>Head teachers are trained on the reports, not on the tutoring.</w:t>
      </w:r>
      <w:r>
        <w:rPr>
          <w:rFonts w:ascii="Calibri" w:hAnsi="Calibri"/>
          <w:b w:val="0"/>
          <w:i w:val="0"/>
          <w:color w:val="1F2933"/>
          <w:sz w:val="21"/>
        </w:rPr>
        <w:t xml:space="preserve"> What they need is the class readiness view and what its numbers mean for their school.</w:t>
      </w:r>
    </w:p>
    <w:p>
      <w:pPr>
        <w:spacing w:after="140"/>
      </w:pPr>
      <w:r>
        <w:rPr>
          <w:rFonts w:ascii="Calibri" w:hAnsi="Calibri"/>
          <w:b w:val="0"/>
          <w:i w:val="0"/>
          <w:color w:val="1F2933"/>
          <w:sz w:val="21"/>
        </w:rPr>
        <w:t>Teacher time is the largest non-cash cost in the programme: roughly half a day per teacher for orientation, plus champion time for accompaniment and monthly clinics. It is worth costing explicitly, because it is the item most often assumed to be free.</w:t>
      </w:r>
    </w:p>
    <w:p>
      <w:pPr>
        <w:pStyle w:val="Heading2"/>
      </w:pPr>
      <w:r>
        <w:t>Three lines of support</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701"/>
            <w:shd w:val="clear" w:fill="1F2933"/>
          </w:tcPr>
          <w:p>
            <w:pPr>
              <w:spacing w:after="40" w:before="40"/>
            </w:pPr>
            <w:r/>
            <w:r>
              <w:rPr>
                <w:rFonts w:ascii="Calibri" w:hAnsi="Calibri"/>
                <w:b/>
                <w:i w:val="0"/>
                <w:color w:val="FFFFFF"/>
                <w:sz w:val="17"/>
              </w:rPr>
              <w:t>Line</w:t>
            </w:r>
          </w:p>
        </w:tc>
        <w:tc>
          <w:tcPr>
            <w:tcW w:type="dxa" w:w="3742"/>
            <w:shd w:val="clear" w:fill="1F2933"/>
          </w:tcPr>
          <w:p>
            <w:pPr>
              <w:spacing w:after="40" w:before="40"/>
            </w:pPr>
            <w:r/>
            <w:r>
              <w:rPr>
                <w:rFonts w:ascii="Calibri" w:hAnsi="Calibri"/>
                <w:b/>
                <w:i w:val="0"/>
                <w:color w:val="FFFFFF"/>
                <w:sz w:val="17"/>
              </w:rPr>
              <w:t>Handles</w:t>
            </w:r>
          </w:p>
        </w:tc>
        <w:tc>
          <w:tcPr>
            <w:tcW w:type="dxa" w:w="3969"/>
            <w:shd w:val="clear" w:fill="1F2933"/>
          </w:tcPr>
          <w:p>
            <w:pPr>
              <w:spacing w:after="40" w:before="40"/>
            </w:pPr>
            <w:r/>
            <w:r>
              <w:rPr>
                <w:rFonts w:ascii="Calibri" w:hAnsi="Calibri"/>
                <w:b/>
                <w:i w:val="0"/>
                <w:color w:val="FFFFFF"/>
                <w:sz w:val="17"/>
              </w:rPr>
              <w:t>How it reaches them</w:t>
            </w:r>
          </w:p>
        </w:tc>
      </w:tr>
      <w:tr>
        <w:trPr>
          <w:cantSplit/>
        </w:trPr>
        <w:tc>
          <w:tcPr>
            <w:tcW w:type="dxa" w:w="1701"/>
          </w:tcPr>
          <w:p>
            <w:pPr>
              <w:spacing w:after="40" w:before="40"/>
            </w:pPr>
            <w:r/>
            <w:r>
              <w:rPr>
                <w:rFonts w:ascii="Calibri" w:hAnsi="Calibri"/>
                <w:b w:val="0"/>
                <w:i w:val="0"/>
                <w:color w:val="1F2933"/>
                <w:sz w:val="17"/>
              </w:rPr>
              <w:t>1 — In the product</w:t>
            </w:r>
          </w:p>
        </w:tc>
        <w:tc>
          <w:tcPr>
            <w:tcW w:type="dxa" w:w="3742"/>
          </w:tcPr>
          <w:p>
            <w:pPr>
              <w:spacing w:after="40" w:before="40"/>
            </w:pPr>
            <w:r/>
            <w:r>
              <w:rPr>
                <w:rFonts w:ascii="Calibri" w:hAnsi="Calibri"/>
                <w:b w:val="0"/>
                <w:i w:val="0"/>
                <w:color w:val="1F2933"/>
                <w:sz w:val="17"/>
              </w:rPr>
              <w:t>"How do I…" questions, navigation, and routine assignment actions</w:t>
            </w:r>
          </w:p>
        </w:tc>
        <w:tc>
          <w:tcPr>
            <w:tcW w:type="dxa" w:w="3969"/>
          </w:tcPr>
          <w:p>
            <w:pPr>
              <w:spacing w:after="40" w:before="40"/>
            </w:pPr>
            <w:r/>
            <w:r>
              <w:rPr>
                <w:rFonts w:ascii="Calibri" w:hAnsi="Calibri"/>
                <w:b w:val="0"/>
                <w:i w:val="0"/>
                <w:color w:val="1F2933"/>
                <w:sz w:val="17"/>
              </w:rPr>
              <w:t>A help and feedback button on every page, with an assistant that answers from the platform's own documentation and can navigate, assign a lesson to a week, set a course's lesson duration or summarise a student's progress. It cannot delete anything, change permissions or touch model settings — deliberately, and any write is confirmed first.</w:t>
            </w:r>
          </w:p>
        </w:tc>
      </w:tr>
      <w:tr>
        <w:trPr>
          <w:cantSplit/>
        </w:trPr>
        <w:tc>
          <w:tcPr>
            <w:tcW w:type="dxa" w:w="1701"/>
            <w:shd w:val="clear" w:fill="F4F6F8"/>
          </w:tcPr>
          <w:p>
            <w:pPr>
              <w:spacing w:after="40" w:before="40"/>
            </w:pPr>
            <w:r/>
            <w:r>
              <w:rPr>
                <w:rFonts w:ascii="Calibri" w:hAnsi="Calibri"/>
                <w:b w:val="0"/>
                <w:i w:val="0"/>
                <w:color w:val="1F2933"/>
                <w:sz w:val="17"/>
              </w:rPr>
              <w:t>1 — In the school</w:t>
            </w:r>
          </w:p>
        </w:tc>
        <w:tc>
          <w:tcPr>
            <w:tcW w:type="dxa" w:w="3742"/>
            <w:shd w:val="clear" w:fill="F4F6F8"/>
          </w:tcPr>
          <w:p>
            <w:pPr>
              <w:spacing w:after="40" w:before="40"/>
            </w:pPr>
            <w:r/>
            <w:r>
              <w:rPr>
                <w:rFonts w:ascii="Calibri" w:hAnsi="Calibri"/>
                <w:b w:val="0"/>
                <w:i w:val="0"/>
                <w:color w:val="1F2933"/>
                <w:sz w:val="17"/>
              </w:rPr>
              <w:t>Anything a trained colleague fixes in five minutes: sign-in, device sharing, where a report lives</w:t>
            </w:r>
          </w:p>
        </w:tc>
        <w:tc>
          <w:tcPr>
            <w:tcW w:type="dxa" w:w="3969"/>
            <w:shd w:val="clear" w:fill="F4F6F8"/>
          </w:tcPr>
          <w:p>
            <w:pPr>
              <w:spacing w:after="40" w:before="40"/>
            </w:pPr>
            <w:r/>
            <w:r>
              <w:rPr>
                <w:rFonts w:ascii="Calibri" w:hAnsi="Calibri"/>
                <w:b w:val="0"/>
                <w:i w:val="0"/>
                <w:color w:val="1F2933"/>
                <w:sz w:val="17"/>
              </w:rPr>
              <w:t>The champion teacher</w:t>
            </w:r>
          </w:p>
        </w:tc>
      </w:tr>
      <w:tr>
        <w:trPr>
          <w:cantSplit/>
        </w:trPr>
        <w:tc>
          <w:tcPr>
            <w:tcW w:type="dxa" w:w="1701"/>
          </w:tcPr>
          <w:p>
            <w:pPr>
              <w:spacing w:after="40" w:before="40"/>
            </w:pPr>
            <w:r/>
            <w:r>
              <w:rPr>
                <w:rFonts w:ascii="Calibri" w:hAnsi="Calibri"/>
                <w:b w:val="0"/>
                <w:i w:val="0"/>
                <w:color w:val="1F2933"/>
                <w:sz w:val="17"/>
              </w:rPr>
              <w:t>2 — In the country</w:t>
            </w:r>
          </w:p>
        </w:tc>
        <w:tc>
          <w:tcPr>
            <w:tcW w:type="dxa" w:w="3742"/>
          </w:tcPr>
          <w:p>
            <w:pPr>
              <w:spacing w:after="40" w:before="40"/>
            </w:pPr>
            <w:r/>
            <w:r>
              <w:rPr>
                <w:rFonts w:ascii="Calibri" w:hAnsi="Calibri"/>
                <w:b w:val="0"/>
                <w:i w:val="0"/>
                <w:color w:val="1F2933"/>
                <w:sz w:val="17"/>
              </w:rPr>
              <w:t>Accounts and roster, school configuration, content that needs correcting, anything the dashboard cannot fix</w:t>
            </w:r>
          </w:p>
        </w:tc>
        <w:tc>
          <w:tcPr>
            <w:tcW w:type="dxa" w:w="3969"/>
          </w:tcPr>
          <w:p>
            <w:pPr>
              <w:spacing w:after="40" w:before="40"/>
            </w:pPr>
            <w:r/>
            <w:r>
              <w:rPr>
                <w:rFonts w:ascii="Calibri" w:hAnsi="Calibri"/>
                <w:b w:val="0"/>
                <w:i w:val="0"/>
                <w:color w:val="1F2933"/>
                <w:sz w:val="17"/>
              </w:rPr>
              <w:t>The national technical owner</w:t>
            </w:r>
          </w:p>
        </w:tc>
      </w:tr>
      <w:tr>
        <w:trPr>
          <w:cantSplit/>
        </w:trPr>
        <w:tc>
          <w:tcPr>
            <w:tcW w:type="dxa" w:w="1701"/>
            <w:shd w:val="clear" w:fill="F4F6F8"/>
          </w:tcPr>
          <w:p>
            <w:pPr>
              <w:spacing w:after="40" w:before="40"/>
            </w:pPr>
            <w:r/>
            <w:r>
              <w:rPr>
                <w:rFonts w:ascii="Calibri" w:hAnsi="Calibri"/>
                <w:b w:val="0"/>
                <w:i w:val="0"/>
                <w:color w:val="1F2933"/>
                <w:sz w:val="17"/>
              </w:rPr>
              <w:t>3 — Platform</w:t>
            </w:r>
          </w:p>
        </w:tc>
        <w:tc>
          <w:tcPr>
            <w:tcW w:type="dxa" w:w="3742"/>
            <w:shd w:val="clear" w:fill="F4F6F8"/>
          </w:tcPr>
          <w:p>
            <w:pPr>
              <w:spacing w:after="40" w:before="40"/>
            </w:pPr>
            <w:r/>
            <w:r>
              <w:rPr>
                <w:rFonts w:ascii="Calibri" w:hAnsi="Calibri"/>
                <w:b w:val="0"/>
                <w:i w:val="0"/>
                <w:color w:val="1F2933"/>
                <w:sz w:val="17"/>
              </w:rPr>
              <w:t>Defects, model and infrastructure problems, content pipeline failures</w:t>
            </w:r>
          </w:p>
        </w:tc>
        <w:tc>
          <w:tcPr>
            <w:tcW w:type="dxa" w:w="3969"/>
            <w:shd w:val="clear" w:fill="F4F6F8"/>
          </w:tcPr>
          <w:p>
            <w:pPr>
              <w:spacing w:after="40" w:before="40"/>
            </w:pPr>
            <w:r/>
            <w:r>
              <w:rPr>
                <w:rFonts w:ascii="Calibri" w:hAnsi="Calibri"/>
                <w:b w:val="0"/>
                <w:i w:val="0"/>
                <w:color w:val="1F2933"/>
                <w:sz w:val="17"/>
              </w:rPr>
              <w:t>The same button's send-to-support tab, which forwards the message and an optional screenshot to platform administrators</w:t>
            </w:r>
          </w:p>
        </w:tc>
      </w:tr>
    </w:tbl>
    <w:p>
      <w:pPr>
        <w:spacing w:after="40"/>
      </w:pPr>
    </w:p>
    <w:p>
      <w:pPr>
        <w:spacing w:after="140"/>
      </w:pPr>
      <w:r>
        <w:rPr>
          <w:rFonts w:ascii="Calibri" w:hAnsi="Calibri"/>
          <w:b w:val="0"/>
          <w:i w:val="0"/>
          <w:color w:val="1F2933"/>
          <w:sz w:val="21"/>
        </w:rPr>
        <w:t>Point teachers at the troubleshooting section of the teacher guide during orientation. It is written from symptoms rather than causes — "my lesson is stuck on generating", "the competency map shows zero for everything", "a student says the tutor is confused", "the grader marked a correct answer wrong" — which is the form a teacher can actually search under pressure. It deflects a large share of what would otherwise reach line 2.</w:t>
      </w:r>
    </w:p>
    <w:p>
      <w:pPr>
        <w:pStyle w:val="Heading2"/>
      </w:pPr>
      <w:r>
        <w:t>What to measure</w:t>
      </w:r>
    </w:p>
    <w:p>
      <w:pPr>
        <w:pStyle w:val="ListBullet"/>
        <w:spacing w:after="60"/>
      </w:pPr>
      <w:r>
        <w:rPr>
          <w:rFonts w:ascii="Calibri" w:hAnsi="Calibri"/>
          <w:b/>
          <w:i w:val="0"/>
          <w:color w:val="1F2933"/>
          <w:sz w:val="21"/>
        </w:rPr>
        <w:t>Weekly active teachers, as a share of teachers trained.</w:t>
      </w:r>
      <w:r>
        <w:rPr>
          <w:rFonts w:ascii="Calibri" w:hAnsi="Calibri"/>
          <w:b w:val="0"/>
          <w:i w:val="0"/>
          <w:color w:val="1F2933"/>
          <w:sz w:val="21"/>
        </w:rPr>
        <w:t xml:space="preserve"> The single best predictor of whether the pilot survives the term.</w:t>
      </w:r>
    </w:p>
    <w:p>
      <w:pPr>
        <w:pStyle w:val="ListBullet"/>
        <w:spacing w:after="60"/>
      </w:pPr>
      <w:r>
        <w:rPr>
          <w:rFonts w:ascii="Calibri" w:hAnsi="Calibri"/>
          <w:b/>
          <w:i w:val="0"/>
          <w:color w:val="1F2933"/>
          <w:sz w:val="21"/>
        </w:rPr>
        <w:t>Lessons assigned per class per week</w:t>
      </w:r>
      <w:r>
        <w:rPr>
          <w:rFonts w:ascii="Calibri" w:hAnsi="Calibri"/>
          <w:b w:val="0"/>
          <w:i w:val="0"/>
          <w:color w:val="1F2933"/>
          <w:sz w:val="21"/>
        </w:rPr>
        <w:t xml:space="preserve"> — whether the platform is in the scheme of work or beside it.</w:t>
      </w:r>
    </w:p>
    <w:p>
      <w:pPr>
        <w:pStyle w:val="ListBullet"/>
        <w:spacing w:after="60"/>
      </w:pPr>
      <w:r>
        <w:rPr>
          <w:rFonts w:ascii="Calibri" w:hAnsi="Calibri"/>
          <w:b/>
          <w:i w:val="0"/>
          <w:color w:val="1F2933"/>
          <w:sz w:val="21"/>
        </w:rPr>
        <w:t>Flagged sessions reviewed, and how long they waited.</w:t>
      </w:r>
      <w:r>
        <w:rPr>
          <w:rFonts w:ascii="Calibri" w:hAnsi="Calibri"/>
          <w:b w:val="0"/>
          <w:i w:val="0"/>
          <w:color w:val="1F2933"/>
          <w:sz w:val="21"/>
        </w:rPr>
        <w:t xml:space="preserve"> This is a safeguarding measure before it is an engagement one.</w:t>
      </w:r>
    </w:p>
    <w:p>
      <w:pPr>
        <w:pStyle w:val="ListBullet"/>
        <w:spacing w:after="60"/>
      </w:pPr>
      <w:r>
        <w:rPr>
          <w:rFonts w:ascii="Calibri" w:hAnsi="Calibri"/>
          <w:b/>
          <w:i w:val="0"/>
          <w:color w:val="1F2933"/>
          <w:sz w:val="21"/>
        </w:rPr>
        <w:t>Content edits per teacher.</w:t>
      </w:r>
      <w:r>
        <w:rPr>
          <w:rFonts w:ascii="Calibri" w:hAnsi="Calibri"/>
          <w:b w:val="0"/>
          <w:i w:val="0"/>
          <w:color w:val="1F2933"/>
          <w:sz w:val="21"/>
        </w:rPr>
        <w:t xml:space="preserve"> A teacher who has never edited a lesson either has perfect content or no confidence in the editor, and those need opposite responses.</w:t>
      </w:r>
    </w:p>
    <w:p>
      <w:pPr>
        <w:pStyle w:val="ListBullet"/>
        <w:spacing w:after="60"/>
      </w:pPr>
      <w:r>
        <w:rPr>
          <w:rFonts w:ascii="Calibri" w:hAnsi="Calibri"/>
          <w:b/>
          <w:i w:val="0"/>
          <w:color w:val="1F2933"/>
          <w:sz w:val="21"/>
        </w:rPr>
        <w:t>Support requests by category.</w:t>
      </w:r>
      <w:r>
        <w:rPr>
          <w:rFonts w:ascii="Calibri" w:hAnsi="Calibri"/>
          <w:b w:val="0"/>
          <w:i w:val="0"/>
          <w:color w:val="1F2933"/>
          <w:sz w:val="21"/>
        </w:rPr>
        <w:t xml:space="preserve"> A rising share of "how do I" is a training gap; a rising share of "this content is wrong" is a content-review gap. They are easy to confuse and call for entirely different action.</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THE SIGNAL TO WATCH FOR IN A PILOT</w:t>
            </w:r>
          </w:p>
          <w:p>
            <w:pPr>
              <w:spacing w:after="100"/>
            </w:pPr>
            <w:r>
              <w:rPr>
                <w:rFonts w:ascii="Calibri" w:hAnsi="Calibri"/>
                <w:b w:val="0"/>
                <w:i w:val="0"/>
                <w:color w:val="1F2933"/>
                <w:sz w:val="19"/>
              </w:rPr>
              <w:t>Teachers opening the dashboard between two lessons rather than at the end of term. The overview was deliberately rebuilt to lead with a short ranked list of what needs the teacher now, ahead of any term analytics, because that is the question a teacher actually has in a five-minute gap. Usage in that pattern means the platform has entered the working week; usage only in reporting periods means it has not.</w:t>
            </w:r>
          </w:p>
        </w:tc>
      </w:tr>
    </w:tbl>
    <w:p>
      <w:pPr>
        <w:spacing w:after="40"/>
      </w:pPr>
    </w:p>
    <w:p>
      <w:pPr>
        <w:pStyle w:val="Heading2"/>
      </w:pPr>
      <w:r>
        <w:t>Failure modes specific to training</w:t>
      </w:r>
    </w:p>
    <w:p>
      <w:pPr>
        <w:pStyle w:val="ListBullet"/>
        <w:spacing w:after="60"/>
      </w:pPr>
      <w:r>
        <w:rPr>
          <w:rFonts w:ascii="Calibri" w:hAnsi="Calibri"/>
          <w:b w:val="0"/>
          <w:i w:val="0"/>
          <w:color w:val="1F2933"/>
          <w:sz w:val="21"/>
        </w:rPr>
        <w:t>Training held once, before content exists, and never repeated.</w:t>
      </w:r>
    </w:p>
    <w:p>
      <w:pPr>
        <w:pStyle w:val="ListBullet"/>
        <w:spacing w:after="60"/>
      </w:pPr>
      <w:r>
        <w:rPr>
          <w:rFonts w:ascii="Calibri" w:hAnsi="Calibri"/>
          <w:b w:val="0"/>
          <w:i w:val="0"/>
          <w:color w:val="1F2933"/>
          <w:sz w:val="21"/>
        </w:rPr>
        <w:t>No timetabled time for champions, so support depends on goodwill.</w:t>
      </w:r>
    </w:p>
    <w:p>
      <w:pPr>
        <w:pStyle w:val="ListBullet"/>
        <w:spacing w:after="60"/>
      </w:pPr>
      <w:r>
        <w:rPr>
          <w:rFonts w:ascii="Calibri" w:hAnsi="Calibri"/>
          <w:b w:val="0"/>
          <w:i w:val="0"/>
          <w:color w:val="1F2933"/>
          <w:sz w:val="21"/>
        </w:rPr>
        <w:t>Whole-staff training before a champion cohort has taught with it for a term.</w:t>
      </w:r>
    </w:p>
    <w:p>
      <w:pPr>
        <w:pStyle w:val="ListBullet"/>
        <w:spacing w:after="60"/>
      </w:pPr>
      <w:r>
        <w:rPr>
          <w:rFonts w:ascii="Calibri" w:hAnsi="Calibri"/>
          <w:b w:val="0"/>
          <w:i w:val="0"/>
          <w:color w:val="1F2933"/>
          <w:sz w:val="21"/>
        </w:rPr>
        <w:t>Every permission gate opened on day one, including the destructive ones.</w:t>
      </w:r>
    </w:p>
    <w:p>
      <w:pPr>
        <w:pStyle w:val="ListBullet"/>
        <w:spacing w:after="60"/>
      </w:pPr>
      <w:r>
        <w:rPr>
          <w:rFonts w:ascii="Calibri" w:hAnsi="Calibri"/>
          <w:b w:val="0"/>
          <w:i w:val="0"/>
          <w:color w:val="1F2933"/>
          <w:sz w:val="21"/>
        </w:rPr>
        <w:t>One champion per school, who then transfers.</w:t>
      </w:r>
    </w:p>
    <w:p>
      <w:pPr>
        <w:pStyle w:val="ListBullet"/>
        <w:spacing w:after="60"/>
      </w:pPr>
      <w:r>
        <w:rPr>
          <w:rFonts w:ascii="Calibri" w:hAnsi="Calibri"/>
          <w:b w:val="0"/>
          <w:i w:val="0"/>
          <w:color w:val="1F2933"/>
          <w:sz w:val="21"/>
        </w:rPr>
        <w:t>Treating the in-product assistant as a replacement for line 2 rather than a filter in front of it.</w:t>
      </w:r>
    </w:p>
    <w:p>
      <w:pPr>
        <w:pStyle w:val="Heading1"/>
        <w:pBdr>
          <w:bottom w:val="single" w:sz="12" w:space="6" w:color="E8590C"/>
        </w:pBdr>
      </w:pPr>
      <w:r>
        <w:t>11.  Governance and what the country must provide</w:t>
      </w:r>
    </w:p>
    <w:p>
      <w:pPr>
        <w:pStyle w:val="Heading2"/>
      </w:pPr>
      <w:r>
        <w:t>Roles that need a name against them</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2494"/>
            <w:shd w:val="clear" w:fill="1F2933"/>
          </w:tcPr>
          <w:p>
            <w:pPr>
              <w:spacing w:after="40" w:before="40"/>
            </w:pPr>
            <w:r/>
            <w:r>
              <w:rPr>
                <w:rFonts w:ascii="Calibri" w:hAnsi="Calibri"/>
                <w:b/>
                <w:i w:val="0"/>
                <w:color w:val="FFFFFF"/>
                <w:sz w:val="19"/>
              </w:rPr>
              <w:t>Role</w:t>
            </w:r>
          </w:p>
        </w:tc>
        <w:tc>
          <w:tcPr>
            <w:tcW w:type="dxa" w:w="6917"/>
            <w:shd w:val="clear" w:fill="1F2933"/>
          </w:tcPr>
          <w:p>
            <w:pPr>
              <w:spacing w:after="40" w:before="40"/>
            </w:pPr>
            <w:r/>
            <w:r>
              <w:rPr>
                <w:rFonts w:ascii="Calibri" w:hAnsi="Calibri"/>
                <w:b/>
                <w:i w:val="0"/>
                <w:color w:val="FFFFFF"/>
                <w:sz w:val="19"/>
              </w:rPr>
              <w:t>Responsibility</w:t>
            </w:r>
          </w:p>
        </w:tc>
      </w:tr>
      <w:tr>
        <w:trPr>
          <w:cantSplit/>
        </w:trPr>
        <w:tc>
          <w:tcPr>
            <w:tcW w:type="dxa" w:w="2494"/>
          </w:tcPr>
          <w:p>
            <w:pPr>
              <w:spacing w:after="40" w:before="40"/>
            </w:pPr>
            <w:r/>
            <w:r>
              <w:rPr>
                <w:rFonts w:ascii="Calibri" w:hAnsi="Calibri"/>
                <w:b w:val="0"/>
                <w:i w:val="0"/>
                <w:color w:val="1F2933"/>
                <w:sz w:val="19"/>
              </w:rPr>
              <w:t>Curriculum authority</w:t>
            </w:r>
          </w:p>
        </w:tc>
        <w:tc>
          <w:tcPr>
            <w:tcW w:type="dxa" w:w="6917"/>
          </w:tcPr>
          <w:p>
            <w:pPr>
              <w:spacing w:after="40" w:before="40"/>
            </w:pPr>
            <w:r/>
            <w:r>
              <w:rPr>
                <w:rFonts w:ascii="Calibri" w:hAnsi="Calibri"/>
                <w:b w:val="0"/>
                <w:i w:val="0"/>
                <w:color w:val="1F2933"/>
                <w:sz w:val="19"/>
              </w:rPr>
              <w:t>Approves generated content as fit to teach. Owns the review backlog and the standard applied to it.</w:t>
            </w:r>
          </w:p>
        </w:tc>
      </w:tr>
      <w:tr>
        <w:trPr>
          <w:cantSplit/>
        </w:trPr>
        <w:tc>
          <w:tcPr>
            <w:tcW w:type="dxa" w:w="2494"/>
            <w:shd w:val="clear" w:fill="F4F6F8"/>
          </w:tcPr>
          <w:p>
            <w:pPr>
              <w:spacing w:after="40" w:before="40"/>
            </w:pPr>
            <w:r/>
            <w:r>
              <w:rPr>
                <w:rFonts w:ascii="Calibri" w:hAnsi="Calibri"/>
                <w:b w:val="0"/>
                <w:i w:val="0"/>
                <w:color w:val="1F2933"/>
                <w:sz w:val="19"/>
              </w:rPr>
              <w:t>Technical owner</w:t>
            </w:r>
          </w:p>
        </w:tc>
        <w:tc>
          <w:tcPr>
            <w:tcW w:type="dxa" w:w="6917"/>
            <w:shd w:val="clear" w:fill="F4F6F8"/>
          </w:tcPr>
          <w:p>
            <w:pPr>
              <w:spacing w:after="40" w:before="40"/>
            </w:pPr>
            <w:r/>
            <w:r>
              <w:rPr>
                <w:rFonts w:ascii="Calibri" w:hAnsi="Calibri"/>
                <w:b w:val="0"/>
                <w:i w:val="0"/>
                <w:color w:val="1F2933"/>
                <w:sz w:val="19"/>
              </w:rPr>
              <w:t>Runs the deployment: infrastructure, upgrades, backups, secrets, monitoring. One named person or team, in country.</w:t>
            </w:r>
          </w:p>
        </w:tc>
      </w:tr>
      <w:tr>
        <w:trPr>
          <w:cantSplit/>
        </w:trPr>
        <w:tc>
          <w:tcPr>
            <w:tcW w:type="dxa" w:w="2494"/>
          </w:tcPr>
          <w:p>
            <w:pPr>
              <w:spacing w:after="40" w:before="40"/>
            </w:pPr>
            <w:r/>
            <w:r>
              <w:rPr>
                <w:rFonts w:ascii="Calibri" w:hAnsi="Calibri"/>
                <w:b w:val="0"/>
                <w:i w:val="0"/>
                <w:color w:val="1F2933"/>
                <w:sz w:val="19"/>
              </w:rPr>
              <w:t>Data controller / protection officer</w:t>
            </w:r>
          </w:p>
        </w:tc>
        <w:tc>
          <w:tcPr>
            <w:tcW w:type="dxa" w:w="6917"/>
          </w:tcPr>
          <w:p>
            <w:pPr>
              <w:spacing w:after="40" w:before="40"/>
            </w:pPr>
            <w:r/>
            <w:r>
              <w:rPr>
                <w:rFonts w:ascii="Calibri" w:hAnsi="Calibri"/>
                <w:b w:val="0"/>
                <w:i w:val="0"/>
                <w:color w:val="1F2933"/>
                <w:sz w:val="19"/>
              </w:rPr>
              <w:t>Owns the impact assessment, the consent and retention posture, and subject access requests.</w:t>
            </w:r>
          </w:p>
        </w:tc>
      </w:tr>
      <w:tr>
        <w:trPr>
          <w:cantSplit/>
        </w:trPr>
        <w:tc>
          <w:tcPr>
            <w:tcW w:type="dxa" w:w="2494"/>
            <w:shd w:val="clear" w:fill="F4F6F8"/>
          </w:tcPr>
          <w:p>
            <w:pPr>
              <w:spacing w:after="40" w:before="40"/>
            </w:pPr>
            <w:r/>
            <w:r>
              <w:rPr>
                <w:rFonts w:ascii="Calibri" w:hAnsi="Calibri"/>
                <w:b w:val="0"/>
                <w:i w:val="0"/>
                <w:color w:val="1F2933"/>
                <w:sz w:val="19"/>
              </w:rPr>
              <w:t>Safeguarding lead</w:t>
            </w:r>
          </w:p>
        </w:tc>
        <w:tc>
          <w:tcPr>
            <w:tcW w:type="dxa" w:w="6917"/>
            <w:shd w:val="clear" w:fill="F4F6F8"/>
          </w:tcPr>
          <w:p>
            <w:pPr>
              <w:spacing w:after="40" w:before="40"/>
            </w:pPr>
            <w:r/>
            <w:r>
              <w:rPr>
                <w:rFonts w:ascii="Calibri" w:hAnsi="Calibri"/>
                <w:b w:val="0"/>
                <w:i w:val="0"/>
                <w:color w:val="1F2933"/>
                <w:sz w:val="19"/>
              </w:rPr>
              <w:t>Reviews flagged sessions and owns the escalation path when a student message indicates risk.</w:t>
            </w:r>
          </w:p>
        </w:tc>
      </w:tr>
      <w:tr>
        <w:trPr>
          <w:cantSplit/>
        </w:trPr>
        <w:tc>
          <w:tcPr>
            <w:tcW w:type="dxa" w:w="2494"/>
          </w:tcPr>
          <w:p>
            <w:pPr>
              <w:spacing w:after="40" w:before="40"/>
            </w:pPr>
            <w:r/>
            <w:r>
              <w:rPr>
                <w:rFonts w:ascii="Calibri" w:hAnsi="Calibri"/>
                <w:b w:val="0"/>
                <w:i w:val="0"/>
                <w:color w:val="1F2933"/>
                <w:sz w:val="19"/>
              </w:rPr>
              <w:t>Teacher champions</w:t>
            </w:r>
          </w:p>
        </w:tc>
        <w:tc>
          <w:tcPr>
            <w:tcW w:type="dxa" w:w="6917"/>
          </w:tcPr>
          <w:p>
            <w:pPr>
              <w:spacing w:after="40" w:before="40"/>
            </w:pPr>
            <w:r/>
            <w:r>
              <w:rPr>
                <w:rFonts w:ascii="Calibri" w:hAnsi="Calibri"/>
                <w:b w:val="0"/>
                <w:i w:val="0"/>
                <w:color w:val="1F2933"/>
                <w:sz w:val="19"/>
              </w:rPr>
              <w:t>Two or three per pilot school. The difference between a platform that is used and one that is installed.</w:t>
            </w:r>
          </w:p>
        </w:tc>
      </w:tr>
    </w:tbl>
    <w:p>
      <w:pPr>
        <w:spacing w:after="40"/>
      </w:pPr>
    </w:p>
    <w:p>
      <w:pPr>
        <w:pStyle w:val="Heading2"/>
      </w:pPr>
      <w:r>
        <w:t>What the country supplies</w:t>
      </w:r>
    </w:p>
    <w:p>
      <w:pPr>
        <w:pStyle w:val="ListBullet"/>
        <w:spacing w:after="60"/>
      </w:pPr>
      <w:r>
        <w:rPr>
          <w:rFonts w:ascii="Calibri" w:hAnsi="Calibri"/>
          <w:b/>
          <w:i w:val="0"/>
          <w:color w:val="1F2933"/>
          <w:sz w:val="21"/>
        </w:rPr>
        <w:t>Syllabus documents</w:t>
      </w:r>
      <w:r>
        <w:rPr>
          <w:rFonts w:ascii="Calibri" w:hAnsi="Calibri"/>
          <w:b w:val="0"/>
          <w:i w:val="0"/>
          <w:color w:val="1F2933"/>
          <w:sz w:val="21"/>
        </w:rPr>
        <w:t xml:space="preserve"> in PDF or DOCX, per subject and grade, and confirmation that they may be used to derive teaching content.</w:t>
      </w:r>
    </w:p>
    <w:p>
      <w:pPr>
        <w:pStyle w:val="ListBullet"/>
        <w:spacing w:after="60"/>
      </w:pPr>
      <w:r>
        <w:rPr>
          <w:rFonts w:ascii="Calibri" w:hAnsi="Calibri"/>
          <w:b/>
          <w:i w:val="0"/>
          <w:color w:val="1F2933"/>
          <w:sz w:val="21"/>
        </w:rPr>
        <w:t>Subject expert review time</w:t>
      </w:r>
      <w:r>
        <w:rPr>
          <w:rFonts w:ascii="Calibri" w:hAnsi="Calibri"/>
          <w:b w:val="0"/>
          <w:i w:val="0"/>
          <w:color w:val="1F2933"/>
          <w:sz w:val="21"/>
        </w:rPr>
        <w:t xml:space="preserve"> — the largest single commitment, and the one most often under-budgeted.</w:t>
      </w:r>
    </w:p>
    <w:p>
      <w:pPr>
        <w:pStyle w:val="ListBullet"/>
        <w:spacing w:after="60"/>
      </w:pPr>
      <w:r>
        <w:rPr>
          <w:rFonts w:ascii="Calibri" w:hAnsi="Calibri"/>
          <w:b/>
          <w:i w:val="0"/>
          <w:color w:val="1F2933"/>
          <w:sz w:val="21"/>
        </w:rPr>
        <w:t>A native-speaking educator</w:t>
      </w:r>
      <w:r>
        <w:rPr>
          <w:rFonts w:ascii="Calibri" w:hAnsi="Calibri"/>
          <w:b w:val="0"/>
          <w:i w:val="0"/>
          <w:color w:val="1F2933"/>
          <w:sz w:val="21"/>
        </w:rPr>
        <w:t xml:space="preserve"> to settle language register and review generated content.</w:t>
      </w:r>
    </w:p>
    <w:p>
      <w:pPr>
        <w:pStyle w:val="ListBullet"/>
        <w:spacing w:after="60"/>
      </w:pPr>
      <w:r>
        <w:rPr>
          <w:rFonts w:ascii="Calibri" w:hAnsi="Calibri"/>
          <w:b/>
          <w:i w:val="0"/>
          <w:color w:val="1F2933"/>
          <w:sz w:val="21"/>
        </w:rPr>
        <w:t>The school and grade register</w:t>
      </w:r>
      <w:r>
        <w:rPr>
          <w:rFonts w:ascii="Calibri" w:hAnsi="Calibri"/>
          <w:b w:val="0"/>
          <w:i w:val="0"/>
          <w:color w:val="1F2933"/>
          <w:sz w:val="21"/>
        </w:rPr>
        <w:t xml:space="preserve"> as it should appear to students.</w:t>
      </w:r>
    </w:p>
    <w:p>
      <w:pPr>
        <w:pStyle w:val="ListBullet"/>
        <w:spacing w:after="60"/>
      </w:pPr>
      <w:r>
        <w:rPr>
          <w:rFonts w:ascii="Calibri" w:hAnsi="Calibri"/>
          <w:b/>
          <w:i w:val="0"/>
          <w:color w:val="1F2933"/>
          <w:sz w:val="21"/>
        </w:rPr>
        <w:t>A hosting decision and a data protection assessment.</w:t>
      </w:r>
    </w:p>
    <w:p>
      <w:pPr>
        <w:pStyle w:val="ListBullet"/>
        <w:spacing w:after="60"/>
      </w:pPr>
      <w:r>
        <w:rPr>
          <w:rFonts w:ascii="Calibri" w:hAnsi="Calibri"/>
          <w:b/>
          <w:i w:val="0"/>
          <w:color w:val="1F2933"/>
          <w:sz w:val="21"/>
        </w:rPr>
        <w:t>Teacher time</w:t>
      </w:r>
      <w:r>
        <w:rPr>
          <w:rFonts w:ascii="Calibri" w:hAnsi="Calibri"/>
          <w:b w:val="0"/>
          <w:i w:val="0"/>
          <w:color w:val="1F2933"/>
          <w:sz w:val="21"/>
        </w:rPr>
        <w:t xml:space="preserve"> for training and for weekly review during the pilot.</w:t>
      </w:r>
    </w:p>
    <w:p>
      <w:pPr>
        <w:pStyle w:val="ListBullet"/>
        <w:spacing w:after="60"/>
      </w:pPr>
      <w:r>
        <w:rPr>
          <w:rFonts w:ascii="Calibri" w:hAnsi="Calibri"/>
          <w:b/>
          <w:i w:val="0"/>
          <w:color w:val="1F2933"/>
          <w:sz w:val="21"/>
        </w:rPr>
        <w:t>A device and connectivity baseline per pilot school</w:t>
      </w:r>
      <w:r>
        <w:rPr>
          <w:rFonts w:ascii="Calibri" w:hAnsi="Calibri"/>
          <w:b w:val="0"/>
          <w:i w:val="0"/>
          <w:color w:val="1F2933"/>
          <w:sz w:val="21"/>
        </w:rPr>
        <w:t>, which determines whether that school is online, offline or shared-device.</w:t>
      </w:r>
    </w:p>
    <w:p>
      <w:pPr>
        <w:pStyle w:val="Heading2"/>
      </w:pPr>
      <w:r>
        <w:t>What the platform supplies</w:t>
      </w:r>
    </w:p>
    <w:p>
      <w:pPr>
        <w:pStyle w:val="ListBullet"/>
        <w:spacing w:after="60"/>
      </w:pPr>
      <w:r>
        <w:rPr>
          <w:rFonts w:ascii="Calibri" w:hAnsi="Calibri"/>
          <w:b w:val="0"/>
          <w:i w:val="0"/>
          <w:color w:val="1F2933"/>
          <w:sz w:val="21"/>
        </w:rPr>
        <w:t>The application, its deployment tooling for four topologies, and its documentation — a self-hosting manual, technical reference, teacher guide and student guide.</w:t>
      </w:r>
    </w:p>
    <w:p>
      <w:pPr>
        <w:pStyle w:val="ListBullet"/>
        <w:spacing w:after="60"/>
      </w:pPr>
      <w:r>
        <w:rPr>
          <w:rFonts w:ascii="Calibri" w:hAnsi="Calibri"/>
          <w:b w:val="0"/>
          <w:i w:val="0"/>
          <w:color w:val="1F2933"/>
          <w:sz w:val="21"/>
        </w:rPr>
        <w:t>The content pipeline and the evaluation harnesses.</w:t>
      </w:r>
    </w:p>
    <w:p>
      <w:pPr>
        <w:pStyle w:val="ListBullet"/>
        <w:spacing w:after="60"/>
      </w:pPr>
      <w:r>
        <w:rPr>
          <w:rFonts w:ascii="Calibri" w:hAnsi="Calibri"/>
          <w:b w:val="0"/>
          <w:i w:val="0"/>
          <w:color w:val="1F2933"/>
          <w:sz w:val="21"/>
        </w:rPr>
        <w:t>Locale onboarding for a new language and register.</w:t>
      </w:r>
    </w:p>
    <w:p>
      <w:pPr>
        <w:pStyle w:val="ListBullet"/>
        <w:spacing w:after="60"/>
      </w:pPr>
      <w:r>
        <w:rPr>
          <w:rFonts w:ascii="Calibri" w:hAnsi="Calibri"/>
          <w:b w:val="0"/>
          <w:i w:val="0"/>
          <w:color w:val="1F2933"/>
          <w:sz w:val="21"/>
        </w:rPr>
        <w:t>A bundled sample curriculum so a deployment is testable on day one, before any national content exists.</w:t>
      </w:r>
    </w:p>
    <w:p>
      <w:pPr>
        <w:pStyle w:val="Heading1"/>
        <w:pBdr>
          <w:bottom w:val="single" w:sz="12" w:space="6" w:color="E8590C"/>
        </w:pBdr>
      </w:pPr>
      <w:r>
        <w:t>12.  Risks and how they are managed</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2041"/>
            <w:shd w:val="clear" w:fill="1F2933"/>
          </w:tcPr>
          <w:p>
            <w:pPr>
              <w:spacing w:after="40" w:before="40"/>
            </w:pPr>
            <w:r/>
            <w:r>
              <w:rPr>
                <w:rFonts w:ascii="Calibri" w:hAnsi="Calibri"/>
                <w:b/>
                <w:i w:val="0"/>
                <w:color w:val="FFFFFF"/>
                <w:sz w:val="17"/>
              </w:rPr>
              <w:t>Risk</w:t>
            </w:r>
          </w:p>
        </w:tc>
        <w:tc>
          <w:tcPr>
            <w:tcW w:type="dxa" w:w="3175"/>
            <w:shd w:val="clear" w:fill="1F2933"/>
          </w:tcPr>
          <w:p>
            <w:pPr>
              <w:spacing w:after="40" w:before="40"/>
            </w:pPr>
            <w:r/>
            <w:r>
              <w:rPr>
                <w:rFonts w:ascii="Calibri" w:hAnsi="Calibri"/>
                <w:b/>
                <w:i w:val="0"/>
                <w:color w:val="FFFFFF"/>
                <w:sz w:val="17"/>
              </w:rPr>
              <w:t>Why it happens</w:t>
            </w:r>
          </w:p>
        </w:tc>
        <w:tc>
          <w:tcPr>
            <w:tcW w:type="dxa" w:w="4195"/>
            <w:shd w:val="clear" w:fill="1F2933"/>
          </w:tcPr>
          <w:p>
            <w:pPr>
              <w:spacing w:after="40" w:before="40"/>
            </w:pPr>
            <w:r/>
            <w:r>
              <w:rPr>
                <w:rFonts w:ascii="Calibri" w:hAnsi="Calibri"/>
                <w:b/>
                <w:i w:val="0"/>
                <w:color w:val="FFFFFF"/>
                <w:sz w:val="17"/>
              </w:rPr>
              <w:t>Management</w:t>
            </w:r>
          </w:p>
        </w:tc>
      </w:tr>
      <w:tr>
        <w:trPr>
          <w:cantSplit/>
        </w:trPr>
        <w:tc>
          <w:tcPr>
            <w:tcW w:type="dxa" w:w="2041"/>
          </w:tcPr>
          <w:p>
            <w:pPr>
              <w:spacing w:after="40" w:before="40"/>
            </w:pPr>
            <w:r/>
            <w:r>
              <w:rPr>
                <w:rFonts w:ascii="Calibri" w:hAnsi="Calibri"/>
                <w:b w:val="0"/>
                <w:i w:val="0"/>
                <w:color w:val="1F2933"/>
                <w:sz w:val="17"/>
              </w:rPr>
              <w:t>Generated content is wrong or off-syllabus</w:t>
            </w:r>
          </w:p>
        </w:tc>
        <w:tc>
          <w:tcPr>
            <w:tcW w:type="dxa" w:w="3175"/>
          </w:tcPr>
          <w:p>
            <w:pPr>
              <w:spacing w:after="40" w:before="40"/>
            </w:pPr>
            <w:r/>
            <w:r>
              <w:rPr>
                <w:rFonts w:ascii="Calibri" w:hAnsi="Calibri"/>
                <w:b w:val="0"/>
                <w:i w:val="0"/>
                <w:color w:val="1F2933"/>
                <w:sz w:val="17"/>
              </w:rPr>
              <w:t>Language models generate plausible content, not correct content</w:t>
            </w:r>
          </w:p>
        </w:tc>
        <w:tc>
          <w:tcPr>
            <w:tcW w:type="dxa" w:w="4195"/>
          </w:tcPr>
          <w:p>
            <w:pPr>
              <w:spacing w:after="40" w:before="40"/>
            </w:pPr>
            <w:r/>
            <w:r>
              <w:rPr>
                <w:rFonts w:ascii="Calibri" w:hAnsi="Calibri"/>
                <w:b w:val="0"/>
                <w:i w:val="0"/>
                <w:color w:val="1F2933"/>
                <w:sz w:val="17"/>
              </w:rPr>
              <w:t>Expert review is a required gate, not an optional one. Content is editable in the dashboard and versioned.</w:t>
            </w:r>
          </w:p>
        </w:tc>
      </w:tr>
      <w:tr>
        <w:trPr>
          <w:cantSplit/>
        </w:trPr>
        <w:tc>
          <w:tcPr>
            <w:tcW w:type="dxa" w:w="2041"/>
            <w:shd w:val="clear" w:fill="F4F6F8"/>
          </w:tcPr>
          <w:p>
            <w:pPr>
              <w:spacing w:after="40" w:before="40"/>
            </w:pPr>
            <w:r/>
            <w:r>
              <w:rPr>
                <w:rFonts w:ascii="Calibri" w:hAnsi="Calibri"/>
                <w:b w:val="0"/>
                <w:i w:val="0"/>
                <w:color w:val="1F2933"/>
                <w:sz w:val="17"/>
              </w:rPr>
              <w:t>The tutor gives an incorrect answer live</w:t>
            </w:r>
          </w:p>
        </w:tc>
        <w:tc>
          <w:tcPr>
            <w:tcW w:type="dxa" w:w="3175"/>
            <w:shd w:val="clear" w:fill="F4F6F8"/>
          </w:tcPr>
          <w:p>
            <w:pPr>
              <w:spacing w:after="40" w:before="40"/>
            </w:pPr>
            <w:r/>
            <w:r>
              <w:rPr>
                <w:rFonts w:ascii="Calibri" w:hAnsi="Calibri"/>
                <w:b w:val="0"/>
                <w:i w:val="0"/>
                <w:color w:val="1F2933"/>
                <w:sz w:val="17"/>
              </w:rPr>
              <w:t>Same cause, at runtime</w:t>
            </w:r>
          </w:p>
        </w:tc>
        <w:tc>
          <w:tcPr>
            <w:tcW w:type="dxa" w:w="4195"/>
            <w:shd w:val="clear" w:fill="F4F6F8"/>
          </w:tcPr>
          <w:p>
            <w:pPr>
              <w:spacing w:after="40" w:before="40"/>
            </w:pPr>
            <w:r/>
            <w:r>
              <w:rPr>
                <w:rFonts w:ascii="Calibri" w:hAnsi="Calibri"/>
                <w:b w:val="0"/>
                <w:i w:val="0"/>
                <w:color w:val="1F2933"/>
                <w:sz w:val="17"/>
              </w:rPr>
              <w:t>Ten-dimension judge on every reply; flagging and teacher review of sessions; local fact library grounds explanations.</w:t>
            </w:r>
          </w:p>
        </w:tc>
      </w:tr>
      <w:tr>
        <w:trPr>
          <w:cantSplit/>
        </w:trPr>
        <w:tc>
          <w:tcPr>
            <w:tcW w:type="dxa" w:w="2041"/>
          </w:tcPr>
          <w:p>
            <w:pPr>
              <w:spacing w:after="40" w:before="40"/>
            </w:pPr>
            <w:r/>
            <w:r>
              <w:rPr>
                <w:rFonts w:ascii="Calibri" w:hAnsi="Calibri"/>
                <w:b w:val="0"/>
                <w:i w:val="0"/>
                <w:color w:val="1F2933"/>
                <w:sz w:val="17"/>
              </w:rPr>
              <w:t>Data residency objection late in the programme</w:t>
            </w:r>
          </w:p>
        </w:tc>
        <w:tc>
          <w:tcPr>
            <w:tcW w:type="dxa" w:w="3175"/>
          </w:tcPr>
          <w:p>
            <w:pPr>
              <w:spacing w:after="40" w:before="40"/>
            </w:pPr>
            <w:r/>
            <w:r>
              <w:rPr>
                <w:rFonts w:ascii="Calibri" w:hAnsi="Calibri"/>
                <w:b w:val="0"/>
                <w:i w:val="0"/>
                <w:color w:val="1F2933"/>
                <w:sz w:val="17"/>
              </w:rPr>
              <w:t>Model egress is discovered during a late compliance review</w:t>
            </w:r>
          </w:p>
        </w:tc>
        <w:tc>
          <w:tcPr>
            <w:tcW w:type="dxa" w:w="4195"/>
          </w:tcPr>
          <w:p>
            <w:pPr>
              <w:spacing w:after="40" w:before="40"/>
            </w:pPr>
            <w:r/>
            <w:r>
              <w:rPr>
                <w:rFonts w:ascii="Calibri" w:hAnsi="Calibri"/>
                <w:b w:val="0"/>
                <w:i w:val="0"/>
                <w:color w:val="1F2933"/>
                <w:sz w:val="17"/>
              </w:rPr>
              <w:t>Make it a Phase 0 decision with a written sign-off. Self-hosted and offline options exist but change the quality bar.</w:t>
            </w:r>
          </w:p>
        </w:tc>
      </w:tr>
      <w:tr>
        <w:trPr>
          <w:cantSplit/>
        </w:trPr>
        <w:tc>
          <w:tcPr>
            <w:tcW w:type="dxa" w:w="2041"/>
            <w:shd w:val="clear" w:fill="F4F6F8"/>
          </w:tcPr>
          <w:p>
            <w:pPr>
              <w:spacing w:after="40" w:before="40"/>
            </w:pPr>
            <w:r/>
            <w:r>
              <w:rPr>
                <w:rFonts w:ascii="Calibri" w:hAnsi="Calibri"/>
                <w:b w:val="0"/>
                <w:i w:val="0"/>
                <w:color w:val="1F2933"/>
                <w:sz w:val="17"/>
              </w:rPr>
              <w:t>Model cost grows faster than budget</w:t>
            </w:r>
          </w:p>
        </w:tc>
        <w:tc>
          <w:tcPr>
            <w:tcW w:type="dxa" w:w="3175"/>
            <w:shd w:val="clear" w:fill="F4F6F8"/>
          </w:tcPr>
          <w:p>
            <w:pPr>
              <w:spacing w:after="40" w:before="40"/>
            </w:pPr>
            <w:r/>
            <w:r>
              <w:rPr>
                <w:rFonts w:ascii="Calibri" w:hAnsi="Calibri"/>
                <w:b w:val="0"/>
                <w:i w:val="0"/>
                <w:color w:val="1F2933"/>
                <w:sz w:val="17"/>
              </w:rPr>
              <w:t>Cost scales with teaching, and teaching is the goal</w:t>
            </w:r>
          </w:p>
        </w:tc>
        <w:tc>
          <w:tcPr>
            <w:tcW w:type="dxa" w:w="4195"/>
            <w:shd w:val="clear" w:fill="F4F6F8"/>
          </w:tcPr>
          <w:p>
            <w:pPr>
              <w:spacing w:after="40" w:before="40"/>
            </w:pPr>
            <w:r/>
            <w:r>
              <w:rPr>
                <w:rFonts w:ascii="Calibri" w:hAnsi="Calibri"/>
                <w:b w:val="0"/>
                <w:i w:val="0"/>
                <w:color w:val="1F2933"/>
                <w:sz w:val="17"/>
              </w:rPr>
              <w:t>Per-purpose model selection, prompt caching, judge sampling, and a cost measurement in Phase 3 on real content.</w:t>
            </w:r>
          </w:p>
        </w:tc>
      </w:tr>
      <w:tr>
        <w:trPr>
          <w:cantSplit/>
        </w:trPr>
        <w:tc>
          <w:tcPr>
            <w:tcW w:type="dxa" w:w="2041"/>
          </w:tcPr>
          <w:p>
            <w:pPr>
              <w:spacing w:after="40" w:before="40"/>
            </w:pPr>
            <w:r/>
            <w:r>
              <w:rPr>
                <w:rFonts w:ascii="Calibri" w:hAnsi="Calibri"/>
                <w:b w:val="0"/>
                <w:i w:val="0"/>
                <w:color w:val="1F2933"/>
                <w:sz w:val="17"/>
              </w:rPr>
              <w:t>Provider outage stops teaching</w:t>
            </w:r>
          </w:p>
        </w:tc>
        <w:tc>
          <w:tcPr>
            <w:tcW w:type="dxa" w:w="3175"/>
          </w:tcPr>
          <w:p>
            <w:pPr>
              <w:spacing w:after="40" w:before="40"/>
            </w:pPr>
            <w:r/>
            <w:r>
              <w:rPr>
                <w:rFonts w:ascii="Calibri" w:hAnsi="Calibri"/>
                <w:b w:val="0"/>
                <w:i w:val="0"/>
                <w:color w:val="1F2933"/>
                <w:sz w:val="17"/>
              </w:rPr>
              <w:t>Single-vendor dependency</w:t>
            </w:r>
          </w:p>
        </w:tc>
        <w:tc>
          <w:tcPr>
            <w:tcW w:type="dxa" w:w="4195"/>
          </w:tcPr>
          <w:p>
            <w:pPr>
              <w:spacing w:after="40" w:before="40"/>
            </w:pPr>
            <w:r/>
            <w:r>
              <w:rPr>
                <w:rFonts w:ascii="Calibri" w:hAnsi="Calibri"/>
                <w:b w:val="0"/>
                <w:i w:val="0"/>
                <w:color w:val="1F2933"/>
                <w:sz w:val="17"/>
              </w:rPr>
              <w:t>Cross-vendor fallback cascade already in place; a local model can be configured as a floor.</w:t>
            </w:r>
          </w:p>
        </w:tc>
      </w:tr>
      <w:tr>
        <w:trPr>
          <w:cantSplit/>
        </w:trPr>
        <w:tc>
          <w:tcPr>
            <w:tcW w:type="dxa" w:w="2041"/>
            <w:shd w:val="clear" w:fill="F4F6F8"/>
          </w:tcPr>
          <w:p>
            <w:pPr>
              <w:spacing w:after="40" w:before="40"/>
            </w:pPr>
            <w:r/>
            <w:r>
              <w:rPr>
                <w:rFonts w:ascii="Calibri" w:hAnsi="Calibri"/>
                <w:b w:val="0"/>
                <w:i w:val="0"/>
                <w:color w:val="1F2933"/>
                <w:sz w:val="17"/>
              </w:rPr>
              <w:t>Teachers do not adopt it</w:t>
            </w:r>
          </w:p>
        </w:tc>
        <w:tc>
          <w:tcPr>
            <w:tcW w:type="dxa" w:w="3175"/>
            <w:shd w:val="clear" w:fill="F4F6F8"/>
          </w:tcPr>
          <w:p>
            <w:pPr>
              <w:spacing w:after="40" w:before="40"/>
            </w:pPr>
            <w:r/>
            <w:r>
              <w:rPr>
                <w:rFonts w:ascii="Calibri" w:hAnsi="Calibri"/>
                <w:b w:val="0"/>
                <w:i w:val="0"/>
                <w:color w:val="1F2933"/>
                <w:sz w:val="17"/>
              </w:rPr>
              <w:t>It is presented as a replacement rather than an instrument</w:t>
            </w:r>
          </w:p>
        </w:tc>
        <w:tc>
          <w:tcPr>
            <w:tcW w:type="dxa" w:w="4195"/>
            <w:shd w:val="clear" w:fill="F4F6F8"/>
          </w:tcPr>
          <w:p>
            <w:pPr>
              <w:spacing w:after="40" w:before="40"/>
            </w:pPr>
            <w:r/>
            <w:r>
              <w:rPr>
                <w:rFonts w:ascii="Calibri" w:hAnsi="Calibri"/>
                <w:b w:val="0"/>
                <w:i w:val="0"/>
                <w:color w:val="1F2933"/>
                <w:sz w:val="17"/>
              </w:rPr>
              <w:t>The training and support model in section 10: champion teachers, accompaniment in the room, and permission gates opened as trust grows.</w:t>
            </w:r>
          </w:p>
        </w:tc>
      </w:tr>
      <w:tr>
        <w:trPr>
          <w:cantSplit/>
        </w:trPr>
        <w:tc>
          <w:tcPr>
            <w:tcW w:type="dxa" w:w="2041"/>
          </w:tcPr>
          <w:p>
            <w:pPr>
              <w:spacing w:after="40" w:before="40"/>
            </w:pPr>
            <w:r/>
            <w:r>
              <w:rPr>
                <w:rFonts w:ascii="Calibri" w:hAnsi="Calibri"/>
                <w:b w:val="0"/>
                <w:i w:val="0"/>
                <w:color w:val="1F2933"/>
                <w:sz w:val="17"/>
              </w:rPr>
              <w:t>Language register drifts mid-session</w:t>
            </w:r>
          </w:p>
        </w:tc>
        <w:tc>
          <w:tcPr>
            <w:tcW w:type="dxa" w:w="3175"/>
          </w:tcPr>
          <w:p>
            <w:pPr>
              <w:spacing w:after="40" w:before="40"/>
            </w:pPr>
            <w:r/>
            <w:r>
              <w:rPr>
                <w:rFonts w:ascii="Calibri" w:hAnsi="Calibri"/>
                <w:b w:val="0"/>
                <w:i w:val="0"/>
                <w:color w:val="1F2933"/>
                <w:sz w:val="17"/>
              </w:rPr>
              <w:t>Long sessions decay away from system-prompt constraints</w:t>
            </w:r>
          </w:p>
        </w:tc>
        <w:tc>
          <w:tcPr>
            <w:tcW w:type="dxa" w:w="4195"/>
          </w:tcPr>
          <w:p>
            <w:pPr>
              <w:spacing w:after="40" w:before="40"/>
            </w:pPr>
            <w:r/>
            <w:r>
              <w:rPr>
                <w:rFonts w:ascii="Calibri" w:hAnsi="Calibri"/>
                <w:b w:val="0"/>
                <w:i w:val="0"/>
                <w:color w:val="1F2933"/>
                <w:sz w:val="17"/>
              </w:rPr>
              <w:t>The locale rule is re-sent on every turn rather than set once — a documented mitigation of a known research finding.</w:t>
            </w:r>
          </w:p>
        </w:tc>
      </w:tr>
      <w:tr>
        <w:trPr>
          <w:cantSplit/>
        </w:trPr>
        <w:tc>
          <w:tcPr>
            <w:tcW w:type="dxa" w:w="2041"/>
            <w:shd w:val="clear" w:fill="F4F6F8"/>
          </w:tcPr>
          <w:p>
            <w:pPr>
              <w:spacing w:after="40" w:before="40"/>
            </w:pPr>
            <w:r/>
            <w:r>
              <w:rPr>
                <w:rFonts w:ascii="Calibri" w:hAnsi="Calibri"/>
                <w:b w:val="0"/>
                <w:i w:val="0"/>
                <w:color w:val="1F2933"/>
                <w:sz w:val="17"/>
              </w:rPr>
              <w:t>Connectivity fails in classrooms</w:t>
            </w:r>
          </w:p>
        </w:tc>
        <w:tc>
          <w:tcPr>
            <w:tcW w:type="dxa" w:w="3175"/>
            <w:shd w:val="clear" w:fill="F4F6F8"/>
          </w:tcPr>
          <w:p>
            <w:pPr>
              <w:spacing w:after="40" w:before="40"/>
            </w:pPr>
            <w:r/>
            <w:r>
              <w:rPr>
                <w:rFonts w:ascii="Calibri" w:hAnsi="Calibri"/>
                <w:b w:val="0"/>
                <w:i w:val="0"/>
                <w:color w:val="1F2933"/>
                <w:sz w:val="17"/>
              </w:rPr>
              <w:t>Rural and peri-urban school reality</w:t>
            </w:r>
          </w:p>
        </w:tc>
        <w:tc>
          <w:tcPr>
            <w:tcW w:type="dxa" w:w="4195"/>
            <w:shd w:val="clear" w:fill="F4F6F8"/>
          </w:tcPr>
          <w:p>
            <w:pPr>
              <w:spacing w:after="40" w:before="40"/>
            </w:pPr>
            <w:r/>
            <w:r>
              <w:rPr>
                <w:rFonts w:ascii="Calibri" w:hAnsi="Calibri"/>
                <w:b w:val="0"/>
                <w:i w:val="0"/>
                <w:color w:val="1F2933"/>
                <w:sz w:val="17"/>
              </w:rPr>
              <w:t>Offline desktop and kiosk builds run with no internet and sync when reachable.</w:t>
            </w:r>
          </w:p>
        </w:tc>
      </w:tr>
      <w:tr>
        <w:trPr>
          <w:cantSplit/>
        </w:trPr>
        <w:tc>
          <w:tcPr>
            <w:tcW w:type="dxa" w:w="2041"/>
          </w:tcPr>
          <w:p>
            <w:pPr>
              <w:spacing w:after="40" w:before="40"/>
            </w:pPr>
            <w:r/>
            <w:r>
              <w:rPr>
                <w:rFonts w:ascii="Calibri" w:hAnsi="Calibri"/>
                <w:b w:val="0"/>
                <w:i w:val="0"/>
                <w:color w:val="1F2933"/>
                <w:sz w:val="17"/>
              </w:rPr>
              <w:t>Cross-school data leakage</w:t>
            </w:r>
          </w:p>
        </w:tc>
        <w:tc>
          <w:tcPr>
            <w:tcW w:type="dxa" w:w="3175"/>
          </w:tcPr>
          <w:p>
            <w:pPr>
              <w:spacing w:after="40" w:before="40"/>
            </w:pPr>
            <w:r/>
            <w:r>
              <w:rPr>
                <w:rFonts w:ascii="Calibri" w:hAnsi="Calibri"/>
                <w:b w:val="0"/>
                <w:i w:val="0"/>
                <w:color w:val="1F2933"/>
                <w:sz w:val="17"/>
              </w:rPr>
              <w:t>Multi-tenant systems leak through unscoped queries</w:t>
            </w:r>
          </w:p>
        </w:tc>
        <w:tc>
          <w:tcPr>
            <w:tcW w:type="dxa" w:w="4195"/>
          </w:tcPr>
          <w:p>
            <w:pPr>
              <w:spacing w:after="40" w:before="40"/>
            </w:pPr>
            <w:r/>
            <w:r>
              <w:rPr>
                <w:rFonts w:ascii="Calibri" w:hAnsi="Calibri"/>
                <w:b w:val="0"/>
                <w:i w:val="0"/>
                <w:color w:val="1F2933"/>
                <w:sz w:val="17"/>
              </w:rPr>
              <w:t>Institution scoping is a codebase-wide invariant with tests; packs shared between countries carry no student records at all.</w:t>
            </w:r>
          </w:p>
        </w:tc>
      </w:tr>
      <w:tr>
        <w:trPr>
          <w:cantSplit/>
        </w:trPr>
        <w:tc>
          <w:tcPr>
            <w:tcW w:type="dxa" w:w="2041"/>
            <w:shd w:val="clear" w:fill="F4F6F8"/>
          </w:tcPr>
          <w:p>
            <w:pPr>
              <w:spacing w:after="40" w:before="40"/>
            </w:pPr>
            <w:r/>
            <w:r>
              <w:rPr>
                <w:rFonts w:ascii="Calibri" w:hAnsi="Calibri"/>
                <w:b w:val="0"/>
                <w:i w:val="0"/>
                <w:color w:val="1F2933"/>
                <w:sz w:val="17"/>
              </w:rPr>
              <w:t>Content review backlog stalls the programme</w:t>
            </w:r>
          </w:p>
        </w:tc>
        <w:tc>
          <w:tcPr>
            <w:tcW w:type="dxa" w:w="3175"/>
            <w:shd w:val="clear" w:fill="F4F6F8"/>
          </w:tcPr>
          <w:p>
            <w:pPr>
              <w:spacing w:after="40" w:before="40"/>
            </w:pPr>
            <w:r/>
            <w:r>
              <w:rPr>
                <w:rFonts w:ascii="Calibri" w:hAnsi="Calibri"/>
                <w:b w:val="0"/>
                <w:i w:val="0"/>
                <w:color w:val="1F2933"/>
                <w:sz w:val="17"/>
              </w:rPr>
              <w:t>Reviewer time is under-budgeted</w:t>
            </w:r>
          </w:p>
        </w:tc>
        <w:tc>
          <w:tcPr>
            <w:tcW w:type="dxa" w:w="4195"/>
            <w:shd w:val="clear" w:fill="F4F6F8"/>
          </w:tcPr>
          <w:p>
            <w:pPr>
              <w:spacing w:after="40" w:before="40"/>
            </w:pPr>
            <w:r/>
            <w:r>
              <w:rPr>
                <w:rFonts w:ascii="Calibri" w:hAnsi="Calibri"/>
                <w:b w:val="0"/>
                <w:i w:val="0"/>
                <w:color w:val="1F2933"/>
                <w:sz w:val="17"/>
              </w:rPr>
              <w:t>Scope per subject, not per country. Measure review throughput in the first fortnight and re-plan against it.</w:t>
            </w:r>
          </w:p>
        </w:tc>
      </w:tr>
    </w:tbl>
    <w:p>
      <w:pPr>
        <w:spacing w:after="40"/>
      </w:pPr>
    </w:p>
    <w:p>
      <w:r>
        <w:br w:type="page"/>
      </w:r>
    </w:p>
    <w:p>
      <w:pPr>
        <w:spacing w:after="40"/>
      </w:pPr>
      <w:r>
        <w:rPr>
          <w:rFonts w:ascii="Calibri" w:hAnsi="Calibri"/>
          <w:b/>
          <w:color w:val="E8590C"/>
          <w:sz w:val="20"/>
        </w:rPr>
        <w:t>PART II</w:t>
      </w:r>
    </w:p>
    <w:p>
      <w:pPr>
        <w:spacing w:after="320"/>
        <w:pBdr>
          <w:bottom w:val="single" w:sz="12" w:space="8" w:color="E8590C"/>
        </w:pBdr>
      </w:pPr>
      <w:r>
        <w:rPr>
          <w:rFonts w:ascii="Calibri" w:hAnsi="Calibri"/>
          <w:b/>
          <w:color w:val="1F2933"/>
          <w:sz w:val="44"/>
        </w:rPr>
        <w:t>The implementation</w:t>
      </w:r>
    </w:p>
    <w:p>
      <w:pPr>
        <w:spacing w:after="140"/>
      </w:pPr>
      <w:r>
        <w:rPr>
          <w:rFonts w:ascii="Calibri" w:hAnsi="Calibri"/>
          <w:b w:val="0"/>
          <w:i/>
          <w:color w:val="626F7D"/>
          <w:sz w:val="21"/>
        </w:rPr>
        <w:t>For the team that will stand up and run a national instance. Paths and commands refer to the platform's self-hosting manual and technical reference, which ship with the application and are the authoritative version.</w:t>
      </w:r>
    </w:p>
    <w:p>
      <w:pPr>
        <w:pStyle w:val="Heading1"/>
        <w:pBdr>
          <w:bottom w:val="single" w:sz="12" w:space="6" w:color="E8590C"/>
        </w:pBdr>
      </w:pPr>
      <w:r>
        <w:t>A.  Country onboarding checklist</w:t>
      </w:r>
    </w:p>
    <w:p>
      <w:pPr>
        <w:spacing w:after="140"/>
      </w:pPr>
      <w:r>
        <w:rPr>
          <w:rFonts w:ascii="Calibri" w:hAnsi="Calibri"/>
          <w:b w:val="0"/>
          <w:i w:val="0"/>
          <w:color w:val="1F2933"/>
          <w:sz w:val="21"/>
        </w:rPr>
        <w:t>In order. Steps 1–4 are prerequisites for step 5; doing content first means doing it twice.</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567"/>
            <w:shd w:val="clear" w:fill="1F2933"/>
          </w:tcPr>
          <w:p>
            <w:pPr>
              <w:spacing w:after="40" w:before="40"/>
            </w:pPr>
            <w:r/>
            <w:r>
              <w:rPr>
                <w:rFonts w:ascii="Calibri" w:hAnsi="Calibri"/>
                <w:b/>
                <w:i w:val="0"/>
                <w:color w:val="FFFFFF"/>
                <w:sz w:val="18"/>
              </w:rPr>
              <w:t>#</w:t>
            </w:r>
          </w:p>
        </w:tc>
        <w:tc>
          <w:tcPr>
            <w:tcW w:type="dxa" w:w="5783"/>
            <w:shd w:val="clear" w:fill="1F2933"/>
          </w:tcPr>
          <w:p>
            <w:pPr>
              <w:spacing w:after="40" w:before="40"/>
            </w:pPr>
            <w:r/>
            <w:r>
              <w:rPr>
                <w:rFonts w:ascii="Calibri" w:hAnsi="Calibri"/>
                <w:b/>
                <w:i w:val="0"/>
                <w:color w:val="FFFFFF"/>
                <w:sz w:val="18"/>
              </w:rPr>
              <w:t>Step</w:t>
            </w:r>
          </w:p>
        </w:tc>
        <w:tc>
          <w:tcPr>
            <w:tcW w:type="dxa" w:w="3061"/>
            <w:shd w:val="clear" w:fill="1F2933"/>
          </w:tcPr>
          <w:p>
            <w:pPr>
              <w:spacing w:after="40" w:before="40"/>
            </w:pPr>
            <w:r/>
            <w:r>
              <w:rPr>
                <w:rFonts w:ascii="Calibri" w:hAnsi="Calibri"/>
                <w:b/>
                <w:i w:val="0"/>
                <w:color w:val="FFFFFF"/>
                <w:sz w:val="18"/>
              </w:rPr>
              <w:t>Where it lives</w:t>
            </w:r>
          </w:p>
        </w:tc>
      </w:tr>
      <w:tr>
        <w:trPr>
          <w:cantSplit/>
        </w:trPr>
        <w:tc>
          <w:tcPr>
            <w:tcW w:type="dxa" w:w="567"/>
          </w:tcPr>
          <w:p>
            <w:pPr>
              <w:spacing w:after="40" w:before="40"/>
            </w:pPr>
            <w:r/>
            <w:r>
              <w:rPr>
                <w:rFonts w:ascii="Calibri" w:hAnsi="Calibri"/>
                <w:b w:val="0"/>
                <w:i w:val="0"/>
                <w:color w:val="1F2933"/>
                <w:sz w:val="18"/>
              </w:rPr>
              <w:t>1</w:t>
            </w:r>
          </w:p>
        </w:tc>
        <w:tc>
          <w:tcPr>
            <w:tcW w:type="dxa" w:w="5783"/>
          </w:tcPr>
          <w:p>
            <w:pPr>
              <w:spacing w:after="40" w:before="40"/>
            </w:pPr>
            <w:r/>
            <w:r>
              <w:rPr>
                <w:rFonts w:ascii="Calibri" w:hAnsi="Calibri"/>
                <w:b w:val="0"/>
                <w:i w:val="0"/>
                <w:color w:val="1F2933"/>
                <w:sz w:val="18"/>
              </w:rPr>
              <w:t>Register the locale end to end — language list, tutor identity profile, content-generation language rule, runtime language rule, and the interface translation catalogue</w:t>
            </w:r>
          </w:p>
        </w:tc>
        <w:tc>
          <w:tcPr>
            <w:tcW w:type="dxa" w:w="3061"/>
          </w:tcPr>
          <w:p>
            <w:pPr>
              <w:spacing w:after="40" w:before="40"/>
            </w:pPr>
            <w:r/>
            <w:r>
              <w:rPr>
                <w:rFonts w:ascii="Calibri" w:hAnsi="Calibri"/>
                <w:b w:val="0"/>
                <w:i w:val="0"/>
                <w:color w:val="1F2933"/>
                <w:sz w:val="18"/>
              </w:rPr>
              <w:t>Code + translation catalogues (see B)</w:t>
            </w:r>
          </w:p>
        </w:tc>
      </w:tr>
      <w:tr>
        <w:trPr>
          <w:cantSplit/>
        </w:trPr>
        <w:tc>
          <w:tcPr>
            <w:tcW w:type="dxa" w:w="567"/>
            <w:shd w:val="clear" w:fill="F4F6F8"/>
          </w:tcPr>
          <w:p>
            <w:pPr>
              <w:spacing w:after="40" w:before="40"/>
            </w:pPr>
            <w:r/>
            <w:r>
              <w:rPr>
                <w:rFonts w:ascii="Calibri" w:hAnsi="Calibri"/>
                <w:b w:val="0"/>
                <w:i w:val="0"/>
                <w:color w:val="1F2933"/>
                <w:sz w:val="18"/>
              </w:rPr>
              <w:t>2</w:t>
            </w:r>
          </w:p>
        </w:tc>
        <w:tc>
          <w:tcPr>
            <w:tcW w:type="dxa" w:w="5783"/>
            <w:shd w:val="clear" w:fill="F4F6F8"/>
          </w:tcPr>
          <w:p>
            <w:pPr>
              <w:spacing w:after="40" w:before="40"/>
            </w:pPr>
            <w:r/>
            <w:r>
              <w:rPr>
                <w:rFonts w:ascii="Calibri" w:hAnsi="Calibri"/>
                <w:b w:val="0"/>
                <w:i w:val="0"/>
                <w:color w:val="1F2933"/>
                <w:sz w:val="18"/>
              </w:rPr>
              <w:t>Provision the deployment and bring up the application on a domain with TLS</w:t>
            </w:r>
          </w:p>
        </w:tc>
        <w:tc>
          <w:tcPr>
            <w:tcW w:type="dxa" w:w="3061"/>
            <w:shd w:val="clear" w:fill="F4F6F8"/>
          </w:tcPr>
          <w:p>
            <w:pPr>
              <w:spacing w:after="40" w:before="40"/>
            </w:pPr>
            <w:r/>
            <w:r>
              <w:rPr>
                <w:rFonts w:ascii="Calibri" w:hAnsi="Calibri"/>
                <w:b w:val="0"/>
                <w:i w:val="0"/>
                <w:color w:val="1F2933"/>
                <w:sz w:val="18"/>
              </w:rPr>
              <w:t>Hosting paths (see E)</w:t>
            </w:r>
          </w:p>
        </w:tc>
      </w:tr>
      <w:tr>
        <w:trPr>
          <w:cantSplit/>
        </w:trPr>
        <w:tc>
          <w:tcPr>
            <w:tcW w:type="dxa" w:w="567"/>
          </w:tcPr>
          <w:p>
            <w:pPr>
              <w:spacing w:after="40" w:before="40"/>
            </w:pPr>
            <w:r/>
            <w:r>
              <w:rPr>
                <w:rFonts w:ascii="Calibri" w:hAnsi="Calibri"/>
                <w:b w:val="0"/>
                <w:i w:val="0"/>
                <w:color w:val="1F2933"/>
                <w:sz w:val="18"/>
              </w:rPr>
              <w:t>3</w:t>
            </w:r>
          </w:p>
        </w:tc>
        <w:tc>
          <w:tcPr>
            <w:tcW w:type="dxa" w:w="5783"/>
          </w:tcPr>
          <w:p>
            <w:pPr>
              <w:spacing w:after="40" w:before="40"/>
            </w:pPr>
            <w:r/>
            <w:r>
              <w:rPr>
                <w:rFonts w:ascii="Calibri" w:hAnsi="Calibri"/>
                <w:b w:val="0"/>
                <w:i w:val="0"/>
                <w:color w:val="1F2933"/>
                <w:sz w:val="18"/>
              </w:rPr>
              <w:t>Configure national structures — grades, schools, terminology, competency thresholds, branding, teacher permission gates</w:t>
            </w:r>
          </w:p>
        </w:tc>
        <w:tc>
          <w:tcPr>
            <w:tcW w:type="dxa" w:w="3061"/>
          </w:tcPr>
          <w:p>
            <w:pPr>
              <w:spacing w:after="40" w:before="40"/>
            </w:pPr>
            <w:r/>
            <w:r>
              <w:rPr>
                <w:rFonts w:ascii="Calibri" w:hAnsi="Calibri"/>
                <w:b w:val="0"/>
                <w:i w:val="0"/>
                <w:color w:val="1F2933"/>
                <w:sz w:val="18"/>
              </w:rPr>
              <w:t>Platform configuration, administrator UI (see D)</w:t>
            </w:r>
          </w:p>
        </w:tc>
      </w:tr>
      <w:tr>
        <w:trPr>
          <w:cantSplit/>
        </w:trPr>
        <w:tc>
          <w:tcPr>
            <w:tcW w:type="dxa" w:w="567"/>
            <w:shd w:val="clear" w:fill="F4F6F8"/>
          </w:tcPr>
          <w:p>
            <w:pPr>
              <w:spacing w:after="40" w:before="40"/>
            </w:pPr>
            <w:r/>
            <w:r>
              <w:rPr>
                <w:rFonts w:ascii="Calibri" w:hAnsi="Calibri"/>
                <w:b w:val="0"/>
                <w:i w:val="0"/>
                <w:color w:val="1F2933"/>
                <w:sz w:val="18"/>
              </w:rPr>
              <w:t>4</w:t>
            </w:r>
          </w:p>
        </w:tc>
        <w:tc>
          <w:tcPr>
            <w:tcW w:type="dxa" w:w="5783"/>
            <w:shd w:val="clear" w:fill="F4F6F8"/>
          </w:tcPr>
          <w:p>
            <w:pPr>
              <w:spacing w:after="40" w:before="40"/>
            </w:pPr>
            <w:r/>
            <w:r>
              <w:rPr>
                <w:rFonts w:ascii="Calibri" w:hAnsi="Calibri"/>
                <w:b w:val="0"/>
                <w:i w:val="0"/>
                <w:color w:val="1F2933"/>
                <w:sz w:val="18"/>
              </w:rPr>
              <w:t>Create the institutions (schools), set each one's default language, timezone and shared-device or individual session mode</w:t>
            </w:r>
          </w:p>
        </w:tc>
        <w:tc>
          <w:tcPr>
            <w:tcW w:type="dxa" w:w="3061"/>
            <w:shd w:val="clear" w:fill="F4F6F8"/>
          </w:tcPr>
          <w:p>
            <w:pPr>
              <w:spacing w:after="40" w:before="40"/>
            </w:pPr>
            <w:r/>
            <w:r>
              <w:rPr>
                <w:rFonts w:ascii="Calibri" w:hAnsi="Calibri"/>
                <w:b w:val="0"/>
                <w:i w:val="0"/>
                <w:color w:val="1F2933"/>
                <w:sz w:val="18"/>
              </w:rPr>
              <w:t>Administrator UI</w:t>
            </w:r>
          </w:p>
        </w:tc>
      </w:tr>
      <w:tr>
        <w:trPr>
          <w:cantSplit/>
        </w:trPr>
        <w:tc>
          <w:tcPr>
            <w:tcW w:type="dxa" w:w="567"/>
          </w:tcPr>
          <w:p>
            <w:pPr>
              <w:spacing w:after="40" w:before="40"/>
            </w:pPr>
            <w:r/>
            <w:r>
              <w:rPr>
                <w:rFonts w:ascii="Calibri" w:hAnsi="Calibri"/>
                <w:b w:val="0"/>
                <w:i w:val="0"/>
                <w:color w:val="1F2933"/>
                <w:sz w:val="18"/>
              </w:rPr>
              <w:t>5</w:t>
            </w:r>
          </w:p>
        </w:tc>
        <w:tc>
          <w:tcPr>
            <w:tcW w:type="dxa" w:w="5783"/>
          </w:tcPr>
          <w:p>
            <w:pPr>
              <w:spacing w:after="40" w:before="40"/>
            </w:pPr>
            <w:r/>
            <w:r>
              <w:rPr>
                <w:rFonts w:ascii="Calibri" w:hAnsi="Calibri"/>
                <w:b w:val="0"/>
                <w:i w:val="0"/>
                <w:color w:val="1F2933"/>
                <w:sz w:val="18"/>
              </w:rPr>
              <w:t>Ingest the syllabus per subject and grade; generate; review; publish</w:t>
            </w:r>
          </w:p>
        </w:tc>
        <w:tc>
          <w:tcPr>
            <w:tcW w:type="dxa" w:w="3061"/>
          </w:tcPr>
          <w:p>
            <w:pPr>
              <w:spacing w:after="40" w:before="40"/>
            </w:pPr>
            <w:r/>
            <w:r>
              <w:rPr>
                <w:rFonts w:ascii="Calibri" w:hAnsi="Calibri"/>
                <w:b w:val="0"/>
                <w:i w:val="0"/>
                <w:color w:val="1F2933"/>
                <w:sz w:val="18"/>
              </w:rPr>
              <w:t>Curriculum pipeline (see C)</w:t>
            </w:r>
          </w:p>
        </w:tc>
      </w:tr>
      <w:tr>
        <w:trPr>
          <w:cantSplit/>
        </w:trPr>
        <w:tc>
          <w:tcPr>
            <w:tcW w:type="dxa" w:w="567"/>
            <w:shd w:val="clear" w:fill="F4F6F8"/>
          </w:tcPr>
          <w:p>
            <w:pPr>
              <w:spacing w:after="40" w:before="40"/>
            </w:pPr>
            <w:r/>
            <w:r>
              <w:rPr>
                <w:rFonts w:ascii="Calibri" w:hAnsi="Calibri"/>
                <w:b w:val="0"/>
                <w:i w:val="0"/>
                <w:color w:val="1F2933"/>
                <w:sz w:val="18"/>
              </w:rPr>
              <w:t>6</w:t>
            </w:r>
          </w:p>
        </w:tc>
        <w:tc>
          <w:tcPr>
            <w:tcW w:type="dxa" w:w="5783"/>
            <w:shd w:val="clear" w:fill="F4F6F8"/>
          </w:tcPr>
          <w:p>
            <w:pPr>
              <w:spacing w:after="40" w:before="40"/>
            </w:pPr>
            <w:r/>
            <w:r>
              <w:rPr>
                <w:rFonts w:ascii="Calibri" w:hAnsi="Calibri"/>
                <w:b w:val="0"/>
                <w:i w:val="0"/>
                <w:color w:val="1F2933"/>
                <w:sz w:val="18"/>
              </w:rPr>
              <w:t>Seed the local context library for the new locale</w:t>
            </w:r>
          </w:p>
        </w:tc>
        <w:tc>
          <w:tcPr>
            <w:tcW w:type="dxa" w:w="3061"/>
            <w:shd w:val="clear" w:fill="F4F6F8"/>
          </w:tcPr>
          <w:p>
            <w:pPr>
              <w:spacing w:after="40" w:before="40"/>
            </w:pPr>
            <w:r/>
            <w:r>
              <w:rPr>
                <w:rFonts w:ascii="Calibri" w:hAnsi="Calibri"/>
                <w:b w:val="0"/>
                <w:i w:val="0"/>
                <w:color w:val="1F2933"/>
                <w:sz w:val="18"/>
              </w:rPr>
              <w:t>Administrator UI</w:t>
            </w:r>
          </w:p>
        </w:tc>
      </w:tr>
      <w:tr>
        <w:trPr>
          <w:cantSplit/>
        </w:trPr>
        <w:tc>
          <w:tcPr>
            <w:tcW w:type="dxa" w:w="567"/>
          </w:tcPr>
          <w:p>
            <w:pPr>
              <w:spacing w:after="40" w:before="40"/>
            </w:pPr>
            <w:r/>
            <w:r>
              <w:rPr>
                <w:rFonts w:ascii="Calibri" w:hAnsi="Calibri"/>
                <w:b w:val="0"/>
                <w:i w:val="0"/>
                <w:color w:val="1F2933"/>
                <w:sz w:val="18"/>
              </w:rPr>
              <w:t>7</w:t>
            </w:r>
          </w:p>
        </w:tc>
        <w:tc>
          <w:tcPr>
            <w:tcW w:type="dxa" w:w="5783"/>
          </w:tcPr>
          <w:p>
            <w:pPr>
              <w:spacing w:after="40" w:before="40"/>
            </w:pPr>
            <w:r/>
            <w:r>
              <w:rPr>
                <w:rFonts w:ascii="Calibri" w:hAnsi="Calibri"/>
                <w:b w:val="0"/>
                <w:i w:val="0"/>
                <w:color w:val="1F2933"/>
                <w:sz w:val="18"/>
              </w:rPr>
              <w:t>Configure model selection per purpose and set provider credentials</w:t>
            </w:r>
          </w:p>
        </w:tc>
        <w:tc>
          <w:tcPr>
            <w:tcW w:type="dxa" w:w="3061"/>
          </w:tcPr>
          <w:p>
            <w:pPr>
              <w:spacing w:after="40" w:before="40"/>
            </w:pPr>
            <w:r/>
            <w:r>
              <w:rPr>
                <w:rFonts w:ascii="Calibri" w:hAnsi="Calibri"/>
                <w:b w:val="0"/>
                <w:i w:val="0"/>
                <w:color w:val="1F2933"/>
                <w:sz w:val="18"/>
              </w:rPr>
              <w:t>Model configuration</w:t>
            </w:r>
          </w:p>
        </w:tc>
      </w:tr>
      <w:tr>
        <w:trPr>
          <w:cantSplit/>
        </w:trPr>
        <w:tc>
          <w:tcPr>
            <w:tcW w:type="dxa" w:w="567"/>
            <w:shd w:val="clear" w:fill="F4F6F8"/>
          </w:tcPr>
          <w:p>
            <w:pPr>
              <w:spacing w:after="40" w:before="40"/>
            </w:pPr>
            <w:r/>
            <w:r>
              <w:rPr>
                <w:rFonts w:ascii="Calibri" w:hAnsi="Calibri"/>
                <w:b w:val="0"/>
                <w:i w:val="0"/>
                <w:color w:val="1F2933"/>
                <w:sz w:val="18"/>
              </w:rPr>
              <w:t>8</w:t>
            </w:r>
          </w:p>
        </w:tc>
        <w:tc>
          <w:tcPr>
            <w:tcW w:type="dxa" w:w="5783"/>
            <w:shd w:val="clear" w:fill="F4F6F8"/>
          </w:tcPr>
          <w:p>
            <w:pPr>
              <w:spacing w:after="40" w:before="40"/>
            </w:pPr>
            <w:r/>
            <w:r>
              <w:rPr>
                <w:rFonts w:ascii="Calibri" w:hAnsi="Calibri"/>
                <w:b w:val="0"/>
                <w:i w:val="0"/>
                <w:color w:val="1F2933"/>
                <w:sz w:val="18"/>
              </w:rPr>
              <w:t>Run the quality gate and record the result</w:t>
            </w:r>
          </w:p>
        </w:tc>
        <w:tc>
          <w:tcPr>
            <w:tcW w:type="dxa" w:w="3061"/>
            <w:shd w:val="clear" w:fill="F4F6F8"/>
          </w:tcPr>
          <w:p>
            <w:pPr>
              <w:spacing w:after="40" w:before="40"/>
            </w:pPr>
            <w:r/>
            <w:r>
              <w:rPr>
                <w:rFonts w:ascii="Calibri" w:hAnsi="Calibri"/>
                <w:b w:val="0"/>
                <w:i w:val="0"/>
                <w:color w:val="1F2933"/>
                <w:sz w:val="18"/>
              </w:rPr>
              <w:t>Evaluation harnesses (see F)</w:t>
            </w:r>
          </w:p>
        </w:tc>
      </w:tr>
      <w:tr>
        <w:trPr>
          <w:cantSplit/>
        </w:trPr>
        <w:tc>
          <w:tcPr>
            <w:tcW w:type="dxa" w:w="567"/>
          </w:tcPr>
          <w:p>
            <w:pPr>
              <w:spacing w:after="40" w:before="40"/>
            </w:pPr>
            <w:r/>
            <w:r>
              <w:rPr>
                <w:rFonts w:ascii="Calibri" w:hAnsi="Calibri"/>
                <w:b w:val="0"/>
                <w:i w:val="0"/>
                <w:color w:val="1F2933"/>
                <w:sz w:val="18"/>
              </w:rPr>
              <w:t>9</w:t>
            </w:r>
          </w:p>
        </w:tc>
        <w:tc>
          <w:tcPr>
            <w:tcW w:type="dxa" w:w="5783"/>
          </w:tcPr>
          <w:p>
            <w:pPr>
              <w:spacing w:after="40" w:before="40"/>
            </w:pPr>
            <w:r/>
            <w:r>
              <w:rPr>
                <w:rFonts w:ascii="Calibri" w:hAnsi="Calibri"/>
                <w:b w:val="0"/>
                <w:i w:val="0"/>
                <w:color w:val="1F2933"/>
                <w:sz w:val="18"/>
              </w:rPr>
              <w:t>Set up backups, monitoring and the upgrade routine before students arrive, not after</w:t>
            </w:r>
          </w:p>
        </w:tc>
        <w:tc>
          <w:tcPr>
            <w:tcW w:type="dxa" w:w="3061"/>
          </w:tcPr>
          <w:p>
            <w:pPr>
              <w:spacing w:after="40" w:before="40"/>
            </w:pPr>
            <w:r/>
            <w:r>
              <w:rPr>
                <w:rFonts w:ascii="Calibri" w:hAnsi="Calibri"/>
                <w:b w:val="0"/>
                <w:i w:val="0"/>
                <w:color w:val="1F2933"/>
                <w:sz w:val="18"/>
              </w:rPr>
              <w:t>Operations (see G)</w:t>
            </w:r>
          </w:p>
        </w:tc>
      </w:tr>
    </w:tbl>
    <w:p>
      <w:pPr>
        <w:spacing w:after="40"/>
      </w:pPr>
    </w:p>
    <w:p>
      <w:pPr>
        <w:pStyle w:val="Heading1"/>
        <w:pBdr>
          <w:bottom w:val="single" w:sz="12" w:space="6" w:color="E8590C"/>
        </w:pBdr>
      </w:pPr>
      <w:r>
        <w:t>B.  Language and locale adaptation</w:t>
      </w:r>
    </w:p>
    <w:p>
      <w:pPr>
        <w:pStyle w:val="Heading2"/>
      </w:pPr>
      <w:r>
        <w:t>Locale codes</w:t>
      </w:r>
    </w:p>
    <w:p>
      <w:pPr>
        <w:spacing w:after="140"/>
      </w:pPr>
      <w:r>
        <w:rPr>
          <w:rFonts w:ascii="Calibri" w:hAnsi="Calibri"/>
          <w:b w:val="0"/>
          <w:i w:val="0"/>
          <w:color w:val="1F2933"/>
          <w:sz w:val="21"/>
        </w:rPr>
        <w:t xml:space="preserve">Hyphenated lowercase, following the framework's own language-code convention — a language subtag, a hyphen, then a country subtag. The tested deployment uses </w:t>
      </w:r>
      <w:r>
        <w:rPr>
          <w:rFonts w:ascii="Calibri" w:hAnsi="Calibri"/>
          <w:b/>
          <w:i w:val="0"/>
          <w:color w:val="1F2933"/>
          <w:sz w:val="21"/>
        </w:rPr>
        <w:t>en-us</w:t>
      </w:r>
      <w:r>
        <w:rPr>
          <w:rFonts w:ascii="Calibri" w:hAnsi="Calibri"/>
          <w:b w:val="0"/>
          <w:i w:val="0"/>
          <w:color w:val="1F2933"/>
          <w:sz w:val="21"/>
        </w:rPr>
        <w:t>. The code is the join key across every layer below, so pick it once and do not change it.</w:t>
      </w:r>
    </w:p>
    <w:p>
      <w:pPr>
        <w:pStyle w:val="Heading2"/>
      </w:pPr>
      <w:r>
        <w:t>The five places a locale is registered</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567"/>
            <w:shd w:val="clear" w:fill="1F2933"/>
          </w:tcPr>
          <w:p>
            <w:pPr>
              <w:spacing w:after="40" w:before="40"/>
            </w:pPr>
            <w:r/>
            <w:r>
              <w:rPr>
                <w:rFonts w:ascii="Calibri" w:hAnsi="Calibri"/>
                <w:b/>
                <w:i w:val="0"/>
                <w:color w:val="FFFFFF"/>
                <w:sz w:val="18"/>
              </w:rPr>
              <w:t>#</w:t>
            </w:r>
          </w:p>
        </w:tc>
        <w:tc>
          <w:tcPr>
            <w:tcW w:type="dxa" w:w="2608"/>
            <w:shd w:val="clear" w:fill="1F2933"/>
          </w:tcPr>
          <w:p>
            <w:pPr>
              <w:spacing w:after="40" w:before="40"/>
            </w:pPr>
            <w:r/>
            <w:r>
              <w:rPr>
                <w:rFonts w:ascii="Calibri" w:hAnsi="Calibri"/>
                <w:b/>
                <w:i w:val="0"/>
                <w:color w:val="FFFFFF"/>
                <w:sz w:val="18"/>
              </w:rPr>
              <w:t>Registration point</w:t>
            </w:r>
          </w:p>
        </w:tc>
        <w:tc>
          <w:tcPr>
            <w:tcW w:type="dxa" w:w="6236"/>
            <w:shd w:val="clear" w:fill="1F2933"/>
          </w:tcPr>
          <w:p>
            <w:pPr>
              <w:spacing w:after="40" w:before="40"/>
            </w:pPr>
            <w:r/>
            <w:r>
              <w:rPr>
                <w:rFonts w:ascii="Calibri" w:hAnsi="Calibri"/>
                <w:b/>
                <w:i w:val="0"/>
                <w:color w:val="FFFFFF"/>
                <w:sz w:val="18"/>
              </w:rPr>
              <w:t>What it controls</w:t>
            </w:r>
          </w:p>
        </w:tc>
      </w:tr>
      <w:tr>
        <w:trPr>
          <w:cantSplit/>
        </w:trPr>
        <w:tc>
          <w:tcPr>
            <w:tcW w:type="dxa" w:w="567"/>
          </w:tcPr>
          <w:p>
            <w:pPr>
              <w:spacing w:after="40" w:before="40"/>
            </w:pPr>
            <w:r/>
            <w:r>
              <w:rPr>
                <w:rFonts w:ascii="Calibri" w:hAnsi="Calibri"/>
                <w:b w:val="0"/>
                <w:i w:val="0"/>
                <w:color w:val="1F2933"/>
                <w:sz w:val="18"/>
              </w:rPr>
              <w:t>1</w:t>
            </w:r>
          </w:p>
        </w:tc>
        <w:tc>
          <w:tcPr>
            <w:tcW w:type="dxa" w:w="2608"/>
          </w:tcPr>
          <w:p>
            <w:pPr>
              <w:spacing w:after="40" w:before="40"/>
            </w:pPr>
            <w:r/>
            <w:r>
              <w:rPr>
                <w:rFonts w:ascii="Calibri" w:hAnsi="Calibri"/>
                <w:b w:val="0"/>
                <w:i w:val="0"/>
                <w:color w:val="1F2933"/>
                <w:sz w:val="18"/>
              </w:rPr>
              <w:t>The platform language list</w:t>
            </w:r>
          </w:p>
        </w:tc>
        <w:tc>
          <w:tcPr>
            <w:tcW w:type="dxa" w:w="6236"/>
          </w:tcPr>
          <w:p>
            <w:pPr>
              <w:spacing w:after="40" w:before="40"/>
            </w:pPr>
            <w:r/>
            <w:r>
              <w:rPr>
                <w:rFonts w:ascii="Calibri" w:hAnsi="Calibri"/>
                <w:b w:val="0"/>
                <w:i w:val="0"/>
                <w:color w:val="1F2933"/>
                <w:sz w:val="18"/>
              </w:rPr>
              <w:t>Which locales appear in every picker — school default, student preference, course language. A locale absent here cannot be selected.</w:t>
            </w:r>
          </w:p>
        </w:tc>
      </w:tr>
      <w:tr>
        <w:trPr>
          <w:cantSplit/>
        </w:trPr>
        <w:tc>
          <w:tcPr>
            <w:tcW w:type="dxa" w:w="567"/>
            <w:shd w:val="clear" w:fill="F4F6F8"/>
          </w:tcPr>
          <w:p>
            <w:pPr>
              <w:spacing w:after="40" w:before="40"/>
            </w:pPr>
            <w:r/>
            <w:r>
              <w:rPr>
                <w:rFonts w:ascii="Calibri" w:hAnsi="Calibri"/>
                <w:b w:val="0"/>
                <w:i w:val="0"/>
                <w:color w:val="1F2933"/>
                <w:sz w:val="18"/>
              </w:rPr>
              <w:t>2</w:t>
            </w:r>
          </w:p>
        </w:tc>
        <w:tc>
          <w:tcPr>
            <w:tcW w:type="dxa" w:w="2608"/>
            <w:shd w:val="clear" w:fill="F4F6F8"/>
          </w:tcPr>
          <w:p>
            <w:pPr>
              <w:spacing w:after="40" w:before="40"/>
            </w:pPr>
            <w:r/>
            <w:r>
              <w:rPr>
                <w:rFonts w:ascii="Calibri" w:hAnsi="Calibri"/>
                <w:b w:val="0"/>
                <w:i w:val="0"/>
                <w:color w:val="1F2933"/>
                <w:sz w:val="18"/>
              </w:rPr>
              <w:t>The tutor identity profile</w:t>
            </w:r>
          </w:p>
        </w:tc>
        <w:tc>
          <w:tcPr>
            <w:tcW w:type="dxa" w:w="6236"/>
            <w:shd w:val="clear" w:fill="F4F6F8"/>
          </w:tcPr>
          <w:p>
            <w:pPr>
              <w:spacing w:after="40" w:before="40"/>
            </w:pPr>
            <w:r/>
            <w:r>
              <w:rPr>
                <w:rFonts w:ascii="Calibri" w:hAnsi="Calibri"/>
                <w:b w:val="0"/>
                <w:i w:val="0"/>
                <w:color w:val="1F2933"/>
                <w:sz w:val="18"/>
              </w:rPr>
              <w:t>The audience clause in the tutor's role: who it believes it is teaching — "Seychelles secondary-school students, grades S3–S5" in the tested deployment. One entry per country; no database change.</w:t>
            </w:r>
          </w:p>
        </w:tc>
      </w:tr>
      <w:tr>
        <w:trPr>
          <w:cantSplit/>
        </w:trPr>
        <w:tc>
          <w:tcPr>
            <w:tcW w:type="dxa" w:w="567"/>
          </w:tcPr>
          <w:p>
            <w:pPr>
              <w:spacing w:after="40" w:before="40"/>
            </w:pPr>
            <w:r/>
            <w:r>
              <w:rPr>
                <w:rFonts w:ascii="Calibri" w:hAnsi="Calibri"/>
                <w:b w:val="0"/>
                <w:i w:val="0"/>
                <w:color w:val="1F2933"/>
                <w:sz w:val="18"/>
              </w:rPr>
              <w:t>3</w:t>
            </w:r>
          </w:p>
        </w:tc>
        <w:tc>
          <w:tcPr>
            <w:tcW w:type="dxa" w:w="2608"/>
          </w:tcPr>
          <w:p>
            <w:pPr>
              <w:spacing w:after="40" w:before="40"/>
            </w:pPr>
            <w:r/>
            <w:r>
              <w:rPr>
                <w:rFonts w:ascii="Calibri" w:hAnsi="Calibri"/>
                <w:b w:val="0"/>
                <w:i w:val="0"/>
                <w:color w:val="1F2933"/>
                <w:sz w:val="18"/>
              </w:rPr>
              <w:t>The runtime language rule</w:t>
            </w:r>
          </w:p>
        </w:tc>
        <w:tc>
          <w:tcPr>
            <w:tcW w:type="dxa" w:w="6236"/>
          </w:tcPr>
          <w:p>
            <w:pPr>
              <w:spacing w:after="40" w:before="40"/>
            </w:pPr>
            <w:r/>
            <w:r>
              <w:rPr>
                <w:rFonts w:ascii="Calibri" w:hAnsi="Calibri"/>
                <w:b w:val="0"/>
                <w:i w:val="0"/>
                <w:color w:val="1F2933"/>
                <w:sz w:val="18"/>
              </w:rPr>
              <w:t>The language and register block injected into the live tutoring prompt on every turn.</w:t>
            </w:r>
          </w:p>
        </w:tc>
      </w:tr>
      <w:tr>
        <w:trPr>
          <w:cantSplit/>
        </w:trPr>
        <w:tc>
          <w:tcPr>
            <w:tcW w:type="dxa" w:w="567"/>
            <w:shd w:val="clear" w:fill="F4F6F8"/>
          </w:tcPr>
          <w:p>
            <w:pPr>
              <w:spacing w:after="40" w:before="40"/>
            </w:pPr>
            <w:r/>
            <w:r>
              <w:rPr>
                <w:rFonts w:ascii="Calibri" w:hAnsi="Calibri"/>
                <w:b w:val="0"/>
                <w:i w:val="0"/>
                <w:color w:val="1F2933"/>
                <w:sz w:val="18"/>
              </w:rPr>
              <w:t>4</w:t>
            </w:r>
          </w:p>
        </w:tc>
        <w:tc>
          <w:tcPr>
            <w:tcW w:type="dxa" w:w="2608"/>
            <w:shd w:val="clear" w:fill="F4F6F8"/>
          </w:tcPr>
          <w:p>
            <w:pPr>
              <w:spacing w:after="40" w:before="40"/>
            </w:pPr>
            <w:r/>
            <w:r>
              <w:rPr>
                <w:rFonts w:ascii="Calibri" w:hAnsi="Calibri"/>
                <w:b w:val="0"/>
                <w:i w:val="0"/>
                <w:color w:val="1F2933"/>
                <w:sz w:val="18"/>
              </w:rPr>
              <w:t>The content-generation language rule</w:t>
            </w:r>
          </w:p>
        </w:tc>
        <w:tc>
          <w:tcPr>
            <w:tcW w:type="dxa" w:w="6236"/>
            <w:shd w:val="clear" w:fill="F4F6F8"/>
          </w:tcPr>
          <w:p>
            <w:pPr>
              <w:spacing w:after="40" w:before="40"/>
            </w:pPr>
            <w:r/>
            <w:r>
              <w:rPr>
                <w:rFonts w:ascii="Calibri" w:hAnsi="Calibri"/>
                <w:b w:val="0"/>
                <w:i w:val="0"/>
                <w:color w:val="1F2933"/>
                <w:sz w:val="18"/>
              </w:rPr>
              <w:t>The same register decisions applied when lessons, teaching scripts and assessment questions are generated.</w:t>
            </w:r>
          </w:p>
        </w:tc>
      </w:tr>
      <w:tr>
        <w:trPr>
          <w:cantSplit/>
        </w:trPr>
        <w:tc>
          <w:tcPr>
            <w:tcW w:type="dxa" w:w="567"/>
          </w:tcPr>
          <w:p>
            <w:pPr>
              <w:spacing w:after="40" w:before="40"/>
            </w:pPr>
            <w:r/>
            <w:r>
              <w:rPr>
                <w:rFonts w:ascii="Calibri" w:hAnsi="Calibri"/>
                <w:b w:val="0"/>
                <w:i w:val="0"/>
                <w:color w:val="1F2933"/>
                <w:sz w:val="18"/>
              </w:rPr>
              <w:t>5</w:t>
            </w:r>
          </w:p>
        </w:tc>
        <w:tc>
          <w:tcPr>
            <w:tcW w:type="dxa" w:w="2608"/>
          </w:tcPr>
          <w:p>
            <w:pPr>
              <w:spacing w:after="40" w:before="40"/>
            </w:pPr>
            <w:r/>
            <w:r>
              <w:rPr>
                <w:rFonts w:ascii="Calibri" w:hAnsi="Calibri"/>
                <w:b w:val="0"/>
                <w:i w:val="0"/>
                <w:color w:val="1F2933"/>
                <w:sz w:val="18"/>
              </w:rPr>
              <w:t>The interface translation catalogue</w:t>
            </w:r>
          </w:p>
        </w:tc>
        <w:tc>
          <w:tcPr>
            <w:tcW w:type="dxa" w:w="6236"/>
          </w:tcPr>
          <w:p>
            <w:pPr>
              <w:spacing w:after="40" w:before="40"/>
            </w:pPr>
            <w:r/>
            <w:r>
              <w:rPr>
                <w:rFonts w:ascii="Calibri" w:hAnsi="Calibri"/>
                <w:b w:val="0"/>
                <w:i w:val="0"/>
                <w:color w:val="1F2933"/>
                <w:sz w:val="18"/>
              </w:rPr>
              <w:t>Standard translation files for the student and teacher interfaces, including the JavaScript strings.</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TWO FAILURE MODES TO KNOW ABOUT</w:t>
            </w:r>
          </w:p>
          <w:p>
            <w:pPr>
              <w:spacing w:after="100"/>
            </w:pPr>
            <w:r>
              <w:rPr>
                <w:rFonts w:ascii="Calibri" w:hAnsi="Calibri"/>
                <w:b w:val="0"/>
                <w:i w:val="0"/>
                <w:color w:val="1F2933"/>
                <w:sz w:val="19"/>
              </w:rPr>
              <w:t>An unregistered locale does not error. The tutor falls back to a generic language instruction and to the default country identity — so a misconfigured course produces content that is roughly the right language and entirely the wrong country. Register all five points, and confirm with a real session before generating a subject. Separately: the runtime language rule sits inside the cached prefix of the tutoring prompt. Once a locale is live, keep its strings byte-stable — an incidental edit invalidates that country's prompt cache and raises its per-turn cost until the cache refills.</w:t>
            </w:r>
          </w:p>
        </w:tc>
      </w:tr>
    </w:tbl>
    <w:p>
      <w:pPr>
        <w:spacing w:after="40"/>
      </w:pPr>
    </w:p>
    <w:p>
      <w:pPr>
        <w:pStyle w:val="Heading2"/>
      </w:pPr>
      <w:r>
        <w:t>Which language wins, per request</w:t>
      </w:r>
    </w:p>
    <w:p>
      <w:pPr>
        <w:spacing w:after="140"/>
      </w:pPr>
      <w:r>
        <w:rPr>
          <w:rFonts w:ascii="Calibri" w:hAnsi="Calibri"/>
          <w:b w:val="0"/>
          <w:i w:val="0"/>
          <w:color w:val="1F2933"/>
          <w:sz w:val="21"/>
        </w:rPr>
        <w:t>Resolution runs in this order, first match wins:</w:t>
      </w:r>
    </w:p>
    <w:p>
      <w:pPr>
        <w:pStyle w:val="ListBullet"/>
        <w:spacing w:after="60"/>
      </w:pPr>
      <w:r>
        <w:rPr>
          <w:rFonts w:ascii="Calibri" w:hAnsi="Calibri"/>
          <w:b/>
          <w:i w:val="0"/>
          <w:color w:val="1F2933"/>
          <w:sz w:val="21"/>
        </w:rPr>
        <w:t>The course being taught</w:t>
      </w:r>
      <w:r>
        <w:rPr>
          <w:rFonts w:ascii="Calibri" w:hAnsi="Calibri"/>
          <w:b w:val="0"/>
          <w:i w:val="0"/>
          <w:color w:val="1F2933"/>
          <w:sz w:val="21"/>
        </w:rPr>
        <w:t xml:space="preserve"> — inside a tutoring session the lesson's language always wins, regardless of student or school preference. A geography course authored in one language renders in that language for everyone taking it.</w:t>
      </w:r>
    </w:p>
    <w:p>
      <w:pPr>
        <w:pStyle w:val="ListBullet"/>
        <w:spacing w:after="60"/>
      </w:pPr>
      <w:r>
        <w:rPr>
          <w:rFonts w:ascii="Calibri" w:hAnsi="Calibri"/>
          <w:b/>
          <w:i w:val="0"/>
          <w:color w:val="1F2933"/>
          <w:sz w:val="21"/>
        </w:rPr>
        <w:t>An explicit language toggle</w:t>
      </w:r>
      <w:r>
        <w:rPr>
          <w:rFonts w:ascii="Calibri" w:hAnsi="Calibri"/>
          <w:b w:val="0"/>
          <w:i w:val="0"/>
          <w:color w:val="1F2933"/>
          <w:sz w:val="21"/>
        </w:rPr>
        <w:t xml:space="preserve"> — the visitor's own choice, which is also how an unsigned-in visitor reads the landing page in their language.</w:t>
      </w:r>
    </w:p>
    <w:p>
      <w:pPr>
        <w:pStyle w:val="ListBullet"/>
        <w:spacing w:after="60"/>
      </w:pPr>
      <w:r>
        <w:rPr>
          <w:rFonts w:ascii="Calibri" w:hAnsi="Calibri"/>
          <w:b/>
          <w:i w:val="0"/>
          <w:color w:val="1F2933"/>
          <w:sz w:val="21"/>
        </w:rPr>
        <w:t>The student's preference</w:t>
      </w:r>
      <w:r>
        <w:rPr>
          <w:rFonts w:ascii="Calibri" w:hAnsi="Calibri"/>
          <w:b w:val="0"/>
          <w:i w:val="0"/>
          <w:color w:val="1F2933"/>
          <w:sz w:val="21"/>
        </w:rPr>
        <w:t>, if they have set one.</w:t>
      </w:r>
    </w:p>
    <w:p>
      <w:pPr>
        <w:pStyle w:val="ListBullet"/>
        <w:spacing w:after="60"/>
      </w:pPr>
      <w:r>
        <w:rPr>
          <w:rFonts w:ascii="Calibri" w:hAnsi="Calibri"/>
          <w:b/>
          <w:i w:val="0"/>
          <w:color w:val="1F2933"/>
          <w:sz w:val="21"/>
        </w:rPr>
        <w:t>The school's default language.</w:t>
      </w:r>
    </w:p>
    <w:p>
      <w:pPr>
        <w:pStyle w:val="ListBullet"/>
        <w:spacing w:after="60"/>
      </w:pPr>
      <w:r>
        <w:rPr>
          <w:rFonts w:ascii="Calibri" w:hAnsi="Calibri"/>
          <w:b/>
          <w:i w:val="0"/>
          <w:color w:val="1F2933"/>
          <w:sz w:val="21"/>
        </w:rPr>
        <w:t>The platform default.</w:t>
      </w:r>
    </w:p>
    <w:p>
      <w:pPr>
        <w:pStyle w:val="Heading2"/>
      </w:pPr>
      <w:r>
        <w:t>Register decisions to settle with a native-speaking educator</w:t>
      </w:r>
    </w:p>
    <w:p>
      <w:pPr>
        <w:pStyle w:val="ListBullet"/>
        <w:spacing w:after="60"/>
      </w:pPr>
      <w:r>
        <w:rPr>
          <w:rFonts w:ascii="Calibri" w:hAnsi="Calibri"/>
          <w:b w:val="0"/>
          <w:i w:val="0"/>
          <w:color w:val="1F2933"/>
          <w:sz w:val="21"/>
        </w:rPr>
        <w:t>Form of address for the age group — formal or informal.</w:t>
      </w:r>
    </w:p>
    <w:p>
      <w:pPr>
        <w:pStyle w:val="ListBullet"/>
        <w:spacing w:after="60"/>
      </w:pPr>
      <w:r>
        <w:rPr>
          <w:rFonts w:ascii="Calibri" w:hAnsi="Calibri"/>
          <w:b w:val="0"/>
          <w:i w:val="0"/>
          <w:color w:val="1F2933"/>
          <w:sz w:val="21"/>
        </w:rPr>
        <w:t>Orthographic standard, where the language has more than one.</w:t>
      </w:r>
    </w:p>
    <w:p>
      <w:pPr>
        <w:pStyle w:val="ListBullet"/>
        <w:spacing w:after="60"/>
      </w:pPr>
      <w:r>
        <w:rPr>
          <w:rFonts w:ascii="Calibri" w:hAnsi="Calibri"/>
          <w:b w:val="0"/>
          <w:i w:val="0"/>
          <w:color w:val="1F2933"/>
          <w:sz w:val="21"/>
        </w:rPr>
        <w:t>Which technical vocabulary stays in the standard form of the language.</w:t>
      </w:r>
    </w:p>
    <w:p>
      <w:pPr>
        <w:pStyle w:val="ListBullet"/>
        <w:spacing w:after="60"/>
      </w:pPr>
      <w:r>
        <w:rPr>
          <w:rFonts w:ascii="Calibri" w:hAnsi="Calibri"/>
          <w:b w:val="0"/>
          <w:i w:val="0"/>
          <w:color w:val="1F2933"/>
          <w:sz w:val="21"/>
        </w:rPr>
        <w:t>Whether product and brand names are translated (they should not be).</w:t>
      </w:r>
    </w:p>
    <w:p>
      <w:pPr>
        <w:pStyle w:val="ListBullet"/>
        <w:spacing w:after="60"/>
      </w:pPr>
      <w:r>
        <w:rPr>
          <w:rFonts w:ascii="Calibri" w:hAnsi="Calibri"/>
          <w:b w:val="0"/>
          <w:i w:val="0"/>
          <w:color w:val="1F2933"/>
          <w:sz w:val="21"/>
        </w:rPr>
        <w:t>Which places, currency, geography and ecology localised examples should draw on — and where localisation should not be forced, because the topic is abstract.</w:t>
      </w:r>
    </w:p>
    <w:p>
      <w:pPr>
        <w:pStyle w:val="ListBullet"/>
        <w:spacing w:after="60"/>
      </w:pPr>
      <w:r>
        <w:rPr>
          <w:rFonts w:ascii="Calibri" w:hAnsi="Calibri"/>
          <w:b w:val="0"/>
          <w:i w:val="0"/>
          <w:color w:val="1F2933"/>
          <w:sz w:val="21"/>
        </w:rPr>
        <w:t>An explicit prohibition on switching to another language mid-content, including for headings, affirmations and error messages.</w:t>
      </w:r>
    </w:p>
    <w:p>
      <w:pPr>
        <w:spacing w:after="140"/>
      </w:pPr>
      <w:r>
        <w:rPr>
          <w:rFonts w:ascii="Calibri" w:hAnsi="Calibri"/>
          <w:b w:val="0"/>
          <w:i w:val="0"/>
          <w:color w:val="1F2933"/>
          <w:sz w:val="21"/>
        </w:rPr>
        <w:t>These are written once as a language rule and then apply consistently to generated content and to live tutoring, which is what keeps the two from drifting apart.</w:t>
      </w:r>
    </w:p>
    <w:p>
      <w:pPr>
        <w:pStyle w:val="Heading1"/>
        <w:pBdr>
          <w:bottom w:val="single" w:sz="12" w:space="6" w:color="E8590C"/>
        </w:pBdr>
      </w:pPr>
      <w:r>
        <w:t>C.  Curriculum ingestion and the content pipeline</w:t>
      </w:r>
    </w:p>
    <w:p>
      <w:pPr>
        <w:pStyle w:val="Heading2"/>
      </w:pPr>
      <w:r>
        <w:t>Two routes in</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928"/>
            <w:shd w:val="clear" w:fill="1F2933"/>
          </w:tcPr>
          <w:p>
            <w:pPr>
              <w:spacing w:after="40" w:before="40"/>
            </w:pPr>
            <w:r/>
            <w:r>
              <w:rPr>
                <w:rFonts w:ascii="Calibri" w:hAnsi="Calibri"/>
                <w:b/>
                <w:i w:val="0"/>
                <w:color w:val="FFFFFF"/>
                <w:sz w:val="18"/>
              </w:rPr>
              <w:t>Route</w:t>
            </w:r>
          </w:p>
        </w:tc>
        <w:tc>
          <w:tcPr>
            <w:tcW w:type="dxa" w:w="4195"/>
            <w:shd w:val="clear" w:fill="1F2933"/>
          </w:tcPr>
          <w:p>
            <w:pPr>
              <w:spacing w:after="40" w:before="40"/>
            </w:pPr>
            <w:r/>
            <w:r>
              <w:rPr>
                <w:rFonts w:ascii="Calibri" w:hAnsi="Calibri"/>
                <w:b/>
                <w:i w:val="0"/>
                <w:color w:val="FFFFFF"/>
                <w:sz w:val="18"/>
              </w:rPr>
              <w:t>When to use it</w:t>
            </w:r>
          </w:p>
        </w:tc>
        <w:tc>
          <w:tcPr>
            <w:tcW w:type="dxa" w:w="3288"/>
            <w:shd w:val="clear" w:fill="1F2933"/>
          </w:tcPr>
          <w:p>
            <w:pPr>
              <w:spacing w:after="40" w:before="40"/>
            </w:pPr>
            <w:r/>
            <w:r>
              <w:rPr>
                <w:rFonts w:ascii="Calibri" w:hAnsi="Calibri"/>
                <w:b/>
                <w:i w:val="0"/>
                <w:color w:val="FFFFFF"/>
                <w:sz w:val="18"/>
              </w:rPr>
              <w:t>What it carries</w:t>
            </w:r>
          </w:p>
        </w:tc>
      </w:tr>
      <w:tr>
        <w:trPr>
          <w:cantSplit/>
        </w:trPr>
        <w:tc>
          <w:tcPr>
            <w:tcW w:type="dxa" w:w="1928"/>
          </w:tcPr>
          <w:p>
            <w:pPr>
              <w:spacing w:after="40" w:before="40"/>
            </w:pPr>
            <w:r/>
            <w:r>
              <w:rPr>
                <w:rFonts w:ascii="Calibri" w:hAnsi="Calibri"/>
                <w:b w:val="0"/>
                <w:i w:val="0"/>
                <w:color w:val="1F2933"/>
                <w:sz w:val="18"/>
              </w:rPr>
              <w:t>Generate from your own syllabus</w:t>
            </w:r>
          </w:p>
        </w:tc>
        <w:tc>
          <w:tcPr>
            <w:tcW w:type="dxa" w:w="4195"/>
          </w:tcPr>
          <w:p>
            <w:pPr>
              <w:spacing w:after="40" w:before="40"/>
            </w:pPr>
            <w:r/>
            <w:r>
              <w:rPr>
                <w:rFonts w:ascii="Calibri" w:hAnsi="Calibri"/>
                <w:b w:val="0"/>
                <w:i w:val="0"/>
                <w:color w:val="1F2933"/>
                <w:sz w:val="18"/>
              </w:rPr>
              <w:t>The normal path for a country adopting its own national curriculum</w:t>
            </w:r>
          </w:p>
        </w:tc>
        <w:tc>
          <w:tcPr>
            <w:tcW w:type="dxa" w:w="3288"/>
          </w:tcPr>
          <w:p>
            <w:pPr>
              <w:spacing w:after="40" w:before="40"/>
            </w:pPr>
            <w:r/>
            <w:r>
              <w:rPr>
                <w:rFonts w:ascii="Calibri" w:hAnsi="Calibri"/>
                <w:b w:val="0"/>
                <w:i w:val="0"/>
                <w:color w:val="1F2933"/>
                <w:sz w:val="18"/>
              </w:rPr>
              <w:t>Whatever your syllabus documents contain</w:t>
            </w:r>
          </w:p>
        </w:tc>
      </w:tr>
      <w:tr>
        <w:trPr>
          <w:cantSplit/>
        </w:trPr>
        <w:tc>
          <w:tcPr>
            <w:tcW w:type="dxa" w:w="1928"/>
            <w:shd w:val="clear" w:fill="F4F6F8"/>
          </w:tcPr>
          <w:p>
            <w:pPr>
              <w:spacing w:after="40" w:before="40"/>
            </w:pPr>
            <w:r/>
            <w:r>
              <w:rPr>
                <w:rFonts w:ascii="Calibri" w:hAnsi="Calibri"/>
                <w:b w:val="0"/>
                <w:i w:val="0"/>
                <w:color w:val="1F2933"/>
                <w:sz w:val="18"/>
              </w:rPr>
              <w:t>Import a curriculum pack</w:t>
            </w:r>
          </w:p>
        </w:tc>
        <w:tc>
          <w:tcPr>
            <w:tcW w:type="dxa" w:w="4195"/>
            <w:shd w:val="clear" w:fill="F4F6F8"/>
          </w:tcPr>
          <w:p>
            <w:pPr>
              <w:spacing w:after="40" w:before="40"/>
            </w:pPr>
            <w:r/>
            <w:r>
              <w:rPr>
                <w:rFonts w:ascii="Calibri" w:hAnsi="Calibri"/>
                <w:b w:val="0"/>
                <w:i w:val="0"/>
                <w:color w:val="1F2933"/>
                <w:sz w:val="18"/>
              </w:rPr>
              <w:t>Seeding a new deployment from content that already exists — a shared subject, a regional curriculum, or a second national instance</w:t>
            </w:r>
          </w:p>
        </w:tc>
        <w:tc>
          <w:tcPr>
            <w:tcW w:type="dxa" w:w="3288"/>
            <w:shd w:val="clear" w:fill="F4F6F8"/>
          </w:tcPr>
          <w:p>
            <w:pPr>
              <w:spacing w:after="40" w:before="40"/>
            </w:pPr>
            <w:r/>
            <w:r>
              <w:rPr>
                <w:rFonts w:ascii="Calibri" w:hAnsi="Calibri"/>
                <w:b w:val="0"/>
                <w:i w:val="0"/>
                <w:color w:val="1F2933"/>
                <w:sz w:val="18"/>
              </w:rPr>
              <w:t xml:space="preserve">Courses, units, lessons, steps, exit tickets, knowledge-base chunks and media. </w:t>
            </w:r>
            <w:r>
              <w:rPr>
                <w:rFonts w:ascii="Calibri" w:hAnsi="Calibri"/>
                <w:b/>
                <w:i w:val="0"/>
                <w:color w:val="1F2933"/>
                <w:sz w:val="18"/>
              </w:rPr>
              <w:t>No student records.</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WHY THE TWO PACK FORMATS REFUSE EACH OTHER</w:t>
            </w:r>
          </w:p>
          <w:p>
            <w:pPr>
              <w:spacing w:after="100"/>
            </w:pPr>
            <w:r>
              <w:rPr>
                <w:rFonts w:ascii="Calibri" w:hAnsi="Calibri"/>
                <w:b w:val="0"/>
                <w:i w:val="0"/>
                <w:color w:val="1F2933"/>
                <w:sz w:val="19"/>
              </w:rPr>
              <w:t>A curriculum pack seeds a foreign deployment and deliberately carries no roster. A device provisioning pack carries a roster, because a school laptop must bind local logins to server accounts, and it travels on a USB stick inside one school. The importers reject each other's files outright rather than importing the safe subset — because otherwise the mistake is made by whoever copies the wrong file, long after anyone is watching, and it would hand another country's children's names to a third party.</w:t>
            </w:r>
          </w:p>
        </w:tc>
      </w:tr>
    </w:tbl>
    <w:p>
      <w:pPr>
        <w:spacing w:after="40"/>
      </w:pPr>
    </w:p>
    <w:p>
      <w:pPr>
        <w:pStyle w:val="Heading2"/>
      </w:pPr>
      <w:r>
        <w:t>The generation pipeline</w:t>
      </w:r>
    </w:p>
    <w:p>
      <w:pPr>
        <w:pStyle w:val="ListBullet"/>
        <w:spacing w:after="60"/>
      </w:pPr>
      <w:r>
        <w:rPr>
          <w:rFonts w:ascii="Calibri" w:hAnsi="Calibri"/>
          <w:b/>
          <w:i w:val="0"/>
          <w:color w:val="1F2933"/>
          <w:sz w:val="21"/>
        </w:rPr>
        <w:t>Upload</w:t>
      </w:r>
      <w:r>
        <w:rPr>
          <w:rFonts w:ascii="Calibri" w:hAnsi="Calibri"/>
          <w:b w:val="0"/>
          <w:i w:val="0"/>
          <w:color w:val="1F2933"/>
          <w:sz w:val="21"/>
        </w:rPr>
        <w:t xml:space="preserve"> the syllabus for a subject, choosing the page range for each grade. Re-uploading edits by additive merge rather than wiping what reviewers have already approved.</w:t>
      </w:r>
    </w:p>
    <w:p>
      <w:pPr>
        <w:pStyle w:val="ListBullet"/>
        <w:spacing w:after="60"/>
      </w:pPr>
      <w:r>
        <w:rPr>
          <w:rFonts w:ascii="Calibri" w:hAnsi="Calibri"/>
          <w:b/>
          <w:i w:val="0"/>
          <w:color w:val="1F2933"/>
          <w:sz w:val="21"/>
        </w:rPr>
        <w:t>Parse</w:t>
      </w:r>
      <w:r>
        <w:rPr>
          <w:rFonts w:ascii="Calibri" w:hAnsi="Calibri"/>
          <w:b w:val="0"/>
          <w:i w:val="0"/>
          <w:color w:val="1F2933"/>
          <w:sz w:val="21"/>
        </w:rPr>
        <w:t xml:space="preserve"> into the course, unit and lesson hierarchy.</w:t>
      </w:r>
    </w:p>
    <w:p>
      <w:pPr>
        <w:pStyle w:val="ListBullet"/>
        <w:spacing w:after="60"/>
      </w:pPr>
      <w:r>
        <w:rPr>
          <w:rFonts w:ascii="Calibri" w:hAnsi="Calibri"/>
          <w:b/>
          <w:i w:val="0"/>
          <w:color w:val="1F2933"/>
          <w:sz w:val="21"/>
        </w:rPr>
        <w:t>Generate</w:t>
      </w:r>
      <w:r>
        <w:rPr>
          <w:rFonts w:ascii="Calibri" w:hAnsi="Calibri"/>
          <w:b w:val="0"/>
          <w:i w:val="0"/>
          <w:color w:val="1F2933"/>
          <w:sz w:val="21"/>
        </w:rPr>
        <w:t xml:space="preserve"> eight to twelve teaching steps per lesson, in the course language, with worked examples and vocabulary.</w:t>
      </w:r>
    </w:p>
    <w:p>
      <w:pPr>
        <w:pStyle w:val="ListBullet"/>
        <w:spacing w:after="60"/>
      </w:pPr>
      <w:r>
        <w:rPr>
          <w:rFonts w:ascii="Calibri" w:hAnsi="Calibri"/>
          <w:b/>
          <w:i w:val="0"/>
          <w:color w:val="1F2933"/>
          <w:sz w:val="21"/>
        </w:rPr>
        <w:t>Generate figures</w:t>
      </w:r>
      <w:r>
        <w:rPr>
          <w:rFonts w:ascii="Calibri" w:hAnsi="Calibri"/>
          <w:b w:val="0"/>
          <w:i w:val="0"/>
          <w:color w:val="1F2933"/>
          <w:sz w:val="21"/>
        </w:rPr>
        <w:t xml:space="preserve"> — educational diagrams, with prompt engineering aimed at not inventing data that is not in the lesson.</w:t>
      </w:r>
    </w:p>
    <w:p>
      <w:pPr>
        <w:pStyle w:val="ListBullet"/>
        <w:spacing w:after="60"/>
      </w:pPr>
      <w:r>
        <w:rPr>
          <w:rFonts w:ascii="Calibri" w:hAnsi="Calibri"/>
          <w:b/>
          <w:i w:val="0"/>
          <w:color w:val="1F2933"/>
          <w:sz w:val="21"/>
        </w:rPr>
        <w:t>Generate exit tickets</w:t>
      </w:r>
      <w:r>
        <w:rPr>
          <w:rFonts w:ascii="Calibri" w:hAnsi="Calibri"/>
          <w:b w:val="0"/>
          <w:i w:val="0"/>
          <w:color w:val="1F2933"/>
          <w:sz w:val="21"/>
        </w:rPr>
        <w:t xml:space="preserve"> — roughly thirty-five questions per lesson, of which ten are presented per attempt.</w:t>
      </w:r>
    </w:p>
    <w:p>
      <w:pPr>
        <w:pStyle w:val="ListBullet"/>
        <w:spacing w:after="60"/>
      </w:pPr>
      <w:r>
        <w:rPr>
          <w:rFonts w:ascii="Calibri" w:hAnsi="Calibri"/>
          <w:b/>
          <w:i w:val="0"/>
          <w:color w:val="1F2933"/>
          <w:sz w:val="21"/>
        </w:rPr>
        <w:t>Extract skills</w:t>
      </w:r>
      <w:r>
        <w:rPr>
          <w:rFonts w:ascii="Calibri" w:hAnsi="Calibri"/>
          <w:b w:val="0"/>
          <w:i w:val="0"/>
          <w:color w:val="1F2933"/>
          <w:sz w:val="21"/>
        </w:rPr>
        <w:t xml:space="preserve"> and infer lesson prerequisites, building the graph that gates a student from starting a lesson they are not ready for.</w:t>
      </w:r>
    </w:p>
    <w:p>
      <w:pPr>
        <w:pStyle w:val="ListBullet"/>
        <w:spacing w:after="60"/>
      </w:pPr>
      <w:r>
        <w:rPr>
          <w:rFonts w:ascii="Calibri" w:hAnsi="Calibri"/>
          <w:b/>
          <w:i w:val="0"/>
          <w:color w:val="1F2933"/>
          <w:sz w:val="21"/>
        </w:rPr>
        <w:t>Index</w:t>
      </w:r>
      <w:r>
        <w:rPr>
          <w:rFonts w:ascii="Calibri" w:hAnsi="Calibri"/>
          <w:b w:val="0"/>
          <w:i w:val="0"/>
          <w:color w:val="1F2933"/>
          <w:sz w:val="21"/>
        </w:rPr>
        <w:t xml:space="preserve"> curriculum text, exam questions and teaching materials into the vector knowledge base for retrieval during tutoring. Embeddings are computed locally, so this step needs no external service.</w:t>
      </w:r>
    </w:p>
    <w:p>
      <w:pPr>
        <w:pStyle w:val="ListBullet"/>
        <w:spacing w:after="60"/>
      </w:pPr>
      <w:r>
        <w:rPr>
          <w:rFonts w:ascii="Calibri" w:hAnsi="Calibri"/>
          <w:b/>
          <w:i w:val="0"/>
          <w:color w:val="1F2933"/>
          <w:sz w:val="21"/>
        </w:rPr>
        <w:t>Review and publish</w:t>
      </w:r>
      <w:r>
        <w:rPr>
          <w:rFonts w:ascii="Calibri" w:hAnsi="Calibri"/>
          <w:b w:val="0"/>
          <w:i w:val="0"/>
          <w:color w:val="1F2933"/>
          <w:sz w:val="21"/>
        </w:rPr>
        <w:t xml:space="preserve"> in the dashboard. Nothing reaches students unreviewed unless you choose to let it.</w:t>
      </w:r>
    </w:p>
    <w:p>
      <w:pPr>
        <w:pStyle w:val="Heading2"/>
      </w:pPr>
      <w:r>
        <w:t>Practical notes</w:t>
      </w:r>
    </w:p>
    <w:p>
      <w:pPr>
        <w:pStyle w:val="ListBullet"/>
        <w:spacing w:after="60"/>
      </w:pPr>
      <w:r>
        <w:rPr>
          <w:rFonts w:ascii="Calibri" w:hAnsi="Calibri"/>
          <w:b/>
          <w:i w:val="0"/>
          <w:color w:val="1F2933"/>
          <w:sz w:val="21"/>
        </w:rPr>
        <w:t>Figures are the gap in a bare deployment.</w:t>
      </w:r>
      <w:r>
        <w:rPr>
          <w:rFonts w:ascii="Calibri" w:hAnsi="Calibri"/>
          <w:b w:val="0"/>
          <w:i w:val="0"/>
          <w:color w:val="1F2933"/>
          <w:sz w:val="21"/>
        </w:rPr>
        <w:t xml:space="preserve"> Roughly three quarters of lesson steps reference a figure. The publicly distributed image ships lessons but not media, so those steps read with a hole until media is generated or uploaded. Plan figure generation as part of Phase 2, not as a finishing touch.</w:t>
      </w:r>
    </w:p>
    <w:p>
      <w:pPr>
        <w:pStyle w:val="ListBullet"/>
        <w:spacing w:after="60"/>
      </w:pPr>
      <w:r>
        <w:rPr>
          <w:rFonts w:ascii="Calibri" w:hAnsi="Calibri"/>
          <w:b/>
          <w:i w:val="0"/>
          <w:color w:val="1F2933"/>
          <w:sz w:val="21"/>
        </w:rPr>
        <w:t>Generation failures leave lessons in a generating state</w:t>
      </w:r>
      <w:r>
        <w:rPr>
          <w:rFonts w:ascii="Calibri" w:hAnsi="Calibri"/>
          <w:b w:val="0"/>
          <w:i w:val="0"/>
          <w:color w:val="1F2933"/>
          <w:sz w:val="21"/>
        </w:rPr>
        <w:t xml:space="preserve"> and need a manual reset to pending — worth a line in the operations runbook.</w:t>
      </w:r>
    </w:p>
    <w:p>
      <w:pPr>
        <w:pStyle w:val="ListBullet"/>
        <w:spacing w:after="60"/>
      </w:pPr>
      <w:r>
        <w:rPr>
          <w:rFonts w:ascii="Calibri" w:hAnsi="Calibri"/>
          <w:b/>
          <w:i w:val="0"/>
          <w:color w:val="1F2933"/>
          <w:sz w:val="21"/>
        </w:rPr>
        <w:t>Content rights travel with the content.</w:t>
      </w:r>
      <w:r>
        <w:rPr>
          <w:rFonts w:ascii="Calibri" w:hAnsi="Calibri"/>
          <w:b w:val="0"/>
          <w:i w:val="0"/>
          <w:color w:val="1F2933"/>
          <w:sz w:val="21"/>
        </w:rPr>
        <w:t xml:space="preserve"> Curriculum derived from a national syllabus may carry its own terms; check before redistributing a pack to another country.</w:t>
      </w:r>
    </w:p>
    <w:p>
      <w:pPr>
        <w:pStyle w:val="ListBullet"/>
        <w:spacing w:after="60"/>
      </w:pPr>
      <w:r>
        <w:rPr>
          <w:rFonts w:ascii="Calibri" w:hAnsi="Calibri"/>
          <w:b/>
          <w:i w:val="0"/>
          <w:color w:val="1F2933"/>
          <w:sz w:val="21"/>
        </w:rPr>
        <w:t>Review throughput is the schedule.</w:t>
      </w:r>
      <w:r>
        <w:rPr>
          <w:rFonts w:ascii="Calibri" w:hAnsi="Calibri"/>
          <w:b w:val="0"/>
          <w:i w:val="0"/>
          <w:color w:val="1F2933"/>
          <w:sz w:val="21"/>
        </w:rPr>
        <w:t xml:space="preserve"> Measure it in the first fortnight — lessons reviewed per expert per day — and re-plan Phase 2 against the real number.</w:t>
      </w:r>
    </w:p>
    <w:p>
      <w:pPr>
        <w:pStyle w:val="Heading1"/>
        <w:pBdr>
          <w:bottom w:val="single" w:sz="12" w:space="6" w:color="E8590C"/>
        </w:pBdr>
      </w:pPr>
      <w:r>
        <w:t>D.  National structures: grades, schools, terminology, thresholds</w:t>
      </w:r>
    </w:p>
    <w:p>
      <w:pPr>
        <w:spacing w:after="140"/>
      </w:pPr>
      <w:r>
        <w:rPr>
          <w:rFonts w:ascii="Calibri" w:hAnsi="Calibri"/>
          <w:b w:val="0"/>
          <w:i w:val="0"/>
          <w:color w:val="1F2933"/>
          <w:sz w:val="21"/>
        </w:rPr>
        <w:t>All of the following is configuration held in the platform, editable by a super-administrator. None of it requires a code change or a migration.</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814"/>
            <w:shd w:val="clear" w:fill="1F2933"/>
          </w:tcPr>
          <w:p>
            <w:pPr>
              <w:spacing w:after="40" w:before="40"/>
            </w:pPr>
            <w:r/>
            <w:r>
              <w:rPr>
                <w:rFonts w:ascii="Calibri" w:hAnsi="Calibri"/>
                <w:b/>
                <w:i w:val="0"/>
                <w:color w:val="FFFFFF"/>
                <w:sz w:val="17"/>
              </w:rPr>
              <w:t>Setting</w:t>
            </w:r>
          </w:p>
        </w:tc>
        <w:tc>
          <w:tcPr>
            <w:tcW w:type="dxa" w:w="5216"/>
            <w:shd w:val="clear" w:fill="1F2933"/>
          </w:tcPr>
          <w:p>
            <w:pPr>
              <w:spacing w:after="40" w:before="40"/>
            </w:pPr>
            <w:r/>
            <w:r>
              <w:rPr>
                <w:rFonts w:ascii="Calibri" w:hAnsi="Calibri"/>
                <w:b/>
                <w:i w:val="0"/>
                <w:color w:val="FFFFFF"/>
                <w:sz w:val="17"/>
              </w:rPr>
              <w:t>What it does</w:t>
            </w:r>
          </w:p>
        </w:tc>
        <w:tc>
          <w:tcPr>
            <w:tcW w:type="dxa" w:w="2381"/>
            <w:shd w:val="clear" w:fill="1F2933"/>
          </w:tcPr>
          <w:p>
            <w:pPr>
              <w:spacing w:after="40" w:before="40"/>
            </w:pPr>
            <w:r/>
            <w:r>
              <w:rPr>
                <w:rFonts w:ascii="Calibri" w:hAnsi="Calibri"/>
                <w:b/>
                <w:i w:val="0"/>
                <w:color w:val="FFFFFF"/>
                <w:sz w:val="17"/>
              </w:rPr>
              <w:t>Example</w:t>
            </w:r>
          </w:p>
        </w:tc>
      </w:tr>
      <w:tr>
        <w:trPr>
          <w:cantSplit/>
        </w:trPr>
        <w:tc>
          <w:tcPr>
            <w:tcW w:type="dxa" w:w="1814"/>
          </w:tcPr>
          <w:p>
            <w:pPr>
              <w:spacing w:after="40" w:before="40"/>
            </w:pPr>
            <w:r/>
            <w:r>
              <w:rPr>
                <w:rFonts w:ascii="Calibri" w:hAnsi="Calibri"/>
                <w:b w:val="0"/>
                <w:i w:val="0"/>
                <w:color w:val="1F2933"/>
                <w:sz w:val="17"/>
              </w:rPr>
              <w:t>Grade list</w:t>
            </w:r>
          </w:p>
        </w:tc>
        <w:tc>
          <w:tcPr>
            <w:tcW w:type="dxa" w:w="5216"/>
          </w:tcPr>
          <w:p>
            <w:pPr>
              <w:spacing w:after="40" w:before="40"/>
            </w:pPr>
            <w:r/>
            <w:r>
              <w:rPr>
                <w:rFonts w:ascii="Calibri" w:hAnsi="Calibri"/>
                <w:b w:val="0"/>
                <w:i w:val="0"/>
                <w:color w:val="1F2933"/>
                <w:sz w:val="17"/>
              </w:rPr>
              <w:t>The grade codes and labels students see and courses are matched against. Deliberately not a fixed set — grade structures are country-specific.</w:t>
            </w:r>
          </w:p>
        </w:tc>
        <w:tc>
          <w:tcPr>
            <w:tcW w:type="dxa" w:w="2381"/>
          </w:tcPr>
          <w:p>
            <w:pPr>
              <w:spacing w:after="40" w:before="40"/>
            </w:pPr>
            <w:r/>
            <w:r>
              <w:rPr>
                <w:rFonts w:ascii="Calibri" w:hAnsi="Calibri"/>
                <w:b w:val="0"/>
                <w:i w:val="0"/>
                <w:color w:val="1F2933"/>
                <w:sz w:val="17"/>
              </w:rPr>
              <w:t>S1–S5 in the tested deployment</w:t>
            </w:r>
          </w:p>
        </w:tc>
      </w:tr>
      <w:tr>
        <w:trPr>
          <w:cantSplit/>
        </w:trPr>
        <w:tc>
          <w:tcPr>
            <w:tcW w:type="dxa" w:w="1814"/>
            <w:shd w:val="clear" w:fill="F4F6F8"/>
          </w:tcPr>
          <w:p>
            <w:pPr>
              <w:spacing w:after="40" w:before="40"/>
            </w:pPr>
            <w:r/>
            <w:r>
              <w:rPr>
                <w:rFonts w:ascii="Calibri" w:hAnsi="Calibri"/>
                <w:b w:val="0"/>
                <w:i w:val="0"/>
                <w:color w:val="1F2933"/>
                <w:sz w:val="17"/>
              </w:rPr>
              <w:t>School register</w:t>
            </w:r>
          </w:p>
        </w:tc>
        <w:tc>
          <w:tcPr>
            <w:tcW w:type="dxa" w:w="5216"/>
            <w:shd w:val="clear" w:fill="F4F6F8"/>
          </w:tcPr>
          <w:p>
            <w:pPr>
              <w:spacing w:after="40" w:before="40"/>
            </w:pPr>
            <w:r/>
            <w:r>
              <w:rPr>
                <w:rFonts w:ascii="Calibri" w:hAnsi="Calibri"/>
                <w:b w:val="0"/>
                <w:i w:val="0"/>
                <w:color w:val="1F2933"/>
                <w:sz w:val="17"/>
              </w:rPr>
              <w:t>The list of schools a student can belong to; each school is also an institution for data scoping</w:t>
            </w:r>
          </w:p>
        </w:tc>
        <w:tc>
          <w:tcPr>
            <w:tcW w:type="dxa" w:w="2381"/>
            <w:shd w:val="clear" w:fill="F4F6F8"/>
          </w:tcPr>
          <w:p>
            <w:pPr>
              <w:spacing w:after="40" w:before="40"/>
            </w:pPr>
            <w:r/>
            <w:r>
              <w:rPr>
                <w:rFonts w:ascii="Calibri" w:hAnsi="Calibri"/>
                <w:b w:val="0"/>
                <w:i w:val="0"/>
                <w:color w:val="1F2933"/>
                <w:sz w:val="17"/>
              </w:rPr>
              <w:t>National secondary school list</w:t>
            </w:r>
          </w:p>
        </w:tc>
      </w:tr>
      <w:tr>
        <w:trPr>
          <w:cantSplit/>
        </w:trPr>
        <w:tc>
          <w:tcPr>
            <w:tcW w:type="dxa" w:w="1814"/>
          </w:tcPr>
          <w:p>
            <w:pPr>
              <w:spacing w:after="40" w:before="40"/>
            </w:pPr>
            <w:r/>
            <w:r>
              <w:rPr>
                <w:rFonts w:ascii="Calibri" w:hAnsi="Calibri"/>
                <w:b w:val="0"/>
                <w:i w:val="0"/>
                <w:color w:val="1F2933"/>
                <w:sz w:val="17"/>
              </w:rPr>
              <w:t>Platform terminology</w:t>
            </w:r>
          </w:p>
        </w:tc>
        <w:tc>
          <w:tcPr>
            <w:tcW w:type="dxa" w:w="5216"/>
          </w:tcPr>
          <w:p>
            <w:pPr>
              <w:spacing w:after="40" w:before="40"/>
            </w:pPr>
            <w:r/>
            <w:r>
              <w:rPr>
                <w:rFonts w:ascii="Calibri" w:hAnsi="Calibri"/>
                <w:b w:val="0"/>
                <w:i w:val="0"/>
                <w:color w:val="1F2933"/>
                <w:sz w:val="17"/>
              </w:rPr>
              <w:t>The words the interface uses for platform concepts, per language</w:t>
            </w:r>
          </w:p>
        </w:tc>
        <w:tc>
          <w:tcPr>
            <w:tcW w:type="dxa" w:w="2381"/>
          </w:tcPr>
          <w:p>
            <w:pPr>
              <w:spacing w:after="40" w:before="40"/>
            </w:pPr>
            <w:r/>
            <w:r>
              <w:rPr>
                <w:rFonts w:ascii="Calibri" w:hAnsi="Calibri"/>
                <w:b w:val="0"/>
                <w:i w:val="0"/>
                <w:color w:val="1F2933"/>
                <w:sz w:val="17"/>
              </w:rPr>
              <w:t>The local word for "class" or "form"</w:t>
            </w:r>
          </w:p>
        </w:tc>
      </w:tr>
      <w:tr>
        <w:trPr>
          <w:cantSplit/>
        </w:trPr>
        <w:tc>
          <w:tcPr>
            <w:tcW w:type="dxa" w:w="1814"/>
            <w:shd w:val="clear" w:fill="F4F6F8"/>
          </w:tcPr>
          <w:p>
            <w:pPr>
              <w:spacing w:after="40" w:before="40"/>
            </w:pPr>
            <w:r/>
            <w:r>
              <w:rPr>
                <w:rFonts w:ascii="Calibri" w:hAnsi="Calibri"/>
                <w:b w:val="0"/>
                <w:i w:val="0"/>
                <w:color w:val="1F2933"/>
                <w:sz w:val="17"/>
              </w:rPr>
              <w:t>Competency bands</w:t>
            </w:r>
          </w:p>
        </w:tc>
        <w:tc>
          <w:tcPr>
            <w:tcW w:type="dxa" w:w="5216"/>
            <w:shd w:val="clear" w:fill="F4F6F8"/>
          </w:tcPr>
          <w:p>
            <w:pPr>
              <w:spacing w:after="40" w:before="40"/>
            </w:pPr>
            <w:r/>
            <w:r>
              <w:rPr>
                <w:rFonts w:ascii="Calibri" w:hAnsi="Calibri"/>
                <w:b w:val="0"/>
                <w:i w:val="0"/>
                <w:color w:val="1F2933"/>
                <w:sz w:val="17"/>
              </w:rPr>
              <w:t>The thresholds for Below, Approaching, Meeting and Exceeding Expectation, and the point at which the system advises a teacher to move the class on</w:t>
            </w:r>
          </w:p>
        </w:tc>
        <w:tc>
          <w:tcPr>
            <w:tcW w:type="dxa" w:w="2381"/>
            <w:shd w:val="clear" w:fill="F4F6F8"/>
          </w:tcPr>
          <w:p>
            <w:pPr>
              <w:spacing w:after="40" w:before="40"/>
            </w:pPr>
            <w:r/>
            <w:r>
              <w:rPr>
                <w:rFonts w:ascii="Calibri" w:hAnsi="Calibri"/>
                <w:b w:val="0"/>
                <w:i w:val="0"/>
                <w:color w:val="1F2933"/>
                <w:sz w:val="17"/>
              </w:rPr>
              <w:t>Defaults: &lt;50, 50–79, 80+, and a time-based Exceeding band</w:t>
            </w:r>
          </w:p>
        </w:tc>
      </w:tr>
      <w:tr>
        <w:trPr>
          <w:cantSplit/>
        </w:trPr>
        <w:tc>
          <w:tcPr>
            <w:tcW w:type="dxa" w:w="1814"/>
          </w:tcPr>
          <w:p>
            <w:pPr>
              <w:spacing w:after="40" w:before="40"/>
            </w:pPr>
            <w:r/>
            <w:r>
              <w:rPr>
                <w:rFonts w:ascii="Calibri" w:hAnsi="Calibri"/>
                <w:b w:val="0"/>
                <w:i w:val="0"/>
                <w:color w:val="1F2933"/>
                <w:sz w:val="17"/>
              </w:rPr>
              <w:t>Branding</w:t>
            </w:r>
          </w:p>
        </w:tc>
        <w:tc>
          <w:tcPr>
            <w:tcW w:type="dxa" w:w="5216"/>
          </w:tcPr>
          <w:p>
            <w:pPr>
              <w:spacing w:after="40" w:before="40"/>
            </w:pPr>
            <w:r/>
            <w:r>
              <w:rPr>
                <w:rFonts w:ascii="Calibri" w:hAnsi="Calibri"/>
                <w:b w:val="0"/>
                <w:i w:val="0"/>
                <w:color w:val="1F2933"/>
                <w:sz w:val="17"/>
              </w:rPr>
              <w:t>Platform name, logo and the three interface colours</w:t>
            </w:r>
          </w:p>
        </w:tc>
        <w:tc>
          <w:tcPr>
            <w:tcW w:type="dxa" w:w="2381"/>
          </w:tcPr>
          <w:p>
            <w:pPr>
              <w:spacing w:after="40" w:before="40"/>
            </w:pPr>
            <w:r/>
            <w:r>
              <w:rPr>
                <w:rFonts w:ascii="Calibri" w:hAnsi="Calibri"/>
                <w:b w:val="0"/>
                <w:i w:val="0"/>
                <w:color w:val="1F2933"/>
                <w:sz w:val="17"/>
              </w:rPr>
              <w:t>Ministry branding</w:t>
            </w:r>
          </w:p>
        </w:tc>
      </w:tr>
      <w:tr>
        <w:trPr>
          <w:cantSplit/>
        </w:trPr>
        <w:tc>
          <w:tcPr>
            <w:tcW w:type="dxa" w:w="1814"/>
            <w:shd w:val="clear" w:fill="F4F6F8"/>
          </w:tcPr>
          <w:p>
            <w:pPr>
              <w:spacing w:after="40" w:before="40"/>
            </w:pPr>
            <w:r/>
            <w:r>
              <w:rPr>
                <w:rFonts w:ascii="Calibri" w:hAnsi="Calibri"/>
                <w:b w:val="0"/>
                <w:i w:val="0"/>
                <w:color w:val="1F2933"/>
                <w:sz w:val="17"/>
              </w:rPr>
              <w:t>Teacher permissions</w:t>
            </w:r>
          </w:p>
        </w:tc>
        <w:tc>
          <w:tcPr>
            <w:tcW w:type="dxa" w:w="5216"/>
            <w:shd w:val="clear" w:fill="F4F6F8"/>
          </w:tcPr>
          <w:p>
            <w:pPr>
              <w:spacing w:after="40" w:before="40"/>
            </w:pPr>
            <w:r/>
            <w:r>
              <w:rPr>
                <w:rFonts w:ascii="Calibri" w:hAnsi="Calibri"/>
                <w:b w:val="0"/>
                <w:i w:val="0"/>
                <w:color w:val="1F2933"/>
                <w:sz w:val="17"/>
              </w:rPr>
              <w:t>Three independent gates: edit and publish content, upload curriculum, regenerate a whole course. All off by default — uploads and regeneration are destructive.</w:t>
            </w:r>
          </w:p>
        </w:tc>
        <w:tc>
          <w:tcPr>
            <w:tcW w:type="dxa" w:w="2381"/>
            <w:shd w:val="clear" w:fill="F4F6F8"/>
          </w:tcPr>
          <w:p>
            <w:pPr>
              <w:spacing w:after="40" w:before="40"/>
            </w:pPr>
            <w:r/>
            <w:r>
              <w:rPr>
                <w:rFonts w:ascii="Calibri" w:hAnsi="Calibri"/>
                <w:b w:val="0"/>
                <w:i w:val="0"/>
                <w:color w:val="1F2933"/>
                <w:sz w:val="17"/>
              </w:rPr>
              <w:t>Open editing to teachers, keep uploads with the ministry</w:t>
            </w:r>
          </w:p>
        </w:tc>
      </w:tr>
      <w:tr>
        <w:trPr>
          <w:cantSplit/>
        </w:trPr>
        <w:tc>
          <w:tcPr>
            <w:tcW w:type="dxa" w:w="1814"/>
          </w:tcPr>
          <w:p>
            <w:pPr>
              <w:spacing w:after="40" w:before="40"/>
            </w:pPr>
            <w:r/>
            <w:r>
              <w:rPr>
                <w:rFonts w:ascii="Calibri" w:hAnsi="Calibri"/>
                <w:b w:val="0"/>
                <w:i w:val="0"/>
                <w:color w:val="1F2933"/>
                <w:sz w:val="17"/>
              </w:rPr>
              <w:t>Session mode (per school)</w:t>
            </w:r>
          </w:p>
        </w:tc>
        <w:tc>
          <w:tcPr>
            <w:tcW w:type="dxa" w:w="5216"/>
          </w:tcPr>
          <w:p>
            <w:pPr>
              <w:spacing w:after="40" w:before="40"/>
            </w:pPr>
            <w:r/>
            <w:r>
              <w:rPr>
                <w:rFonts w:ascii="Calibri" w:hAnsi="Calibri"/>
                <w:b w:val="0"/>
                <w:i w:val="0"/>
                <w:color w:val="1F2933"/>
                <w:sz w:val="17"/>
              </w:rPr>
              <w:t>Shared device with paired students, or individual accounts. Set per school, because device ratios differ per school.</w:t>
            </w:r>
          </w:p>
        </w:tc>
        <w:tc>
          <w:tcPr>
            <w:tcW w:type="dxa" w:w="2381"/>
          </w:tcPr>
          <w:p>
            <w:pPr>
              <w:spacing w:after="40" w:before="40"/>
            </w:pPr>
            <w:r/>
            <w:r>
              <w:rPr>
                <w:rFonts w:ascii="Calibri" w:hAnsi="Calibri"/>
                <w:b w:val="0"/>
                <w:i w:val="0"/>
                <w:color w:val="1F2933"/>
                <w:sz w:val="17"/>
              </w:rPr>
              <w:t>Shared in a lab, individual in a 1:1 school</w:t>
            </w:r>
          </w:p>
        </w:tc>
      </w:tr>
      <w:tr>
        <w:trPr>
          <w:cantSplit/>
        </w:trPr>
        <w:tc>
          <w:tcPr>
            <w:tcW w:type="dxa" w:w="1814"/>
            <w:shd w:val="clear" w:fill="F4F6F8"/>
          </w:tcPr>
          <w:p>
            <w:pPr>
              <w:spacing w:after="40" w:before="40"/>
            </w:pPr>
            <w:r/>
            <w:r>
              <w:rPr>
                <w:rFonts w:ascii="Calibri" w:hAnsi="Calibri"/>
                <w:b w:val="0"/>
                <w:i w:val="0"/>
                <w:color w:val="1F2933"/>
                <w:sz w:val="17"/>
              </w:rPr>
              <w:t>Default language (per school)</w:t>
            </w:r>
          </w:p>
        </w:tc>
        <w:tc>
          <w:tcPr>
            <w:tcW w:type="dxa" w:w="5216"/>
            <w:shd w:val="clear" w:fill="F4F6F8"/>
          </w:tcPr>
          <w:p>
            <w:pPr>
              <w:spacing w:after="40" w:before="40"/>
            </w:pPr>
            <w:r/>
            <w:r>
              <w:rPr>
                <w:rFonts w:ascii="Calibri" w:hAnsi="Calibri"/>
                <w:b w:val="0"/>
                <w:i w:val="0"/>
                <w:color w:val="1F2933"/>
                <w:sz w:val="17"/>
              </w:rPr>
              <w:t>The interface language for that school's users, unless a student overrides it or a course wins</w:t>
            </w:r>
          </w:p>
        </w:tc>
        <w:tc>
          <w:tcPr>
            <w:tcW w:type="dxa" w:w="2381"/>
            <w:shd w:val="clear" w:fill="F4F6F8"/>
          </w:tcPr>
          <w:p>
            <w:pPr>
              <w:spacing w:after="40" w:before="40"/>
            </w:pPr>
            <w:r/>
            <w:r>
              <w:rPr>
                <w:rFonts w:ascii="Calibri" w:hAnsi="Calibri"/>
                <w:b w:val="0"/>
                <w:i w:val="0"/>
                <w:color w:val="1F2933"/>
                <w:sz w:val="17"/>
              </w:rPr>
              <w:t>The school's own language code</w:t>
            </w:r>
          </w:p>
        </w:tc>
      </w:tr>
    </w:tbl>
    <w:p>
      <w:pPr>
        <w:spacing w:after="40"/>
      </w:pP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THE MULTI-TENANCY INVARIANT</w:t>
            </w:r>
          </w:p>
          <w:p>
            <w:pPr>
              <w:spacing w:after="100"/>
            </w:pPr>
            <w:r>
              <w:rPr>
                <w:rFonts w:ascii="Calibri" w:hAnsi="Calibri"/>
                <w:b w:val="0"/>
                <w:i w:val="0"/>
                <w:color w:val="1F2933"/>
                <w:sz w:val="19"/>
              </w:rPr>
              <w:t>Every query that touches user data is scoped to an institution, with platform-wide content included through an explicit "this school or everyone" filter. A national instance runs every school as an institution and shares one national curriculum at the platform-wide tier. Any new query that forgets the scope is a cross-school data leak, which is why it is enforced as a codebase-wide rule with tests rather than left to review.</w:t>
            </w:r>
          </w:p>
        </w:tc>
      </w:tr>
    </w:tbl>
    <w:p>
      <w:pPr>
        <w:spacing w:after="40"/>
      </w:pPr>
    </w:p>
    <w:p>
      <w:pPr>
        <w:pStyle w:val="Heading1"/>
        <w:pBdr>
          <w:bottom w:val="single" w:sz="12" w:space="6" w:color="E8590C"/>
        </w:pBdr>
      </w:pPr>
      <w:r>
        <w:t>E.  Hosting the platform</w:t>
      </w:r>
    </w:p>
    <w:p>
      <w:pPr>
        <w:spacing w:after="140"/>
      </w:pPr>
      <w:r>
        <w:rPr>
          <w:rFonts w:ascii="Calibri" w:hAnsi="Calibri"/>
          <w:b w:val="0"/>
          <w:i w:val="0"/>
          <w:color w:val="1F2933"/>
          <w:sz w:val="21"/>
        </w:rPr>
        <w:t>Three supported paths for a server deployment, plus two offline shapes. All of them run the same application; they differ in who operates the machine underneath it and how much of the surrounding plumbing arrives with it. What follows is the operative detail — the self-hosting manual ships with the application and stays authoritative if the two ever disagree.</w:t>
      </w:r>
    </w:p>
    <w:p>
      <w:pPr>
        <w:pStyle w:val="Heading2"/>
      </w:pPr>
      <w:r>
        <w:t>Choosing a path</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2353"/>
        <w:gridCol w:w="2353"/>
        <w:gridCol w:w="2353"/>
        <w:gridCol w:w="2353"/>
      </w:tblGrid>
      <w:tr>
        <w:trPr>
          <w:tblHeader w:val="true"/>
          <w:cantSplit/>
        </w:trPr>
        <w:tc>
          <w:tcPr>
            <w:tcW w:type="dxa" w:w="1474"/>
            <w:shd w:val="clear" w:fill="1F2933"/>
          </w:tcPr>
          <w:p>
            <w:pPr>
              <w:spacing w:after="40" w:before="40"/>
            </w:pPr>
            <w:r/>
          </w:p>
        </w:tc>
        <w:tc>
          <w:tcPr>
            <w:tcW w:type="dxa" w:w="2494"/>
            <w:shd w:val="clear" w:fill="1F2933"/>
          </w:tcPr>
          <w:p>
            <w:pPr>
              <w:spacing w:after="40" w:before="40"/>
            </w:pPr>
            <w:r/>
            <w:r>
              <w:rPr>
                <w:rFonts w:ascii="Calibri" w:hAnsi="Calibri"/>
                <w:b/>
                <w:i w:val="0"/>
                <w:color w:val="FFFFFF"/>
                <w:sz w:val="17"/>
              </w:rPr>
              <w:t>A — your own server</w:t>
            </w:r>
          </w:p>
        </w:tc>
        <w:tc>
          <w:tcPr>
            <w:tcW w:type="dxa" w:w="2608"/>
            <w:shd w:val="clear" w:fill="1F2933"/>
          </w:tcPr>
          <w:p>
            <w:pPr>
              <w:spacing w:after="40" w:before="40"/>
            </w:pPr>
            <w:r/>
            <w:r>
              <w:rPr>
                <w:rFonts w:ascii="Calibri" w:hAnsi="Calibri"/>
                <w:b/>
                <w:i w:val="0"/>
                <w:color w:val="FFFFFF"/>
                <w:sz w:val="17"/>
              </w:rPr>
              <w:t>B — your own AWS account</w:t>
            </w:r>
          </w:p>
        </w:tc>
        <w:tc>
          <w:tcPr>
            <w:tcW w:type="dxa" w:w="2835"/>
            <w:shd w:val="clear" w:fill="1F2933"/>
          </w:tcPr>
          <w:p>
            <w:pPr>
              <w:spacing w:after="40" w:before="40"/>
            </w:pPr>
            <w:r/>
            <w:r>
              <w:rPr>
                <w:rFonts w:ascii="Calibri" w:hAnsi="Calibri"/>
                <w:b/>
                <w:i w:val="0"/>
                <w:color w:val="FFFFFF"/>
                <w:sz w:val="17"/>
              </w:rPr>
              <w:t>C — pip, no Docker</w:t>
            </w:r>
          </w:p>
        </w:tc>
      </w:tr>
      <w:tr>
        <w:trPr>
          <w:cantSplit/>
        </w:trPr>
        <w:tc>
          <w:tcPr>
            <w:tcW w:type="dxa" w:w="1474"/>
          </w:tcPr>
          <w:p>
            <w:pPr>
              <w:spacing w:after="40" w:before="40"/>
            </w:pPr>
            <w:r/>
            <w:r>
              <w:rPr>
                <w:rFonts w:ascii="Calibri" w:hAnsi="Calibri"/>
                <w:b w:val="0"/>
                <w:i w:val="0"/>
                <w:color w:val="1F2933"/>
                <w:sz w:val="17"/>
              </w:rPr>
              <w:t>You provide</w:t>
            </w:r>
          </w:p>
        </w:tc>
        <w:tc>
          <w:tcPr>
            <w:tcW w:type="dxa" w:w="2494"/>
          </w:tcPr>
          <w:p>
            <w:pPr>
              <w:spacing w:after="40" w:before="40"/>
            </w:pPr>
            <w:r/>
            <w:r>
              <w:rPr>
                <w:rFonts w:ascii="Calibri" w:hAnsi="Calibri"/>
                <w:b w:val="0"/>
                <w:i w:val="0"/>
                <w:color w:val="1F2933"/>
                <w:sz w:val="17"/>
              </w:rPr>
              <w:t>One Linux server, a domain</w:t>
            </w:r>
          </w:p>
        </w:tc>
        <w:tc>
          <w:tcPr>
            <w:tcW w:type="dxa" w:w="2608"/>
          </w:tcPr>
          <w:p>
            <w:pPr>
              <w:spacing w:after="40" w:before="40"/>
            </w:pPr>
            <w:r/>
            <w:r>
              <w:rPr>
                <w:rFonts w:ascii="Calibri" w:hAnsi="Calibri"/>
                <w:b w:val="0"/>
                <w:i w:val="0"/>
                <w:color w:val="1F2933"/>
                <w:sz w:val="17"/>
              </w:rPr>
              <w:t>An AWS account, a domain</w:t>
            </w:r>
          </w:p>
        </w:tc>
        <w:tc>
          <w:tcPr>
            <w:tcW w:type="dxa" w:w="2835"/>
          </w:tcPr>
          <w:p>
            <w:pPr>
              <w:spacing w:after="40" w:before="40"/>
            </w:pPr>
            <w:r/>
            <w:r>
              <w:rPr>
                <w:rFonts w:ascii="Calibri" w:hAnsi="Calibri"/>
                <w:b w:val="0"/>
                <w:i w:val="0"/>
                <w:color w:val="1F2933"/>
                <w:sz w:val="17"/>
              </w:rPr>
              <w:t>A Linux server, a domain, Python 3.12+</w:t>
            </w:r>
          </w:p>
        </w:tc>
      </w:tr>
      <w:tr>
        <w:trPr>
          <w:cantSplit/>
        </w:trPr>
        <w:tc>
          <w:tcPr>
            <w:tcW w:type="dxa" w:w="1474"/>
            <w:shd w:val="clear" w:fill="F4F6F8"/>
          </w:tcPr>
          <w:p>
            <w:pPr>
              <w:spacing w:after="40" w:before="40"/>
            </w:pPr>
            <w:r/>
            <w:r>
              <w:rPr>
                <w:rFonts w:ascii="Calibri" w:hAnsi="Calibri"/>
                <w:b w:val="0"/>
                <w:i w:val="0"/>
                <w:color w:val="1F2933"/>
                <w:sz w:val="17"/>
              </w:rPr>
              <w:t>Source needed</w:t>
            </w:r>
          </w:p>
        </w:tc>
        <w:tc>
          <w:tcPr>
            <w:tcW w:type="dxa" w:w="2494"/>
            <w:shd w:val="clear" w:fill="F4F6F8"/>
          </w:tcPr>
          <w:p>
            <w:pPr>
              <w:spacing w:after="40" w:before="40"/>
            </w:pPr>
            <w:r/>
            <w:r>
              <w:rPr>
                <w:rFonts w:ascii="Calibri" w:hAnsi="Calibri"/>
                <w:b w:val="0"/>
                <w:i w:val="0"/>
                <w:color w:val="1F2933"/>
                <w:sz w:val="17"/>
              </w:rPr>
              <w:t>No — the published image is enough</w:t>
            </w:r>
          </w:p>
        </w:tc>
        <w:tc>
          <w:tcPr>
            <w:tcW w:type="dxa" w:w="2608"/>
            <w:shd w:val="clear" w:fill="F4F6F8"/>
          </w:tcPr>
          <w:p>
            <w:pPr>
              <w:spacing w:after="40" w:before="40"/>
            </w:pPr>
            <w:r/>
            <w:r>
              <w:rPr>
                <w:rFonts w:ascii="Calibri" w:hAnsi="Calibri"/>
                <w:b w:val="0"/>
                <w:i w:val="0"/>
                <w:color w:val="1F2933"/>
                <w:sz w:val="17"/>
              </w:rPr>
              <w:t>Yes, for the Pulumi program</w:t>
            </w:r>
          </w:p>
        </w:tc>
        <w:tc>
          <w:tcPr>
            <w:tcW w:type="dxa" w:w="2835"/>
            <w:shd w:val="clear" w:fill="F4F6F8"/>
          </w:tcPr>
          <w:p>
            <w:pPr>
              <w:spacing w:after="40" w:before="40"/>
            </w:pPr>
            <w:r/>
            <w:r>
              <w:rPr>
                <w:rFonts w:ascii="Calibri" w:hAnsi="Calibri"/>
                <w:b w:val="0"/>
                <w:i w:val="0"/>
                <w:color w:val="1F2933"/>
                <w:sz w:val="17"/>
              </w:rPr>
              <w:t>No — the wheel is enough</w:t>
            </w:r>
          </w:p>
        </w:tc>
      </w:tr>
      <w:tr>
        <w:trPr>
          <w:cantSplit/>
        </w:trPr>
        <w:tc>
          <w:tcPr>
            <w:tcW w:type="dxa" w:w="1474"/>
          </w:tcPr>
          <w:p>
            <w:pPr>
              <w:spacing w:after="40" w:before="40"/>
            </w:pPr>
            <w:r/>
            <w:r>
              <w:rPr>
                <w:rFonts w:ascii="Calibri" w:hAnsi="Calibri"/>
                <w:b w:val="0"/>
                <w:i w:val="0"/>
                <w:color w:val="1F2933"/>
                <w:sz w:val="17"/>
              </w:rPr>
              <w:t>Runs on</w:t>
            </w:r>
          </w:p>
        </w:tc>
        <w:tc>
          <w:tcPr>
            <w:tcW w:type="dxa" w:w="2494"/>
          </w:tcPr>
          <w:p>
            <w:pPr>
              <w:spacing w:after="40" w:before="40"/>
            </w:pPr>
            <w:r/>
            <w:r>
              <w:rPr>
                <w:rFonts w:ascii="Calibri" w:hAnsi="Calibri"/>
                <w:b w:val="0"/>
                <w:i w:val="0"/>
                <w:color w:val="1F2933"/>
                <w:sz w:val="17"/>
              </w:rPr>
              <w:t>Docker Compose</w:t>
            </w:r>
          </w:p>
        </w:tc>
        <w:tc>
          <w:tcPr>
            <w:tcW w:type="dxa" w:w="2608"/>
          </w:tcPr>
          <w:p>
            <w:pPr>
              <w:spacing w:after="40" w:before="40"/>
            </w:pPr>
            <w:r/>
            <w:r>
              <w:rPr>
                <w:rFonts w:ascii="Calibri" w:hAnsi="Calibri"/>
                <w:b w:val="0"/>
                <w:i w:val="0"/>
                <w:color w:val="1F2933"/>
                <w:sz w:val="17"/>
              </w:rPr>
              <w:t>ECS Fargate + RDS, built by Pulumi</w:t>
            </w:r>
          </w:p>
        </w:tc>
        <w:tc>
          <w:tcPr>
            <w:tcW w:type="dxa" w:w="2835"/>
          </w:tcPr>
          <w:p>
            <w:pPr>
              <w:spacing w:after="40" w:before="40"/>
            </w:pPr>
            <w:r/>
            <w:r>
              <w:rPr>
                <w:rFonts w:ascii="Calibri" w:hAnsi="Calibri"/>
                <w:b w:val="0"/>
                <w:i w:val="0"/>
                <w:color w:val="1F2933"/>
                <w:sz w:val="17"/>
              </w:rPr>
              <w:t>systemd + gunicorn</w:t>
            </w:r>
          </w:p>
        </w:tc>
      </w:tr>
      <w:tr>
        <w:trPr>
          <w:cantSplit/>
        </w:trPr>
        <w:tc>
          <w:tcPr>
            <w:tcW w:type="dxa" w:w="1474"/>
            <w:shd w:val="clear" w:fill="F4F6F8"/>
          </w:tcPr>
          <w:p>
            <w:pPr>
              <w:spacing w:after="40" w:before="40"/>
            </w:pPr>
            <w:r/>
            <w:r>
              <w:rPr>
                <w:rFonts w:ascii="Calibri" w:hAnsi="Calibri"/>
                <w:b w:val="0"/>
                <w:i w:val="0"/>
                <w:color w:val="1F2933"/>
                <w:sz w:val="17"/>
              </w:rPr>
              <w:t>Database</w:t>
            </w:r>
          </w:p>
        </w:tc>
        <w:tc>
          <w:tcPr>
            <w:tcW w:type="dxa" w:w="2494"/>
            <w:shd w:val="clear" w:fill="F4F6F8"/>
          </w:tcPr>
          <w:p>
            <w:pPr>
              <w:spacing w:after="40" w:before="40"/>
            </w:pPr>
            <w:r/>
            <w:r>
              <w:rPr>
                <w:rFonts w:ascii="Calibri" w:hAnsi="Calibri"/>
                <w:b w:val="0"/>
                <w:i w:val="0"/>
                <w:color w:val="1F2933"/>
                <w:sz w:val="17"/>
              </w:rPr>
              <w:t>Bundled Postgres container</w:t>
            </w:r>
          </w:p>
        </w:tc>
        <w:tc>
          <w:tcPr>
            <w:tcW w:type="dxa" w:w="2608"/>
            <w:shd w:val="clear" w:fill="F4F6F8"/>
          </w:tcPr>
          <w:p>
            <w:pPr>
              <w:spacing w:after="40" w:before="40"/>
            </w:pPr>
            <w:r/>
            <w:r>
              <w:rPr>
                <w:rFonts w:ascii="Calibri" w:hAnsi="Calibri"/>
                <w:b w:val="0"/>
                <w:i w:val="0"/>
                <w:color w:val="1F2933"/>
                <w:sz w:val="17"/>
              </w:rPr>
              <w:t>RDS, managed</w:t>
            </w:r>
          </w:p>
        </w:tc>
        <w:tc>
          <w:tcPr>
            <w:tcW w:type="dxa" w:w="2835"/>
            <w:shd w:val="clear" w:fill="F4F6F8"/>
          </w:tcPr>
          <w:p>
            <w:pPr>
              <w:spacing w:after="40" w:before="40"/>
            </w:pPr>
            <w:r/>
            <w:r>
              <w:rPr>
                <w:rFonts w:ascii="Calibri" w:hAnsi="Calibri"/>
                <w:b w:val="0"/>
                <w:i w:val="0"/>
                <w:color w:val="1F2933"/>
                <w:sz w:val="17"/>
              </w:rPr>
              <w:t>You install and run Postgres</w:t>
            </w:r>
          </w:p>
        </w:tc>
      </w:tr>
      <w:tr>
        <w:trPr>
          <w:cantSplit/>
        </w:trPr>
        <w:tc>
          <w:tcPr>
            <w:tcW w:type="dxa" w:w="1474"/>
          </w:tcPr>
          <w:p>
            <w:pPr>
              <w:spacing w:after="40" w:before="40"/>
            </w:pPr>
            <w:r/>
            <w:r>
              <w:rPr>
                <w:rFonts w:ascii="Calibri" w:hAnsi="Calibri"/>
                <w:b w:val="0"/>
                <w:i w:val="0"/>
                <w:color w:val="1F2933"/>
                <w:sz w:val="17"/>
              </w:rPr>
              <w:t>TLS</w:t>
            </w:r>
          </w:p>
        </w:tc>
        <w:tc>
          <w:tcPr>
            <w:tcW w:type="dxa" w:w="2494"/>
          </w:tcPr>
          <w:p>
            <w:pPr>
              <w:spacing w:after="40" w:before="40"/>
            </w:pPr>
            <w:r/>
            <w:r>
              <w:rPr>
                <w:rFonts w:ascii="Calibri" w:hAnsi="Calibri"/>
                <w:b w:val="0"/>
                <w:i w:val="0"/>
                <w:color w:val="1F2933"/>
                <w:sz w:val="17"/>
              </w:rPr>
              <w:t>Automatic, via Caddy</w:t>
            </w:r>
          </w:p>
        </w:tc>
        <w:tc>
          <w:tcPr>
            <w:tcW w:type="dxa" w:w="2608"/>
          </w:tcPr>
          <w:p>
            <w:pPr>
              <w:spacing w:after="40" w:before="40"/>
            </w:pPr>
            <w:r/>
            <w:r>
              <w:rPr>
                <w:rFonts w:ascii="Calibri" w:hAnsi="Calibri"/>
                <w:b w:val="0"/>
                <w:i w:val="0"/>
                <w:color w:val="1F2933"/>
                <w:sz w:val="17"/>
              </w:rPr>
              <w:t>Automatic, via ACM</w:t>
            </w:r>
          </w:p>
        </w:tc>
        <w:tc>
          <w:tcPr>
            <w:tcW w:type="dxa" w:w="2835"/>
          </w:tcPr>
          <w:p>
            <w:pPr>
              <w:spacing w:after="40" w:before="40"/>
            </w:pPr>
            <w:r/>
            <w:r>
              <w:rPr>
                <w:rFonts w:ascii="Calibri" w:hAnsi="Calibri"/>
                <w:b w:val="0"/>
                <w:i w:val="0"/>
                <w:color w:val="1F2933"/>
                <w:sz w:val="17"/>
              </w:rPr>
              <w:t>You run a reverse proxy</w:t>
            </w:r>
          </w:p>
        </w:tc>
      </w:tr>
      <w:tr>
        <w:trPr>
          <w:cantSplit/>
        </w:trPr>
        <w:tc>
          <w:tcPr>
            <w:tcW w:type="dxa" w:w="1474"/>
            <w:shd w:val="clear" w:fill="F4F6F8"/>
          </w:tcPr>
          <w:p>
            <w:pPr>
              <w:spacing w:after="40" w:before="40"/>
            </w:pPr>
            <w:r/>
            <w:r>
              <w:rPr>
                <w:rFonts w:ascii="Calibri" w:hAnsi="Calibri"/>
                <w:b w:val="0"/>
                <w:i w:val="0"/>
                <w:color w:val="1F2933"/>
                <w:sz w:val="17"/>
              </w:rPr>
              <w:t>Monthly cost</w:t>
            </w:r>
          </w:p>
        </w:tc>
        <w:tc>
          <w:tcPr>
            <w:tcW w:type="dxa" w:w="2494"/>
            <w:shd w:val="clear" w:fill="F4F6F8"/>
          </w:tcPr>
          <w:p>
            <w:pPr>
              <w:spacing w:after="40" w:before="40"/>
            </w:pPr>
            <w:r/>
            <w:r>
              <w:rPr>
                <w:rFonts w:ascii="Calibri" w:hAnsi="Calibri"/>
                <w:b w:val="0"/>
                <w:i w:val="0"/>
                <w:color w:val="1F2933"/>
                <w:sz w:val="17"/>
              </w:rPr>
              <w:t>Server + model usage</w:t>
            </w:r>
          </w:p>
        </w:tc>
        <w:tc>
          <w:tcPr>
            <w:tcW w:type="dxa" w:w="2608"/>
            <w:shd w:val="clear" w:fill="F4F6F8"/>
          </w:tcPr>
          <w:p>
            <w:pPr>
              <w:spacing w:after="40" w:before="40"/>
            </w:pPr>
            <w:r/>
            <w:r>
              <w:rPr>
                <w:rFonts w:ascii="Calibri" w:hAnsi="Calibri"/>
                <w:b w:val="0"/>
                <w:i w:val="0"/>
                <w:color w:val="1F2933"/>
                <w:sz w:val="17"/>
              </w:rPr>
              <w:t>≈ $259 infrastructure + model usage</w:t>
            </w:r>
          </w:p>
        </w:tc>
        <w:tc>
          <w:tcPr>
            <w:tcW w:type="dxa" w:w="2835"/>
            <w:shd w:val="clear" w:fill="F4F6F8"/>
          </w:tcPr>
          <w:p>
            <w:pPr>
              <w:spacing w:after="40" w:before="40"/>
            </w:pPr>
            <w:r/>
            <w:r>
              <w:rPr>
                <w:rFonts w:ascii="Calibri" w:hAnsi="Calibri"/>
                <w:b w:val="0"/>
                <w:i w:val="0"/>
                <w:color w:val="1F2933"/>
                <w:sz w:val="17"/>
              </w:rPr>
              <w:t>Server + model usage</w:t>
            </w:r>
          </w:p>
        </w:tc>
      </w:tr>
      <w:tr>
        <w:trPr>
          <w:cantSplit/>
        </w:trPr>
        <w:tc>
          <w:tcPr>
            <w:tcW w:type="dxa" w:w="1474"/>
          </w:tcPr>
          <w:p>
            <w:pPr>
              <w:spacing w:after="40" w:before="40"/>
            </w:pPr>
            <w:r/>
            <w:r>
              <w:rPr>
                <w:rFonts w:ascii="Calibri" w:hAnsi="Calibri"/>
                <w:b w:val="0"/>
                <w:i w:val="0"/>
                <w:color w:val="1F2933"/>
                <w:sz w:val="17"/>
              </w:rPr>
              <w:t>Scales to</w:t>
            </w:r>
          </w:p>
        </w:tc>
        <w:tc>
          <w:tcPr>
            <w:tcW w:type="dxa" w:w="2494"/>
          </w:tcPr>
          <w:p>
            <w:pPr>
              <w:spacing w:after="40" w:before="40"/>
            </w:pPr>
            <w:r/>
            <w:r>
              <w:rPr>
                <w:rFonts w:ascii="Calibri" w:hAnsi="Calibri"/>
                <w:b w:val="0"/>
                <w:i w:val="0"/>
                <w:color w:val="1F2933"/>
                <w:sz w:val="17"/>
              </w:rPr>
              <w:t>A few thousand students on one box</w:t>
            </w:r>
          </w:p>
        </w:tc>
        <w:tc>
          <w:tcPr>
            <w:tcW w:type="dxa" w:w="2608"/>
          </w:tcPr>
          <w:p>
            <w:pPr>
              <w:spacing w:after="40" w:before="40"/>
            </w:pPr>
            <w:r/>
            <w:r>
              <w:rPr>
                <w:rFonts w:ascii="Calibri" w:hAnsi="Calibri"/>
                <w:b w:val="0"/>
                <w:i w:val="0"/>
                <w:color w:val="1F2933"/>
                <w:sz w:val="17"/>
              </w:rPr>
              <w:t>Autoscales; add tasks and database size</w:t>
            </w:r>
          </w:p>
        </w:tc>
        <w:tc>
          <w:tcPr>
            <w:tcW w:type="dxa" w:w="2835"/>
          </w:tcPr>
          <w:p>
            <w:pPr>
              <w:spacing w:after="40" w:before="40"/>
            </w:pPr>
            <w:r/>
            <w:r>
              <w:rPr>
                <w:rFonts w:ascii="Calibri" w:hAnsi="Calibri"/>
                <w:b w:val="0"/>
                <w:i w:val="0"/>
                <w:color w:val="1F2933"/>
                <w:sz w:val="17"/>
              </w:rPr>
              <w:t>A few thousand students on one box</w:t>
            </w:r>
          </w:p>
        </w:tc>
      </w:tr>
      <w:tr>
        <w:trPr>
          <w:cantSplit/>
        </w:trPr>
        <w:tc>
          <w:tcPr>
            <w:tcW w:type="dxa" w:w="1474"/>
            <w:shd w:val="clear" w:fill="F4F6F8"/>
          </w:tcPr>
          <w:p>
            <w:pPr>
              <w:spacing w:after="40" w:before="40"/>
            </w:pPr>
            <w:r/>
            <w:r>
              <w:rPr>
                <w:rFonts w:ascii="Calibri" w:hAnsi="Calibri"/>
                <w:b w:val="0"/>
                <w:i w:val="0"/>
                <w:color w:val="1F2933"/>
                <w:sz w:val="17"/>
              </w:rPr>
              <w:t>Who patches the OS</w:t>
            </w:r>
          </w:p>
        </w:tc>
        <w:tc>
          <w:tcPr>
            <w:tcW w:type="dxa" w:w="2494"/>
            <w:shd w:val="clear" w:fill="F4F6F8"/>
          </w:tcPr>
          <w:p>
            <w:pPr>
              <w:spacing w:after="40" w:before="40"/>
            </w:pPr>
            <w:r/>
            <w:r>
              <w:rPr>
                <w:rFonts w:ascii="Calibri" w:hAnsi="Calibri"/>
                <w:b w:val="0"/>
                <w:i w:val="0"/>
                <w:color w:val="1F2933"/>
                <w:sz w:val="17"/>
              </w:rPr>
              <w:t>You</w:t>
            </w:r>
          </w:p>
        </w:tc>
        <w:tc>
          <w:tcPr>
            <w:tcW w:type="dxa" w:w="2608"/>
            <w:shd w:val="clear" w:fill="F4F6F8"/>
          </w:tcPr>
          <w:p>
            <w:pPr>
              <w:spacing w:after="40" w:before="40"/>
            </w:pPr>
            <w:r/>
            <w:r>
              <w:rPr>
                <w:rFonts w:ascii="Calibri" w:hAnsi="Calibri"/>
                <w:b w:val="0"/>
                <w:i w:val="0"/>
                <w:color w:val="1F2933"/>
                <w:sz w:val="17"/>
              </w:rPr>
              <w:t>AWS</w:t>
            </w:r>
          </w:p>
        </w:tc>
        <w:tc>
          <w:tcPr>
            <w:tcW w:type="dxa" w:w="2835"/>
            <w:shd w:val="clear" w:fill="F4F6F8"/>
          </w:tcPr>
          <w:p>
            <w:pPr>
              <w:spacing w:after="40" w:before="40"/>
            </w:pPr>
            <w:r/>
            <w:r>
              <w:rPr>
                <w:rFonts w:ascii="Calibri" w:hAnsi="Calibri"/>
                <w:b w:val="0"/>
                <w:i w:val="0"/>
                <w:color w:val="1F2933"/>
                <w:sz w:val="17"/>
              </w:rPr>
              <w:t>You</w:t>
            </w:r>
          </w:p>
        </w:tc>
      </w:tr>
      <w:tr>
        <w:trPr>
          <w:cantSplit/>
        </w:trPr>
        <w:tc>
          <w:tcPr>
            <w:tcW w:type="dxa" w:w="1474"/>
          </w:tcPr>
          <w:p>
            <w:pPr>
              <w:spacing w:after="40" w:before="40"/>
            </w:pPr>
            <w:r/>
            <w:r>
              <w:rPr>
                <w:rFonts w:ascii="Calibri" w:hAnsi="Calibri"/>
                <w:b w:val="0"/>
                <w:i w:val="0"/>
                <w:color w:val="1F2933"/>
                <w:sz w:val="17"/>
              </w:rPr>
              <w:t>If the machine dies</w:t>
            </w:r>
          </w:p>
        </w:tc>
        <w:tc>
          <w:tcPr>
            <w:tcW w:type="dxa" w:w="2494"/>
          </w:tcPr>
          <w:p>
            <w:pPr>
              <w:spacing w:after="40" w:before="40"/>
            </w:pPr>
            <w:r/>
            <w:r>
              <w:rPr>
                <w:rFonts w:ascii="Calibri" w:hAnsi="Calibri"/>
                <w:b w:val="0"/>
                <w:i w:val="0"/>
                <w:color w:val="1F2933"/>
                <w:sz w:val="17"/>
              </w:rPr>
              <w:t>You restore from backup</w:t>
            </w:r>
          </w:p>
        </w:tc>
        <w:tc>
          <w:tcPr>
            <w:tcW w:type="dxa" w:w="2608"/>
          </w:tcPr>
          <w:p>
            <w:pPr>
              <w:spacing w:after="40" w:before="40"/>
            </w:pPr>
            <w:r/>
            <w:r>
              <w:rPr>
                <w:rFonts w:ascii="Calibri" w:hAnsi="Calibri"/>
                <w:b w:val="0"/>
                <w:i w:val="0"/>
                <w:color w:val="1F2933"/>
                <w:sz w:val="17"/>
              </w:rPr>
              <w:t>Redeploy; the database is separate</w:t>
            </w:r>
          </w:p>
        </w:tc>
        <w:tc>
          <w:tcPr>
            <w:tcW w:type="dxa" w:w="2835"/>
          </w:tcPr>
          <w:p>
            <w:pPr>
              <w:spacing w:after="40" w:before="40"/>
            </w:pPr>
            <w:r/>
            <w:r>
              <w:rPr>
                <w:rFonts w:ascii="Calibri" w:hAnsi="Calibri"/>
                <w:b w:val="0"/>
                <w:i w:val="0"/>
                <w:color w:val="1F2933"/>
                <w:sz w:val="17"/>
              </w:rPr>
              <w:t>You restore from backup</w:t>
            </w:r>
          </w:p>
        </w:tc>
      </w:tr>
      <w:tr>
        <w:trPr>
          <w:cantSplit/>
        </w:trPr>
        <w:tc>
          <w:tcPr>
            <w:tcW w:type="dxa" w:w="1474"/>
            <w:shd w:val="clear" w:fill="F4F6F8"/>
          </w:tcPr>
          <w:p>
            <w:pPr>
              <w:spacing w:after="40" w:before="40"/>
            </w:pPr>
            <w:r/>
            <w:r>
              <w:rPr>
                <w:rFonts w:ascii="Calibri" w:hAnsi="Calibri"/>
                <w:b w:val="0"/>
                <w:i w:val="0"/>
                <w:color w:val="1F2933"/>
                <w:sz w:val="17"/>
              </w:rPr>
              <w:t>Set-up time</w:t>
            </w:r>
          </w:p>
        </w:tc>
        <w:tc>
          <w:tcPr>
            <w:tcW w:type="dxa" w:w="2494"/>
            <w:shd w:val="clear" w:fill="F4F6F8"/>
          </w:tcPr>
          <w:p>
            <w:pPr>
              <w:spacing w:after="40" w:before="40"/>
            </w:pPr>
            <w:r/>
            <w:r>
              <w:rPr>
                <w:rFonts w:ascii="Calibri" w:hAnsi="Calibri"/>
                <w:b w:val="0"/>
                <w:i w:val="0"/>
                <w:color w:val="1F2933"/>
                <w:sz w:val="17"/>
              </w:rPr>
              <w:t>An afternoon</w:t>
            </w:r>
          </w:p>
        </w:tc>
        <w:tc>
          <w:tcPr>
            <w:tcW w:type="dxa" w:w="2608"/>
            <w:shd w:val="clear" w:fill="F4F6F8"/>
          </w:tcPr>
          <w:p>
            <w:pPr>
              <w:spacing w:after="40" w:before="40"/>
            </w:pPr>
            <w:r/>
            <w:r>
              <w:rPr>
                <w:rFonts w:ascii="Calibri" w:hAnsi="Calibri"/>
                <w:b w:val="0"/>
                <w:i w:val="0"/>
                <w:color w:val="1F2933"/>
                <w:sz w:val="17"/>
              </w:rPr>
              <w:t>A day, plus DNS propagation</w:t>
            </w:r>
          </w:p>
        </w:tc>
        <w:tc>
          <w:tcPr>
            <w:tcW w:type="dxa" w:w="2835"/>
            <w:shd w:val="clear" w:fill="F4F6F8"/>
          </w:tcPr>
          <w:p>
            <w:pPr>
              <w:spacing w:after="40" w:before="40"/>
            </w:pPr>
            <w:r/>
            <w:r>
              <w:rPr>
                <w:rFonts w:ascii="Calibri" w:hAnsi="Calibri"/>
                <w:b w:val="0"/>
                <w:i w:val="0"/>
                <w:color w:val="1F2933"/>
                <w:sz w:val="17"/>
              </w:rPr>
              <w:t>An afternoon, if Postgres is familiar</w:t>
            </w:r>
          </w:p>
        </w:tc>
      </w:tr>
    </w:tbl>
    <w:p>
      <w:pPr>
        <w:spacing w:after="40"/>
      </w:pPr>
    </w:p>
    <w:p>
      <w:pPr>
        <w:pStyle w:val="ListBullet"/>
        <w:spacing w:after="60"/>
      </w:pPr>
      <w:r>
        <w:rPr>
          <w:rFonts w:ascii="Calibri" w:hAnsi="Calibri"/>
          <w:b/>
          <w:i w:val="0"/>
          <w:color w:val="1F2933"/>
          <w:sz w:val="21"/>
        </w:rPr>
        <w:t>Choose A</w:t>
      </w:r>
      <w:r>
        <w:rPr>
          <w:rFonts w:ascii="Calibri" w:hAnsi="Calibri"/>
          <w:b w:val="0"/>
          <w:i w:val="0"/>
          <w:color w:val="1F2933"/>
          <w:sz w:val="21"/>
        </w:rPr>
        <w:t xml:space="preserve"> if you have a server or a data-centre requirement, or you want the whole system inside one machine you can point at. It is the simpler thing to understand and the cheaper thing to run.</w:t>
      </w:r>
    </w:p>
    <w:p>
      <w:pPr>
        <w:pStyle w:val="ListBullet"/>
        <w:spacing w:after="60"/>
      </w:pPr>
      <w:r>
        <w:rPr>
          <w:rFonts w:ascii="Calibri" w:hAnsi="Calibri"/>
          <w:b/>
          <w:i w:val="0"/>
          <w:color w:val="1F2933"/>
          <w:sz w:val="21"/>
        </w:rPr>
        <w:t>Choose B</w:t>
      </w:r>
      <w:r>
        <w:rPr>
          <w:rFonts w:ascii="Calibri" w:hAnsi="Calibri"/>
          <w:b w:val="0"/>
          <w:i w:val="0"/>
          <w:color w:val="1F2933"/>
          <w:sz w:val="21"/>
        </w:rPr>
        <w:t xml:space="preserve"> if you already operate in AWS, need it to survive a machine failure without anyone intervening, or expect to grow past one server.</w:t>
      </w:r>
    </w:p>
    <w:p>
      <w:pPr>
        <w:pStyle w:val="ListBullet"/>
        <w:spacing w:after="60"/>
      </w:pPr>
      <w:r>
        <w:rPr>
          <w:rFonts w:ascii="Calibri" w:hAnsi="Calibri"/>
          <w:b/>
          <w:i w:val="0"/>
          <w:color w:val="1F2933"/>
          <w:sz w:val="21"/>
        </w:rPr>
        <w:t>Choose C only if you cannot run containers</w:t>
      </w:r>
      <w:r>
        <w:rPr>
          <w:rFonts w:ascii="Calibri" w:hAnsi="Calibri"/>
          <w:b w:val="0"/>
          <w:i w:val="0"/>
          <w:color w:val="1F2933"/>
          <w:sz w:val="21"/>
        </w:rPr>
        <w:t xml:space="preserve"> — a policy that forbids Docker, or a managed Python estate you have to fit into. It installs the same application from a wheel, but the database, TLS and process supervision that Path A hands you in one command all become yours to assemble.</w:t>
      </w:r>
    </w:p>
    <w:p>
      <w:pPr>
        <w:spacing w:after="140"/>
      </w:pPr>
      <w:r>
        <w:rPr>
          <w:rFonts w:ascii="Calibri" w:hAnsi="Calibri"/>
          <w:b w:val="0"/>
          <w:i w:val="0"/>
          <w:color w:val="1F2933"/>
          <w:sz w:val="21"/>
        </w:rPr>
        <w:t>None of them changes what the tutor does, or where the model runs. That is section 5.</w:t>
      </w:r>
    </w:p>
    <w:p>
      <w:pPr>
        <w:pStyle w:val="Heading2"/>
      </w:pPr>
      <w:r>
        <w:t>Path A — one server</w:t>
      </w:r>
    </w:p>
    <w:p>
      <w:pPr>
        <w:spacing w:after="140"/>
      </w:pPr>
      <w:r>
        <w:rPr>
          <w:rFonts w:ascii="Calibri" w:hAnsi="Calibri"/>
          <w:b w:val="0"/>
          <w:i w:val="0"/>
          <w:color w:val="1F2933"/>
          <w:sz w:val="21"/>
        </w:rPr>
        <w:t>Three containers, two volumes, one server. The knowledge base is stored as vectors inside Postgres, so there is no separate vector database to run.</w:t>
      </w:r>
    </w:p>
    <w:p>
      <w:pPr>
        <w:spacing w:after="120"/>
        <w:ind w:left="283"/>
      </w:pPr>
      <w:r>
        <w:rPr>
          <w:rFonts w:ascii="Courier New" w:hAnsi="Courier New" w:eastAsia="Courier New"/>
          <w:color w:val="333D47"/>
          <w:sz w:val="17"/>
        </w:rPr>
        <w:t xml:space="preserve">        Internet</w:t>
        <w:br/>
        <w:t xml:space="preserve">            │</w:t>
        <w:br/>
        <w:t xml:space="preserve">          Caddy            TLS terminates here; the certificate is</w:t>
        <w:br/>
        <w:t xml:space="preserve">            │              obtained and renewed automatically</w:t>
        <w:br/>
        <w:t xml:space="preserve">            ▼</w:t>
        <w:br/>
        <w:t xml:space="preserve">     Django + Gunicorn  ── media volume (uploaded figures)</w:t>
        <w:br/>
        <w:t xml:space="preserve">            │</w:t>
        <w:br/>
        <w:t xml:space="preserve">            ▼</w:t>
        <w:br/>
        <w:t xml:space="preserve">   PostgreSQL + pgvector ── data volume</w:t>
      </w:r>
    </w:p>
    <w:p>
      <w:pPr>
        <w:pStyle w:val="Heading3"/>
      </w:pPr>
      <w:r>
        <w:t>What you need</w:t>
      </w:r>
    </w:p>
    <w:p>
      <w:pPr>
        <w:pStyle w:val="ListBullet"/>
        <w:spacing w:after="60"/>
      </w:pPr>
      <w:r>
        <w:rPr>
          <w:rFonts w:ascii="Calibri" w:hAnsi="Calibri"/>
          <w:b w:val="0"/>
          <w:i w:val="0"/>
          <w:color w:val="1F2933"/>
          <w:sz w:val="21"/>
        </w:rPr>
        <w:t xml:space="preserve">A Linux server: </w:t>
      </w:r>
      <w:r>
        <w:rPr>
          <w:rFonts w:ascii="Calibri" w:hAnsi="Calibri"/>
          <w:b/>
          <w:i w:val="0"/>
          <w:color w:val="1F2933"/>
          <w:sz w:val="21"/>
        </w:rPr>
        <w:t>4 vCPU, 8 GB RAM, 60 GB disk</w:t>
      </w:r>
      <w:r>
        <w:rPr>
          <w:rFonts w:ascii="Calibri" w:hAnsi="Calibri"/>
          <w:b w:val="0"/>
          <w:i w:val="0"/>
          <w:color w:val="1F2933"/>
          <w:sz w:val="21"/>
        </w:rPr>
        <w:t xml:space="preserve">. x86-64 or ARM both work. A 2 GB VPS will not run this — the image is about </w:t>
      </w:r>
      <w:r>
        <w:rPr>
          <w:rFonts w:ascii="Calibri" w:hAnsi="Calibri"/>
          <w:b/>
          <w:i w:val="0"/>
          <w:color w:val="1F2933"/>
          <w:sz w:val="21"/>
        </w:rPr>
        <w:t>7 GB</w:t>
      </w:r>
      <w:r>
        <w:rPr>
          <w:rFonts w:ascii="Calibri" w:hAnsi="Calibri"/>
          <w:b w:val="0"/>
          <w:i w:val="0"/>
          <w:color w:val="1F2933"/>
          <w:sz w:val="21"/>
        </w:rPr>
        <w:t>, carrying a CPU build of PyTorch, a speech recognition model and a voice.</w:t>
      </w:r>
    </w:p>
    <w:p>
      <w:pPr>
        <w:pStyle w:val="ListBullet"/>
        <w:spacing w:after="60"/>
      </w:pPr>
      <w:r>
        <w:rPr>
          <w:rFonts w:ascii="Calibri" w:hAnsi="Calibri"/>
          <w:b w:val="0"/>
          <w:i w:val="0"/>
          <w:color w:val="1F2933"/>
          <w:sz w:val="21"/>
        </w:rPr>
        <w:t xml:space="preserve">If you build rather than pull, budget </w:t>
      </w:r>
      <w:r>
        <w:rPr>
          <w:rFonts w:ascii="Calibri" w:hAnsi="Calibri"/>
          <w:b/>
          <w:i w:val="0"/>
          <w:color w:val="1F2933"/>
          <w:sz w:val="21"/>
        </w:rPr>
        <w:t>25 GB free</w:t>
      </w:r>
      <w:r>
        <w:rPr>
          <w:rFonts w:ascii="Calibri" w:hAnsi="Calibri"/>
          <w:b w:val="0"/>
          <w:i w:val="0"/>
          <w:color w:val="1F2933"/>
          <w:sz w:val="21"/>
        </w:rPr>
        <w:t>: the layer cache is comfortably larger than the result.</w:t>
      </w:r>
    </w:p>
    <w:p>
      <w:pPr>
        <w:pStyle w:val="ListBullet"/>
        <w:spacing w:after="60"/>
      </w:pPr>
      <w:r>
        <w:rPr>
          <w:rFonts w:ascii="Calibri" w:hAnsi="Calibri"/>
          <w:b/>
          <w:i w:val="0"/>
          <w:color w:val="1F2933"/>
          <w:sz w:val="21"/>
        </w:rPr>
        <w:t>Docker</w:t>
      </w:r>
      <w:r>
        <w:rPr>
          <w:rFonts w:ascii="Calibri" w:hAnsi="Calibri"/>
          <w:b w:val="0"/>
          <w:i w:val="0"/>
          <w:color w:val="1F2933"/>
          <w:sz w:val="21"/>
        </w:rPr>
        <w:t xml:space="preserve"> and the </w:t>
      </w:r>
      <w:r>
        <w:rPr>
          <w:rFonts w:ascii="Calibri" w:hAnsi="Calibri"/>
          <w:b/>
          <w:i w:val="0"/>
          <w:color w:val="1F2933"/>
          <w:sz w:val="21"/>
        </w:rPr>
        <w:t>Compose plugin</w:t>
      </w:r>
      <w:r>
        <w:rPr>
          <w:rFonts w:ascii="Calibri" w:hAnsi="Calibri"/>
          <w:b w:val="0"/>
          <w:i w:val="0"/>
          <w:color w:val="1F2933"/>
          <w:sz w:val="21"/>
        </w:rPr>
        <w:t>.</w:t>
      </w:r>
    </w:p>
    <w:p>
      <w:pPr>
        <w:pStyle w:val="ListBullet"/>
        <w:spacing w:after="60"/>
      </w:pPr>
      <w:r>
        <w:rPr>
          <w:rFonts w:ascii="Calibri" w:hAnsi="Calibri"/>
          <w:b w:val="0"/>
          <w:i w:val="0"/>
          <w:color w:val="1F2933"/>
          <w:sz w:val="21"/>
        </w:rPr>
        <w:t xml:space="preserve">A </w:t>
      </w:r>
      <w:r>
        <w:rPr>
          <w:rFonts w:ascii="Calibri" w:hAnsi="Calibri"/>
          <w:b/>
          <w:i w:val="0"/>
          <w:color w:val="1F2933"/>
          <w:sz w:val="21"/>
        </w:rPr>
        <w:t>domain name</w:t>
      </w:r>
      <w:r>
        <w:rPr>
          <w:rFonts w:ascii="Calibri" w:hAnsi="Calibri"/>
          <w:b w:val="0"/>
          <w:i w:val="0"/>
          <w:color w:val="1F2933"/>
          <w:sz w:val="21"/>
        </w:rPr>
        <w:t xml:space="preserve"> pointing at the server's public IP, with ports 80 and 443 reachable. HTTPS cannot be issued without it.</w:t>
      </w:r>
    </w:p>
    <w:p>
      <w:pPr>
        <w:pStyle w:val="ListBullet"/>
        <w:spacing w:after="60"/>
      </w:pPr>
      <w:r>
        <w:rPr>
          <w:rFonts w:ascii="Calibri" w:hAnsi="Calibri"/>
          <w:b w:val="0"/>
          <w:i w:val="0"/>
          <w:color w:val="1F2933"/>
          <w:sz w:val="21"/>
        </w:rPr>
        <w:t xml:space="preserve">At least one </w:t>
      </w:r>
      <w:r>
        <w:rPr>
          <w:rFonts w:ascii="Calibri" w:hAnsi="Calibri"/>
          <w:b/>
          <w:i w:val="0"/>
          <w:color w:val="1F2933"/>
          <w:sz w:val="21"/>
        </w:rPr>
        <w:t>model provider API key</w:t>
      </w:r>
      <w:r>
        <w:rPr>
          <w:rFonts w:ascii="Calibri" w:hAnsi="Calibri"/>
          <w:b w:val="0"/>
          <w:i w:val="0"/>
          <w:color w:val="1F2933"/>
          <w:sz w:val="21"/>
        </w:rPr>
        <w:t xml:space="preserve"> — or none, if you use the bundled local model below.</w:t>
      </w:r>
    </w:p>
    <w:p>
      <w:pPr>
        <w:pStyle w:val="Heading3"/>
      </w:pPr>
      <w:r>
        <w:t>Install</w:t>
      </w:r>
    </w:p>
    <w:p>
      <w:pPr>
        <w:spacing w:after="140"/>
      </w:pPr>
      <w:r>
        <w:rPr>
          <w:rFonts w:ascii="Calibri" w:hAnsi="Calibri"/>
          <w:b w:val="0"/>
          <w:i w:val="0"/>
          <w:color w:val="1F2933"/>
          <w:sz w:val="21"/>
        </w:rPr>
        <w:t>You need five files: the compose definition, the TLS configuration, a configuration template and the backup and restore scripts. Take them out of the published image — no source code, no repository access, and they cannot be a version out of step with the image they configure.</w:t>
      </w:r>
    </w:p>
    <w:p>
      <w:pPr>
        <w:spacing w:after="120"/>
        <w:ind w:left="283"/>
      </w:pPr>
      <w:r>
        <w:rPr>
          <w:rFonts w:ascii="Courier New" w:hAnsi="Courier New" w:eastAsia="Courier New"/>
          <w:color w:val="333D47"/>
          <w:sz w:val="17"/>
        </w:rPr>
        <w:t>mkdir -p ai-tutor &amp;&amp; cd ai-tutor</w:t>
        <w:br/>
        <w:br/>
        <w:t>docker run --rm ghcr.io/eai6/ai-tutor:latest \</w:t>
        <w:br/>
        <w:t xml:space="preserve">  tar -C /app/deploy/compose -c \</w:t>
        <w:br/>
        <w:t xml:space="preserve">      docker-compose.yml Caddyfile env.example backup.sh restore.sh | tar -x</w:t>
        <w:br/>
        <w:br/>
        <w:t>cp env.example .env</w:t>
        <w:br/>
        <w:t>chmod 600 .env</w:t>
      </w:r>
    </w:p>
    <w:p>
      <w:pPr>
        <w:spacing w:after="140"/>
      </w:pPr>
      <w:r>
        <w:rPr>
          <w:rFonts w:ascii="Calibri" w:hAnsi="Calibri"/>
          <w:b w:val="0"/>
          <w:i w:val="0"/>
          <w:color w:val="1F2933"/>
          <w:sz w:val="21"/>
        </w:rPr>
        <w:t xml:space="preserve">Open </w:t>
      </w:r>
      <w:r>
        <w:rPr>
          <w:rFonts w:ascii="Courier New" w:hAnsi="Courier New" w:eastAsia="Courier New"/>
          <w:b w:val="0"/>
          <w:i w:val="0"/>
          <w:color w:val="1F2933"/>
          <w:sz w:val="19"/>
        </w:rPr>
        <w:t>.env</w:t>
      </w:r>
      <w:r>
        <w:rPr>
          <w:rFonts w:ascii="Calibri" w:hAnsi="Calibri"/>
          <w:b w:val="0"/>
          <w:i w:val="0"/>
          <w:color w:val="1F2933"/>
          <w:sz w:val="21"/>
        </w:rPr>
        <w:t xml:space="preserve"> and fill in everything marked REQUIRED; each entry says what it is and what breaks without it. Generate the two secrets rather than inventing them:</w:t>
      </w:r>
    </w:p>
    <w:p>
      <w:pPr>
        <w:spacing w:after="120"/>
        <w:ind w:left="283"/>
      </w:pPr>
      <w:r>
        <w:rPr>
          <w:rFonts w:ascii="Courier New" w:hAnsi="Courier New" w:eastAsia="Courier New"/>
          <w:color w:val="333D47"/>
          <w:sz w:val="17"/>
        </w:rPr>
        <w:t>python3 -c "import secrets; print(secrets.token_urlsafe(64))"   # SECRET_KEY</w:t>
        <w:br/>
        <w:t>python3 -c "import secrets; print(secrets.token_urlsafe(32))"   # POSTGRES_PASSWORD</w:t>
      </w:r>
    </w:p>
    <w:p>
      <w:pPr>
        <w:spacing w:after="140"/>
      </w:pPr>
      <w:r>
        <w:rPr>
          <w:rFonts w:ascii="Calibri" w:hAnsi="Calibri"/>
          <w:b w:val="0"/>
          <w:i w:val="0"/>
          <w:color w:val="1F2933"/>
          <w:sz w:val="21"/>
        </w:rPr>
        <w:t>Then pull the image and start:</w:t>
      </w:r>
    </w:p>
    <w:p>
      <w:pPr>
        <w:spacing w:after="120"/>
        <w:ind w:left="283"/>
      </w:pPr>
      <w:r>
        <w:rPr>
          <w:rFonts w:ascii="Courier New" w:hAnsi="Courier New" w:eastAsia="Courier New"/>
          <w:color w:val="333D47"/>
          <w:sz w:val="17"/>
        </w:rPr>
        <w:t>docker compose pull        # ~7 GB, once</w:t>
        <w:br/>
        <w:t>docker compose up -d</w:t>
        <w:br/>
        <w:t>docker compose logs -f app</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PULL BEFORE UP</w:t>
            </w:r>
          </w:p>
          <w:p>
            <w:pPr>
              <w:spacing w:after="100"/>
            </w:pPr>
            <w:r>
              <w:rPr>
                <w:rFonts w:ascii="Calibri" w:hAnsi="Calibri"/>
                <w:b w:val="0"/>
                <w:i w:val="0"/>
                <w:color w:val="1F2933"/>
                <w:sz w:val="19"/>
              </w:rPr>
              <w:t xml:space="preserve">If the image is not already on the machine, </w:t>
            </w:r>
            <w:r>
              <w:rPr>
                <w:rFonts w:ascii="Courier New" w:hAnsi="Courier New" w:eastAsia="Courier New"/>
                <w:b w:val="0"/>
                <w:i w:val="0"/>
                <w:color w:val="1F2933"/>
                <w:sz w:val="17"/>
              </w:rPr>
              <w:t>docker compose up</w:t>
            </w:r>
            <w:r>
              <w:rPr>
                <w:rFonts w:ascii="Calibri" w:hAnsi="Calibri"/>
                <w:b w:val="0"/>
                <w:i w:val="0"/>
                <w:color w:val="1F2933"/>
                <w:sz w:val="19"/>
              </w:rPr>
              <w:t xml:space="preserve"> builds it from source instead — which needs the source, about 25 GB of free disk and a good deal of time. The published image is x86-64; on an ARM server, clone the repository and run </w:t>
            </w:r>
            <w:r>
              <w:rPr>
                <w:rFonts w:ascii="Courier New" w:hAnsi="Courier New" w:eastAsia="Courier New"/>
                <w:b w:val="0"/>
                <w:i w:val="0"/>
                <w:color w:val="1F2933"/>
                <w:sz w:val="17"/>
              </w:rPr>
              <w:t>docker compose build</w:t>
            </w:r>
            <w:r>
              <w:rPr>
                <w:rFonts w:ascii="Calibri" w:hAnsi="Calibri"/>
                <w:b w:val="0"/>
                <w:i w:val="0"/>
                <w:color w:val="1F2933"/>
                <w:sz w:val="19"/>
              </w:rPr>
              <w:t>, which is also how an ARM image gets made. Nothing is pinned to an architecture.</w:t>
            </w:r>
          </w:p>
        </w:tc>
      </w:tr>
    </w:tbl>
    <w:p>
      <w:pPr>
        <w:spacing w:after="40"/>
      </w:pPr>
    </w:p>
    <w:p>
      <w:pPr>
        <w:pStyle w:val="Heading3"/>
      </w:pPr>
      <w:r>
        <w:t>Starting with no provider account at all</w:t>
      </w:r>
    </w:p>
    <w:p>
      <w:pPr>
        <w:spacing w:after="120"/>
        <w:ind w:left="283"/>
      </w:pPr>
      <w:r>
        <w:rPr>
          <w:rFonts w:ascii="Courier New" w:hAnsi="Courier New" w:eastAsia="Courier New"/>
          <w:color w:val="333D47"/>
          <w:sz w:val="17"/>
        </w:rPr>
        <w:t>docker compose --profile local-llm up -d</w:t>
      </w:r>
    </w:p>
    <w:p>
      <w:pPr>
        <w:spacing w:after="140"/>
      </w:pPr>
      <w:r>
        <w:rPr>
          <w:rFonts w:ascii="Calibri" w:hAnsi="Calibri"/>
          <w:b w:val="0"/>
          <w:i w:val="0"/>
          <w:color w:val="1F2933"/>
          <w:sz w:val="21"/>
        </w:rPr>
        <w:t>That adds a local model container, pulls a ~2.6 GB model on first start and points the tutor at it automatically. Treat it as a way to get started without a commercial account, not as an equivalent: a small local model is measurably weaker at tutoring, needs roughly 4 GB of RAM beyond the application, and is slower on a server with no GPU. Add a provider key later and restart — the local configuration steps aside on its own.</w:t>
      </w:r>
    </w:p>
    <w:p>
      <w:pPr>
        <w:pStyle w:val="Heading3"/>
      </w:pPr>
      <w:r>
        <w:t>What you get on first start</w:t>
      </w:r>
    </w:p>
    <w:p>
      <w:pPr>
        <w:spacing w:after="140"/>
      </w:pPr>
      <w:r>
        <w:rPr>
          <w:rFonts w:ascii="Calibri" w:hAnsi="Calibri"/>
          <w:b w:val="0"/>
          <w:i w:val="0"/>
          <w:color w:val="1F2933"/>
          <w:sz w:val="21"/>
        </w:rPr>
        <w:t>The image ships with a curriculum already loaded — courses, lessons, steps and exit tickets — imported the first time the container boots. Nothing is downloaded, so a first run works with no internet at all.</w:t>
      </w:r>
    </w:p>
    <w:p>
      <w:pPr>
        <w:spacing w:after="140"/>
      </w:pPr>
      <w:r>
        <w:rPr>
          <w:rFonts w:ascii="Calibri" w:hAnsi="Calibri"/>
          <w:b/>
          <w:i w:val="0"/>
          <w:color w:val="1F2933"/>
          <w:sz w:val="21"/>
        </w:rPr>
        <w:t>Figures and images are not included.</w:t>
      </w:r>
      <w:r>
        <w:rPr>
          <w:rFonts w:ascii="Calibri" w:hAnsi="Calibri"/>
          <w:b w:val="0"/>
          <w:i w:val="0"/>
          <w:color w:val="1F2933"/>
          <w:sz w:val="21"/>
        </w:rPr>
        <w:t xml:space="preserve"> They are roughly twenty times the size of the text. About three quarters of lesson steps reference a figure, so those steps read with a visible gap until you add media — by uploading your own through the teacher dashboard, or by importing a pack built with media:</w:t>
      </w:r>
    </w:p>
    <w:p>
      <w:pPr>
        <w:spacing w:after="120"/>
        <w:ind w:left="283"/>
      </w:pPr>
      <w:r>
        <w:rPr>
          <w:rFonts w:ascii="Courier New" w:hAnsi="Courier New" w:eastAsia="Courier New"/>
          <w:color w:val="333D47"/>
          <w:sz w:val="17"/>
        </w:rPr>
        <w:t># on a deployment that has the figures</w:t>
        <w:br/>
        <w:t>python manage.py build_curriculum_pack --institution &lt;id&gt; --out dist/</w:t>
        <w:br/>
        <w:br/>
        <w:t># then, on this one</w:t>
        <w:br/>
        <w:t>docker compose exec app python manage.py import_curriculum_pack /path/pack.tar.gz --force</w:t>
      </w:r>
    </w:p>
    <w:p>
      <w:pPr>
        <w:spacing w:after="140"/>
      </w:pPr>
      <w:r>
        <w:rPr>
          <w:rFonts w:ascii="Calibri" w:hAnsi="Calibri"/>
          <w:b w:val="0"/>
          <w:i w:val="0"/>
          <w:color w:val="1F2933"/>
          <w:sz w:val="21"/>
        </w:rPr>
        <w:t xml:space="preserve">First start takes several minutes: migrations, reference data and the help index. It is ready when the log shows gunicorn listening and </w:t>
      </w:r>
      <w:r>
        <w:rPr>
          <w:rFonts w:ascii="Courier New" w:hAnsi="Courier New" w:eastAsia="Courier New"/>
          <w:b w:val="0"/>
          <w:i w:val="0"/>
          <w:color w:val="1F2933"/>
          <w:sz w:val="19"/>
        </w:rPr>
        <w:t>docker compose ps</w:t>
      </w:r>
      <w:r>
        <w:rPr>
          <w:rFonts w:ascii="Calibri" w:hAnsi="Calibri"/>
          <w:b w:val="0"/>
          <w:i w:val="0"/>
          <w:color w:val="1F2933"/>
          <w:sz w:val="21"/>
        </w:rPr>
        <w:t xml:space="preserve"> reports </w:t>
      </w:r>
      <w:r>
        <w:rPr>
          <w:rFonts w:ascii="Courier New" w:hAnsi="Courier New" w:eastAsia="Courier New"/>
          <w:b w:val="0"/>
          <w:i w:val="0"/>
          <w:color w:val="1F2933"/>
          <w:sz w:val="19"/>
        </w:rPr>
        <w:t>app</w:t>
      </w:r>
      <w:r>
        <w:rPr>
          <w:rFonts w:ascii="Calibri" w:hAnsi="Calibri"/>
          <w:b w:val="0"/>
          <w:i w:val="0"/>
          <w:color w:val="1F2933"/>
          <w:sz w:val="21"/>
        </w:rPr>
        <w:t xml:space="preserve"> healthy. If a required value is missing, Compose refuses to start and names it — a half-configured server is worse than one that did not start.</w:t>
      </w:r>
    </w:p>
    <w:p>
      <w:pPr>
        <w:pStyle w:val="Heading3"/>
      </w:pPr>
      <w:r>
        <w:t>First run</w:t>
      </w:r>
    </w:p>
    <w:p>
      <w:pPr>
        <w:pStyle w:val="ListNumber"/>
        <w:spacing w:after="60"/>
      </w:pPr>
      <w:r>
        <w:rPr>
          <w:rFonts w:ascii="Calibri" w:hAnsi="Calibri"/>
          <w:b w:val="0"/>
          <w:i w:val="0"/>
          <w:color w:val="1F2933"/>
          <w:sz w:val="21"/>
        </w:rPr>
        <w:t xml:space="preserve">Create the administrator account: </w:t>
      </w:r>
      <w:r>
        <w:rPr>
          <w:rFonts w:ascii="Courier New" w:hAnsi="Courier New" w:eastAsia="Courier New"/>
          <w:b w:val="0"/>
          <w:i w:val="0"/>
          <w:color w:val="1F2933"/>
          <w:sz w:val="19"/>
        </w:rPr>
        <w:t>docker compose exec app python manage.py createsuperuser</w:t>
      </w:r>
    </w:p>
    <w:p>
      <w:pPr>
        <w:pStyle w:val="ListNumber"/>
        <w:spacing w:after="60"/>
      </w:pPr>
      <w:r>
        <w:rPr>
          <w:rFonts w:ascii="Calibri" w:hAnsi="Calibri"/>
          <w:b w:val="0"/>
          <w:i w:val="0"/>
          <w:color w:val="1F2933"/>
          <w:sz w:val="21"/>
        </w:rPr>
        <w:t xml:space="preserve">Sign in at </w:t>
      </w:r>
      <w:r>
        <w:rPr>
          <w:rFonts w:ascii="Courier New" w:hAnsi="Courier New" w:eastAsia="Courier New"/>
          <w:b w:val="0"/>
          <w:i w:val="0"/>
          <w:color w:val="1F2933"/>
          <w:sz w:val="19"/>
        </w:rPr>
        <w:t>https://&lt;your-domain&gt;/admin/</w:t>
      </w:r>
      <w:r>
        <w:rPr>
          <w:rFonts w:ascii="Calibri" w:hAnsi="Calibri"/>
          <w:b w:val="0"/>
          <w:i w:val="0"/>
          <w:color w:val="1F2933"/>
          <w:sz w:val="21"/>
        </w:rPr>
        <w:t xml:space="preserve"> and set which model serves which purpose under </w:t>
      </w:r>
      <w:r>
        <w:rPr>
          <w:rFonts w:ascii="Calibri" w:hAnsi="Calibri"/>
          <w:b/>
          <w:i w:val="0"/>
          <w:color w:val="1F2933"/>
          <w:sz w:val="21"/>
        </w:rPr>
        <w:t>LLM → Model configs</w:t>
      </w:r>
      <w:r>
        <w:rPr>
          <w:rFonts w:ascii="Calibri" w:hAnsi="Calibri"/>
          <w:b w:val="0"/>
          <w:i w:val="0"/>
          <w:color w:val="1F2933"/>
          <w:sz w:val="21"/>
        </w:rPr>
        <w:t xml:space="preserve">. Nothing works until at least </w:t>
      </w:r>
      <w:r>
        <w:rPr>
          <w:rFonts w:ascii="Courier New" w:hAnsi="Courier New" w:eastAsia="Courier New"/>
          <w:b w:val="0"/>
          <w:i w:val="0"/>
          <w:color w:val="1F2933"/>
          <w:sz w:val="19"/>
        </w:rPr>
        <w:t>tutoring</w:t>
      </w:r>
      <w:r>
        <w:rPr>
          <w:rFonts w:ascii="Calibri" w:hAnsi="Calibri"/>
          <w:b w:val="0"/>
          <w:i w:val="0"/>
          <w:color w:val="1F2933"/>
          <w:sz w:val="21"/>
        </w:rPr>
        <w:t xml:space="preserve"> points at a provider whose key you supplied.</w:t>
      </w:r>
    </w:p>
    <w:p>
      <w:pPr>
        <w:pStyle w:val="ListNumber"/>
        <w:spacing w:after="60"/>
      </w:pPr>
      <w:r>
        <w:rPr>
          <w:rFonts w:ascii="Calibri" w:hAnsi="Calibri"/>
          <w:b w:val="0"/>
          <w:i w:val="0"/>
          <w:color w:val="1F2933"/>
          <w:sz w:val="21"/>
        </w:rPr>
        <w:t>Create the institution and upload a curriculum through the teacher dashboard.</w:t>
      </w:r>
    </w:p>
    <w:p>
      <w:pPr>
        <w:pStyle w:val="ListNumber"/>
        <w:spacing w:after="60"/>
      </w:pPr>
      <w:r>
        <w:rPr>
          <w:rFonts w:ascii="Calibri" w:hAnsi="Calibri"/>
          <w:b/>
          <w:i w:val="0"/>
          <w:color w:val="1F2933"/>
          <w:sz w:val="21"/>
        </w:rPr>
        <w:t>Take one tutoring turn.</w:t>
      </w:r>
      <w:r>
        <w:rPr>
          <w:rFonts w:ascii="Calibri" w:hAnsi="Calibri"/>
          <w:b w:val="0"/>
          <w:i w:val="0"/>
          <w:color w:val="1F2933"/>
          <w:sz w:val="21"/>
        </w:rPr>
        <w:t xml:space="preserve"> This is the real test — it exercises the database, the knowledge base, the credentials and media in one action. A health check does not.</w:t>
      </w:r>
    </w:p>
    <w:p>
      <w:pPr>
        <w:pStyle w:val="Heading3"/>
      </w:pPr>
      <w:r>
        <w:t>Upgrading</w:t>
      </w:r>
    </w:p>
    <w:p>
      <w:pPr>
        <w:spacing w:after="120"/>
        <w:ind w:left="283"/>
      </w:pPr>
      <w:r>
        <w:rPr>
          <w:rFonts w:ascii="Courier New" w:hAnsi="Courier New" w:eastAsia="Courier New"/>
          <w:color w:val="333D47"/>
          <w:sz w:val="17"/>
        </w:rPr>
        <w:t>cd ai-tutor</w:t>
        <w:br/>
        <w:t>docker compose pull</w:t>
        <w:br/>
        <w:t>docker compose up -d</w:t>
      </w:r>
    </w:p>
    <w:p>
      <w:pPr>
        <w:spacing w:after="140"/>
      </w:pPr>
      <w:r>
        <w:rPr>
          <w:rFonts w:ascii="Calibri" w:hAnsi="Calibri"/>
          <w:b w:val="0"/>
          <w:i w:val="0"/>
          <w:color w:val="1F2933"/>
          <w:sz w:val="21"/>
        </w:rPr>
        <w:t xml:space="preserve">Migrations run automatically on start. </w:t>
      </w:r>
      <w:r>
        <w:rPr>
          <w:rFonts w:ascii="Calibri" w:hAnsi="Calibri"/>
          <w:b/>
          <w:i w:val="0"/>
          <w:color w:val="1F2933"/>
          <w:sz w:val="21"/>
        </w:rPr>
        <w:t>Take a backup first.</w:t>
      </w:r>
      <w:r>
        <w:rPr>
          <w:rFonts w:ascii="Calibri" w:hAnsi="Calibri"/>
          <w:b w:val="0"/>
          <w:i w:val="0"/>
          <w:color w:val="1F2933"/>
          <w:sz w:val="21"/>
        </w:rPr>
        <w:t xml:space="preserve"> To pin a version rather than track </w:t>
      </w:r>
      <w:r>
        <w:rPr>
          <w:rFonts w:ascii="Courier New" w:hAnsi="Courier New" w:eastAsia="Courier New"/>
          <w:b w:val="0"/>
          <w:i w:val="0"/>
          <w:color w:val="1F2933"/>
          <w:sz w:val="19"/>
        </w:rPr>
        <w:t>latest</w:t>
      </w:r>
      <w:r>
        <w:rPr>
          <w:rFonts w:ascii="Calibri" w:hAnsi="Calibri"/>
          <w:b w:val="0"/>
          <w:i w:val="0"/>
          <w:color w:val="1F2933"/>
          <w:sz w:val="21"/>
        </w:rPr>
        <w:t xml:space="preserve">, set </w:t>
      </w:r>
      <w:r>
        <w:rPr>
          <w:rFonts w:ascii="Courier New" w:hAnsi="Courier New" w:eastAsia="Courier New"/>
          <w:b w:val="0"/>
          <w:i w:val="0"/>
          <w:color w:val="1F2933"/>
          <w:sz w:val="19"/>
        </w:rPr>
        <w:t>IMAGE_TAG=v1.2.0</w:t>
      </w:r>
      <w:r>
        <w:rPr>
          <w:rFonts w:ascii="Calibri" w:hAnsi="Calibri"/>
          <w:b w:val="0"/>
          <w:i w:val="0"/>
          <w:color w:val="1F2933"/>
          <w:sz w:val="21"/>
        </w:rPr>
        <w:t xml:space="preserve"> in </w:t>
      </w:r>
      <w:r>
        <w:rPr>
          <w:rFonts w:ascii="Courier New" w:hAnsi="Courier New" w:eastAsia="Courier New"/>
          <w:b w:val="0"/>
          <w:i w:val="0"/>
          <w:color w:val="1F2933"/>
          <w:sz w:val="19"/>
        </w:rPr>
        <w:t>.env</w:t>
      </w:r>
      <w:r>
        <w:rPr>
          <w:rFonts w:ascii="Calibri" w:hAnsi="Calibri"/>
          <w:b w:val="0"/>
          <w:i w:val="0"/>
          <w:color w:val="1F2933"/>
          <w:sz w:val="21"/>
        </w:rPr>
        <w:t xml:space="preserve"> — pinning makes an upgrade something you choose, and a rollback a matter of changing one line.</w:t>
      </w:r>
    </w:p>
    <w:p>
      <w:pPr>
        <w:pStyle w:val="Heading2"/>
      </w:pPr>
      <w:r>
        <w:t>Path B — your own AWS account</w:t>
      </w:r>
    </w:p>
    <w:p>
      <w:pPr>
        <w:spacing w:after="140"/>
      </w:pPr>
      <w:r>
        <w:rPr>
          <w:rFonts w:ascii="Calibri" w:hAnsi="Calibri"/>
          <w:b w:val="0"/>
          <w:i w:val="0"/>
          <w:color w:val="1F2933"/>
          <w:sz w:val="21"/>
        </w:rPr>
        <w:t>DNS and a firewall in front, a load balancer terminating TLS, the application on Fargate in private subnets with no public address, a managed Postgres beside it, and outbound-only internet through a NAT gateway. The cost of this shape is in section 6.</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587"/>
            <w:shd w:val="clear" w:fill="1F2933"/>
          </w:tcPr>
          <w:p>
            <w:pPr>
              <w:spacing w:after="40" w:before="40"/>
            </w:pPr>
            <w:r/>
            <w:r>
              <w:rPr>
                <w:rFonts w:ascii="Calibri" w:hAnsi="Calibri"/>
                <w:b/>
                <w:i w:val="0"/>
                <w:color w:val="FFFFFF"/>
                <w:sz w:val="17"/>
              </w:rPr>
              <w:t>Resource</w:t>
            </w:r>
          </w:p>
        </w:tc>
        <w:tc>
          <w:tcPr>
            <w:tcW w:type="dxa" w:w="3628"/>
            <w:shd w:val="clear" w:fill="1F2933"/>
          </w:tcPr>
          <w:p>
            <w:pPr>
              <w:spacing w:after="40" w:before="40"/>
            </w:pPr>
            <w:r/>
            <w:r>
              <w:rPr>
                <w:rFonts w:ascii="Calibri" w:hAnsi="Calibri"/>
                <w:b/>
                <w:i w:val="0"/>
                <w:color w:val="FFFFFF"/>
                <w:sz w:val="17"/>
              </w:rPr>
              <w:t>What it is</w:t>
            </w:r>
          </w:p>
        </w:tc>
        <w:tc>
          <w:tcPr>
            <w:tcW w:type="dxa" w:w="4195"/>
            <w:shd w:val="clear" w:fill="1F2933"/>
          </w:tcPr>
          <w:p>
            <w:pPr>
              <w:spacing w:after="40" w:before="40"/>
            </w:pPr>
            <w:r/>
            <w:r>
              <w:rPr>
                <w:rFonts w:ascii="Calibri" w:hAnsi="Calibri"/>
                <w:b/>
                <w:i w:val="0"/>
                <w:color w:val="FFFFFF"/>
                <w:sz w:val="17"/>
              </w:rPr>
              <w:t>Why</w:t>
            </w:r>
          </w:p>
        </w:tc>
      </w:tr>
      <w:tr>
        <w:trPr>
          <w:cantSplit/>
        </w:trPr>
        <w:tc>
          <w:tcPr>
            <w:tcW w:type="dxa" w:w="1587"/>
          </w:tcPr>
          <w:p>
            <w:pPr>
              <w:spacing w:after="40" w:before="40"/>
            </w:pPr>
            <w:r/>
            <w:r>
              <w:rPr>
                <w:rFonts w:ascii="Calibri" w:hAnsi="Calibri"/>
                <w:b w:val="0"/>
                <w:i w:val="0"/>
                <w:color w:val="1F2933"/>
                <w:sz w:val="17"/>
              </w:rPr>
              <w:t>ECS Fargate</w:t>
            </w:r>
          </w:p>
        </w:tc>
        <w:tc>
          <w:tcPr>
            <w:tcW w:type="dxa" w:w="3628"/>
          </w:tcPr>
          <w:p>
            <w:pPr>
              <w:spacing w:after="40" w:before="40"/>
            </w:pPr>
            <w:r/>
            <w:r>
              <w:rPr>
                <w:rFonts w:ascii="Calibri" w:hAnsi="Calibri"/>
                <w:b w:val="0"/>
                <w:i w:val="0"/>
                <w:color w:val="1F2933"/>
                <w:sz w:val="17"/>
              </w:rPr>
              <w:t>Runs the container: 4 vCPU / 8 GB, 1 task, autoscaling to 4</w:t>
            </w:r>
          </w:p>
        </w:tc>
        <w:tc>
          <w:tcPr>
            <w:tcW w:type="dxa" w:w="4195"/>
          </w:tcPr>
          <w:p>
            <w:pPr>
              <w:spacing w:after="40" w:before="40"/>
            </w:pPr>
            <w:r/>
            <w:r>
              <w:rPr>
                <w:rFonts w:ascii="Calibri" w:hAnsi="Calibri"/>
                <w:b w:val="0"/>
                <w:i w:val="0"/>
                <w:color w:val="1F2933"/>
                <w:sz w:val="17"/>
              </w:rPr>
              <w:t>No servers to patch. The image carries a CPU build of PyTorch and two speech models, which is why the task is large.</w:t>
            </w:r>
          </w:p>
        </w:tc>
      </w:tr>
      <w:tr>
        <w:trPr>
          <w:cantSplit/>
        </w:trPr>
        <w:tc>
          <w:tcPr>
            <w:tcW w:type="dxa" w:w="1587"/>
            <w:shd w:val="clear" w:fill="F4F6F8"/>
          </w:tcPr>
          <w:p>
            <w:pPr>
              <w:spacing w:after="40" w:before="40"/>
            </w:pPr>
            <w:r/>
            <w:r>
              <w:rPr>
                <w:rFonts w:ascii="Calibri" w:hAnsi="Calibri"/>
                <w:b w:val="0"/>
                <w:i w:val="0"/>
                <w:color w:val="1F2933"/>
                <w:sz w:val="17"/>
              </w:rPr>
              <w:t>RDS PostgreSQL 16</w:t>
            </w:r>
          </w:p>
        </w:tc>
        <w:tc>
          <w:tcPr>
            <w:tcW w:type="dxa" w:w="3628"/>
            <w:shd w:val="clear" w:fill="F4F6F8"/>
          </w:tcPr>
          <w:p>
            <w:pPr>
              <w:spacing w:after="40" w:before="40"/>
            </w:pPr>
            <w:r/>
            <w:r>
              <w:rPr>
                <w:rFonts w:ascii="Courier New" w:hAnsi="Courier New" w:eastAsia="Courier New"/>
                <w:b w:val="0"/>
                <w:i w:val="0"/>
                <w:color w:val="1F2933"/>
                <w:sz w:val="15"/>
              </w:rPr>
              <w:t>db.t4g.medium</w:t>
            </w:r>
            <w:r>
              <w:rPr>
                <w:rFonts w:ascii="Calibri" w:hAnsi="Calibri"/>
                <w:b w:val="0"/>
                <w:i w:val="0"/>
                <w:color w:val="1F2933"/>
                <w:sz w:val="17"/>
              </w:rPr>
              <w:t>, 50 GB, single-AZ, 14-day backups</w:t>
            </w:r>
          </w:p>
        </w:tc>
        <w:tc>
          <w:tcPr>
            <w:tcW w:type="dxa" w:w="4195"/>
            <w:shd w:val="clear" w:fill="F4F6F8"/>
          </w:tcPr>
          <w:p>
            <w:pPr>
              <w:spacing w:after="40" w:before="40"/>
            </w:pPr>
            <w:r/>
            <w:r>
              <w:rPr>
                <w:rFonts w:ascii="Calibri" w:hAnsi="Calibri"/>
                <w:b w:val="0"/>
                <w:i w:val="0"/>
                <w:color w:val="1F2933"/>
                <w:sz w:val="17"/>
              </w:rPr>
              <w:t xml:space="preserve">All platform data. </w:t>
            </w:r>
            <w:r>
              <w:rPr>
                <w:rFonts w:ascii="Calibri" w:hAnsi="Calibri"/>
                <w:b/>
                <w:i w:val="0"/>
                <w:color w:val="1F2933"/>
                <w:sz w:val="17"/>
              </w:rPr>
              <w:t>pgvector</w:t>
            </w:r>
            <w:r>
              <w:rPr>
                <w:rFonts w:ascii="Calibri" w:hAnsi="Calibri"/>
                <w:b w:val="0"/>
                <w:i w:val="0"/>
                <w:color w:val="1F2933"/>
                <w:sz w:val="17"/>
              </w:rPr>
              <w:t xml:space="preserve"> lives here too, so the knowledge base is in Postgres rather than a separate vector database.</w:t>
            </w:r>
          </w:p>
        </w:tc>
      </w:tr>
      <w:tr>
        <w:trPr>
          <w:cantSplit/>
        </w:trPr>
        <w:tc>
          <w:tcPr>
            <w:tcW w:type="dxa" w:w="1587"/>
          </w:tcPr>
          <w:p>
            <w:pPr>
              <w:spacing w:after="40" w:before="40"/>
            </w:pPr>
            <w:r/>
            <w:r>
              <w:rPr>
                <w:rFonts w:ascii="Calibri" w:hAnsi="Calibri"/>
                <w:b w:val="0"/>
                <w:i w:val="0"/>
                <w:color w:val="1F2933"/>
                <w:sz w:val="17"/>
              </w:rPr>
              <w:t>Load balancer</w:t>
            </w:r>
          </w:p>
        </w:tc>
        <w:tc>
          <w:tcPr>
            <w:tcW w:type="dxa" w:w="3628"/>
          </w:tcPr>
          <w:p>
            <w:pPr>
              <w:spacing w:after="40" w:before="40"/>
            </w:pPr>
            <w:r/>
            <w:r>
              <w:rPr>
                <w:rFonts w:ascii="Calibri" w:hAnsi="Calibri"/>
                <w:b w:val="0"/>
                <w:i w:val="0"/>
                <w:color w:val="1F2933"/>
                <w:sz w:val="17"/>
              </w:rPr>
              <w:t>Public entry point, TLS termination</w:t>
            </w:r>
          </w:p>
        </w:tc>
        <w:tc>
          <w:tcPr>
            <w:tcW w:type="dxa" w:w="4195"/>
          </w:tcPr>
          <w:p>
            <w:pPr>
              <w:spacing w:after="40" w:before="40"/>
            </w:pPr>
            <w:r/>
            <w:r>
              <w:rPr>
                <w:rFonts w:ascii="Calibri" w:hAnsi="Calibri"/>
                <w:b w:val="0"/>
                <w:i w:val="0"/>
                <w:color w:val="1F2933"/>
                <w:sz w:val="17"/>
              </w:rPr>
              <w:t>The only thing with a public address.</w:t>
            </w:r>
          </w:p>
        </w:tc>
      </w:tr>
      <w:tr>
        <w:trPr>
          <w:cantSplit/>
        </w:trPr>
        <w:tc>
          <w:tcPr>
            <w:tcW w:type="dxa" w:w="1587"/>
            <w:shd w:val="clear" w:fill="F4F6F8"/>
          </w:tcPr>
          <w:p>
            <w:pPr>
              <w:spacing w:after="40" w:before="40"/>
            </w:pPr>
            <w:r/>
            <w:r>
              <w:rPr>
                <w:rFonts w:ascii="Calibri" w:hAnsi="Calibri"/>
                <w:b w:val="0"/>
                <w:i w:val="0"/>
                <w:color w:val="1F2933"/>
                <w:sz w:val="17"/>
              </w:rPr>
              <w:t>WAF</w:t>
            </w:r>
          </w:p>
        </w:tc>
        <w:tc>
          <w:tcPr>
            <w:tcW w:type="dxa" w:w="3628"/>
            <w:shd w:val="clear" w:fill="F4F6F8"/>
          </w:tcPr>
          <w:p>
            <w:pPr>
              <w:spacing w:after="40" w:before="40"/>
            </w:pPr>
            <w:r/>
            <w:r>
              <w:rPr>
                <w:rFonts w:ascii="Calibri" w:hAnsi="Calibri"/>
                <w:b w:val="0"/>
                <w:i w:val="0"/>
                <w:color w:val="1F2933"/>
                <w:sz w:val="17"/>
              </w:rPr>
              <w:t>Rate limit (2000 requests / 5 min per address) plus three managed rule groups</w:t>
            </w:r>
          </w:p>
        </w:tc>
        <w:tc>
          <w:tcPr>
            <w:tcW w:type="dxa" w:w="4195"/>
            <w:shd w:val="clear" w:fill="F4F6F8"/>
          </w:tcPr>
          <w:p>
            <w:pPr>
              <w:spacing w:after="40" w:before="40"/>
            </w:pPr>
            <w:r/>
            <w:r>
              <w:rPr>
                <w:rFonts w:ascii="Calibri" w:hAnsi="Calibri"/>
                <w:b w:val="0"/>
                <w:i w:val="0"/>
                <w:color w:val="1F2933"/>
                <w:sz w:val="17"/>
              </w:rPr>
              <w:t>The only rate limit on unauthenticated traffic — the application's own limiter keys on user id and cannot see a request that has not logged in.</w:t>
            </w:r>
          </w:p>
        </w:tc>
      </w:tr>
      <w:tr>
        <w:trPr>
          <w:cantSplit/>
        </w:trPr>
        <w:tc>
          <w:tcPr>
            <w:tcW w:type="dxa" w:w="1587"/>
          </w:tcPr>
          <w:p>
            <w:pPr>
              <w:spacing w:after="40" w:before="40"/>
            </w:pPr>
            <w:r/>
            <w:r>
              <w:rPr>
                <w:rFonts w:ascii="Calibri" w:hAnsi="Calibri"/>
                <w:b w:val="0"/>
                <w:i w:val="0"/>
                <w:color w:val="1F2933"/>
                <w:sz w:val="17"/>
              </w:rPr>
              <w:t>NAT gateway</w:t>
            </w:r>
          </w:p>
        </w:tc>
        <w:tc>
          <w:tcPr>
            <w:tcW w:type="dxa" w:w="3628"/>
          </w:tcPr>
          <w:p>
            <w:pPr>
              <w:spacing w:after="40" w:before="40"/>
            </w:pPr>
            <w:r/>
            <w:r>
              <w:rPr>
                <w:rFonts w:ascii="Calibri" w:hAnsi="Calibri"/>
                <w:b w:val="0"/>
                <w:i w:val="0"/>
                <w:color w:val="1F2933"/>
                <w:sz w:val="17"/>
              </w:rPr>
              <w:t>Outbound-only internet for the private subnets</w:t>
            </w:r>
          </w:p>
        </w:tc>
        <w:tc>
          <w:tcPr>
            <w:tcW w:type="dxa" w:w="4195"/>
          </w:tcPr>
          <w:p>
            <w:pPr>
              <w:spacing w:after="40" w:before="40"/>
            </w:pPr>
            <w:r/>
            <w:r>
              <w:rPr>
                <w:rFonts w:ascii="Calibri" w:hAnsi="Calibri"/>
                <w:b w:val="0"/>
                <w:i w:val="0"/>
                <w:color w:val="1F2933"/>
                <w:sz w:val="17"/>
              </w:rPr>
              <w:t>The application calls model APIs and pulls images. Nothing can dial in.</w:t>
            </w:r>
          </w:p>
        </w:tc>
      </w:tr>
      <w:tr>
        <w:trPr>
          <w:cantSplit/>
        </w:trPr>
        <w:tc>
          <w:tcPr>
            <w:tcW w:type="dxa" w:w="1587"/>
            <w:shd w:val="clear" w:fill="F4F6F8"/>
          </w:tcPr>
          <w:p>
            <w:pPr>
              <w:spacing w:after="40" w:before="40"/>
            </w:pPr>
            <w:r/>
            <w:r>
              <w:rPr>
                <w:rFonts w:ascii="Calibri" w:hAnsi="Calibri"/>
                <w:b w:val="0"/>
                <w:i w:val="0"/>
                <w:color w:val="1F2933"/>
                <w:sz w:val="17"/>
              </w:rPr>
              <w:t>S3 — media</w:t>
            </w:r>
          </w:p>
        </w:tc>
        <w:tc>
          <w:tcPr>
            <w:tcW w:type="dxa" w:w="3628"/>
            <w:shd w:val="clear" w:fill="F4F6F8"/>
          </w:tcPr>
          <w:p>
            <w:pPr>
              <w:spacing w:after="40" w:before="40"/>
            </w:pPr>
            <w:r/>
            <w:r>
              <w:rPr>
                <w:rFonts w:ascii="Calibri" w:hAnsi="Calibri"/>
                <w:b w:val="0"/>
                <w:i w:val="0"/>
                <w:color w:val="1F2933"/>
                <w:sz w:val="17"/>
              </w:rPr>
              <w:t>Lesson images and figures. Private.</w:t>
            </w:r>
          </w:p>
        </w:tc>
        <w:tc>
          <w:tcPr>
            <w:tcW w:type="dxa" w:w="4195"/>
            <w:shd w:val="clear" w:fill="F4F6F8"/>
          </w:tcPr>
          <w:p>
            <w:pPr>
              <w:spacing w:after="40" w:before="40"/>
            </w:pPr>
            <w:r/>
            <w:r>
              <w:rPr>
                <w:rFonts w:ascii="Calibri" w:hAnsi="Calibri"/>
                <w:b w:val="0"/>
                <w:i w:val="0"/>
                <w:color w:val="1F2933"/>
                <w:sz w:val="17"/>
              </w:rPr>
              <w:t xml:space="preserve">Served through the application at </w:t>
            </w:r>
            <w:r>
              <w:rPr>
                <w:rFonts w:ascii="Courier New" w:hAnsi="Courier New" w:eastAsia="Courier New"/>
                <w:b w:val="0"/>
                <w:i w:val="0"/>
                <w:color w:val="1F2933"/>
                <w:sz w:val="15"/>
              </w:rPr>
              <w:t>/media/&lt;path&gt;</w:t>
            </w:r>
            <w:r>
              <w:rPr>
                <w:rFonts w:ascii="Calibri" w:hAnsi="Calibri"/>
                <w:b w:val="0"/>
                <w:i w:val="0"/>
                <w:color w:val="1F2933"/>
                <w:sz w:val="17"/>
              </w:rPr>
              <w:t>, never a bucket URL.</w:t>
            </w:r>
          </w:p>
        </w:tc>
      </w:tr>
      <w:tr>
        <w:trPr>
          <w:cantSplit/>
        </w:trPr>
        <w:tc>
          <w:tcPr>
            <w:tcW w:type="dxa" w:w="1587"/>
          </w:tcPr>
          <w:p>
            <w:pPr>
              <w:spacing w:after="40" w:before="40"/>
            </w:pPr>
            <w:r/>
            <w:r>
              <w:rPr>
                <w:rFonts w:ascii="Calibri" w:hAnsi="Calibri"/>
                <w:b w:val="0"/>
                <w:i w:val="0"/>
                <w:color w:val="1F2933"/>
                <w:sz w:val="17"/>
              </w:rPr>
              <w:t>S3 — ops</w:t>
            </w:r>
          </w:p>
        </w:tc>
        <w:tc>
          <w:tcPr>
            <w:tcW w:type="dxa" w:w="3628"/>
          </w:tcPr>
          <w:p>
            <w:pPr>
              <w:spacing w:after="40" w:before="40"/>
            </w:pPr>
            <w:r/>
            <w:r>
              <w:rPr>
                <w:rFonts w:ascii="Calibri" w:hAnsi="Calibri"/>
                <w:b w:val="0"/>
                <w:i w:val="0"/>
                <w:color w:val="1F2933"/>
                <w:sz w:val="17"/>
              </w:rPr>
              <w:t>Database dumps during restores. Private, 7-day expiry.</w:t>
            </w:r>
          </w:p>
        </w:tc>
        <w:tc>
          <w:tcPr>
            <w:tcW w:type="dxa" w:w="4195"/>
          </w:tcPr>
          <w:p>
            <w:pPr>
              <w:spacing w:after="40" w:before="40"/>
            </w:pPr>
            <w:r/>
            <w:r>
              <w:rPr>
                <w:rFonts w:ascii="Calibri" w:hAnsi="Calibri"/>
                <w:b w:val="0"/>
                <w:i w:val="0"/>
                <w:color w:val="1F2933"/>
                <w:sz w:val="17"/>
              </w:rPr>
              <w:t>Separate from media deliberately: media is served over the internet, dumps must never be.</w:t>
            </w:r>
          </w:p>
        </w:tc>
      </w:tr>
      <w:tr>
        <w:trPr>
          <w:cantSplit/>
        </w:trPr>
        <w:tc>
          <w:tcPr>
            <w:tcW w:type="dxa" w:w="1587"/>
            <w:shd w:val="clear" w:fill="F4F6F8"/>
          </w:tcPr>
          <w:p>
            <w:pPr>
              <w:spacing w:after="40" w:before="40"/>
            </w:pPr>
            <w:r/>
            <w:r>
              <w:rPr>
                <w:rFonts w:ascii="Calibri" w:hAnsi="Calibri"/>
                <w:b w:val="0"/>
                <w:i w:val="0"/>
                <w:color w:val="1F2933"/>
                <w:sz w:val="17"/>
              </w:rPr>
              <w:t>Secrets Manager</w:t>
            </w:r>
          </w:p>
        </w:tc>
        <w:tc>
          <w:tcPr>
            <w:tcW w:type="dxa" w:w="3628"/>
            <w:shd w:val="clear" w:fill="F4F6F8"/>
          </w:tcPr>
          <w:p>
            <w:pPr>
              <w:spacing w:after="40" w:before="40"/>
            </w:pPr>
            <w:r/>
            <w:r>
              <w:rPr>
                <w:rFonts w:ascii="Calibri" w:hAnsi="Calibri"/>
                <w:b w:val="0"/>
                <w:i w:val="0"/>
                <w:color w:val="1F2933"/>
                <w:sz w:val="17"/>
              </w:rPr>
              <w:t>Six secrets: database URL, signing key, four provider keys</w:t>
            </w:r>
          </w:p>
        </w:tc>
        <w:tc>
          <w:tcPr>
            <w:tcW w:type="dxa" w:w="4195"/>
            <w:shd w:val="clear" w:fill="F4F6F8"/>
          </w:tcPr>
          <w:p>
            <w:pPr>
              <w:spacing w:after="40" w:before="40"/>
            </w:pPr>
            <w:r/>
            <w:r>
              <w:rPr>
                <w:rFonts w:ascii="Calibri" w:hAnsi="Calibri"/>
                <w:b w:val="0"/>
                <w:i w:val="0"/>
                <w:color w:val="1F2933"/>
                <w:sz w:val="17"/>
              </w:rPr>
              <w:t>Injected at container start; never in the image or the repository.</w:t>
            </w:r>
          </w:p>
        </w:tc>
      </w:tr>
      <w:tr>
        <w:trPr>
          <w:cantSplit/>
        </w:trPr>
        <w:tc>
          <w:tcPr>
            <w:tcW w:type="dxa" w:w="1587"/>
          </w:tcPr>
          <w:p>
            <w:pPr>
              <w:spacing w:after="40" w:before="40"/>
            </w:pPr>
            <w:r/>
            <w:r>
              <w:rPr>
                <w:rFonts w:ascii="Calibri" w:hAnsi="Calibri"/>
                <w:b w:val="0"/>
                <w:i w:val="0"/>
                <w:color w:val="1F2933"/>
                <w:sz w:val="17"/>
              </w:rPr>
              <w:t>Route 53 + ACM</w:t>
            </w:r>
          </w:p>
        </w:tc>
        <w:tc>
          <w:tcPr>
            <w:tcW w:type="dxa" w:w="3628"/>
          </w:tcPr>
          <w:p>
            <w:pPr>
              <w:spacing w:after="40" w:before="40"/>
            </w:pPr>
            <w:r/>
            <w:r>
              <w:rPr>
                <w:rFonts w:ascii="Calibri" w:hAnsi="Calibri"/>
                <w:b w:val="0"/>
                <w:i w:val="0"/>
                <w:color w:val="1F2933"/>
                <w:sz w:val="17"/>
              </w:rPr>
              <w:t>DNS and the TLS certificate</w:t>
            </w:r>
          </w:p>
        </w:tc>
        <w:tc>
          <w:tcPr>
            <w:tcW w:type="dxa" w:w="4195"/>
          </w:tcPr>
          <w:p>
            <w:pPr>
              <w:spacing w:after="40" w:before="40"/>
            </w:pPr>
            <w:r/>
            <w:r>
              <w:rPr>
                <w:rFonts w:ascii="Calibri" w:hAnsi="Calibri"/>
                <w:b w:val="0"/>
                <w:i w:val="0"/>
                <w:color w:val="1F2933"/>
                <w:sz w:val="17"/>
              </w:rPr>
              <w:t>Renewal is automatic because the validation record is managed here.</w:t>
            </w:r>
          </w:p>
        </w:tc>
      </w:tr>
    </w:tbl>
    <w:p>
      <w:pPr>
        <w:spacing w:after="40"/>
      </w:pPr>
    </w:p>
    <w:p>
      <w:pPr>
        <w:pStyle w:val="Heading3"/>
      </w:pPr>
      <w:r>
        <w:t>What you need first</w:t>
      </w:r>
    </w:p>
    <w:p>
      <w:pPr>
        <w:pStyle w:val="ListBullet"/>
        <w:spacing w:after="60"/>
      </w:pPr>
      <w:r>
        <w:rPr>
          <w:rFonts w:ascii="Calibri" w:hAnsi="Calibri"/>
          <w:b w:val="0"/>
          <w:i w:val="0"/>
          <w:color w:val="1F2933"/>
          <w:sz w:val="21"/>
        </w:rPr>
        <w:t>An AWS account, and a role that can create VPC, ECS, RDS, S3, IAM, WAF and Route 53 resources.</w:t>
      </w:r>
    </w:p>
    <w:p>
      <w:pPr>
        <w:pStyle w:val="ListBullet"/>
        <w:spacing w:after="60"/>
      </w:pPr>
      <w:r>
        <w:rPr>
          <w:rFonts w:ascii="Calibri" w:hAnsi="Calibri"/>
          <w:b w:val="0"/>
          <w:i w:val="0"/>
          <w:color w:val="1F2933"/>
          <w:sz w:val="21"/>
        </w:rPr>
        <w:t>A domain you control — a certificate cannot be issued for an AWS-owned load balancer hostname.</w:t>
      </w:r>
    </w:p>
    <w:p>
      <w:pPr>
        <w:pStyle w:val="ListBullet"/>
        <w:spacing w:after="60"/>
      </w:pPr>
      <w:r>
        <w:rPr>
          <w:rFonts w:ascii="Calibri" w:hAnsi="Calibri"/>
          <w:b w:val="0"/>
          <w:i w:val="0"/>
          <w:color w:val="1F2933"/>
          <w:sz w:val="21"/>
        </w:rPr>
        <w:t>At least one model provider API key.</w:t>
      </w:r>
    </w:p>
    <w:p>
      <w:pPr>
        <w:pStyle w:val="ListBullet"/>
        <w:spacing w:after="60"/>
      </w:pPr>
      <w:r>
        <w:rPr>
          <w:rFonts w:ascii="Calibri" w:hAnsi="Calibri"/>
          <w:b w:val="0"/>
          <w:i w:val="0"/>
          <w:color w:val="1F2933"/>
          <w:sz w:val="21"/>
        </w:rPr>
        <w:t xml:space="preserve">Installed locally: </w:t>
      </w:r>
      <w:r>
        <w:rPr>
          <w:rFonts w:ascii="Courier New" w:hAnsi="Courier New" w:eastAsia="Courier New"/>
          <w:b w:val="0"/>
          <w:i w:val="0"/>
          <w:color w:val="1F2933"/>
          <w:sz w:val="19"/>
        </w:rPr>
        <w:t>git</w:t>
      </w:r>
      <w:r>
        <w:rPr>
          <w:rFonts w:ascii="Calibri" w:hAnsi="Calibri"/>
          <w:b w:val="0"/>
          <w:i w:val="0"/>
          <w:color w:val="1F2933"/>
          <w:sz w:val="21"/>
        </w:rPr>
        <w:t xml:space="preserve">, </w:t>
      </w:r>
      <w:r>
        <w:rPr>
          <w:rFonts w:ascii="Courier New" w:hAnsi="Courier New" w:eastAsia="Courier New"/>
          <w:b w:val="0"/>
          <w:i w:val="0"/>
          <w:color w:val="1F2933"/>
          <w:sz w:val="19"/>
        </w:rPr>
        <w:t>aws</w:t>
      </w:r>
      <w:r>
        <w:rPr>
          <w:rFonts w:ascii="Calibri" w:hAnsi="Calibri"/>
          <w:b w:val="0"/>
          <w:i w:val="0"/>
          <w:color w:val="1F2933"/>
          <w:sz w:val="21"/>
        </w:rPr>
        <w:t xml:space="preserve"> CLI v2, </w:t>
      </w:r>
      <w:r>
        <w:rPr>
          <w:rFonts w:ascii="Courier New" w:hAnsi="Courier New" w:eastAsia="Courier New"/>
          <w:b w:val="0"/>
          <w:i w:val="0"/>
          <w:color w:val="1F2933"/>
          <w:sz w:val="19"/>
        </w:rPr>
        <w:t>pulumi</w:t>
      </w:r>
      <w:r>
        <w:rPr>
          <w:rFonts w:ascii="Calibri" w:hAnsi="Calibri"/>
          <w:b w:val="0"/>
          <w:i w:val="0"/>
          <w:color w:val="1F2933"/>
          <w:sz w:val="21"/>
        </w:rPr>
        <w:t xml:space="preserve">, </w:t>
      </w:r>
      <w:r>
        <w:rPr>
          <w:rFonts w:ascii="Courier New" w:hAnsi="Courier New" w:eastAsia="Courier New"/>
          <w:b w:val="0"/>
          <w:i w:val="0"/>
          <w:color w:val="1F2933"/>
          <w:sz w:val="19"/>
        </w:rPr>
        <w:t>docker</w:t>
      </w:r>
      <w:r>
        <w:rPr>
          <w:rFonts w:ascii="Calibri" w:hAnsi="Calibri"/>
          <w:b w:val="0"/>
          <w:i w:val="0"/>
          <w:color w:val="1F2933"/>
          <w:sz w:val="21"/>
        </w:rPr>
        <w:t>, Python 3.12.</w:t>
      </w:r>
    </w:p>
    <w:p>
      <w:pPr>
        <w:pStyle w:val="ListBullet"/>
        <w:spacing w:after="60"/>
      </w:pPr>
      <w:r>
        <w:rPr>
          <w:rFonts w:ascii="Calibri" w:hAnsi="Calibri"/>
          <w:b/>
          <w:i w:val="0"/>
          <w:color w:val="1F2933"/>
          <w:sz w:val="21"/>
        </w:rPr>
        <w:t>The repository</w:t>
      </w:r>
      <w:r>
        <w:rPr>
          <w:rFonts w:ascii="Calibri" w:hAnsi="Calibri"/>
          <w:b w:val="0"/>
          <w:i w:val="0"/>
          <w:color w:val="1F2933"/>
          <w:sz w:val="21"/>
        </w:rPr>
        <w:t xml:space="preserve">, for the infrastructure-as-code program in </w:t>
      </w:r>
      <w:r>
        <w:rPr>
          <w:rFonts w:ascii="Courier New" w:hAnsi="Courier New" w:eastAsia="Courier New"/>
          <w:b w:val="0"/>
          <w:i w:val="0"/>
          <w:color w:val="1F2933"/>
          <w:sz w:val="19"/>
        </w:rPr>
        <w:t>infra/aws/</w:t>
      </w:r>
      <w:r>
        <w:rPr>
          <w:rFonts w:ascii="Calibri" w:hAnsi="Calibri"/>
          <w:b w:val="0"/>
          <w:i w:val="0"/>
          <w:color w:val="1F2933"/>
          <w:sz w:val="21"/>
        </w:rPr>
        <w:t>. Path A can run from the published image alone; this path cannot.</w:t>
      </w:r>
    </w:p>
    <w:p>
      <w:pPr>
        <w:pStyle w:val="Heading3"/>
      </w:pPr>
      <w:r>
        <w:t>Step 1 — Clone and configure the stack</w:t>
      </w:r>
    </w:p>
    <w:p>
      <w:pPr>
        <w:spacing w:after="120"/>
        <w:ind w:left="283"/>
      </w:pPr>
      <w:r>
        <w:rPr>
          <w:rFonts w:ascii="Courier New" w:hAnsi="Courier New" w:eastAsia="Courier New"/>
          <w:color w:val="333D47"/>
          <w:sz w:val="17"/>
        </w:rPr>
        <w:t>git clone &lt;repo&gt; ai-tutor &amp;&amp; cd ai-tutor/infra/aws</w:t>
        <w:br/>
        <w:t>python -m venv venv &amp;&amp; ./venv/bin/pip install -r requirements.txt</w:t>
        <w:br/>
        <w:br/>
        <w:t>aws configure                 # or aws sso login</w:t>
        <w:br/>
        <w:t>pulumi login --local          # state in ~/.pulumi; back this up</w:t>
        <w:br/>
        <w:t>pulumi stack init prod</w:t>
        <w:br/>
        <w:br/>
        <w:t>pulumi config set aws:region eu-west-1</w:t>
        <w:br/>
        <w:t>pulumi config set aitutor-aws:db-instance-class db.t4g.medium</w:t>
        <w:br/>
        <w:t>pulumi config set aitutor-aws:db-storage-gb 50</w:t>
        <w:br/>
        <w:t>pulumi config set aitutor-aws:min-tasks 1</w:t>
        <w:br/>
        <w:t>pulumi config set aitutor-aws:max-tasks 4</w:t>
        <w:br/>
        <w:br/>
        <w:t># Set the database password yourself — do NOT let it be generated</w:t>
        <w:br/>
        <w:t>pulumi config set --secret aitutor-aws:db-password "&lt;a long random password&gt;"</w:t>
        <w:br/>
        <w:t>pulumi config set --secret aitutor-aws:django-secret-key "&lt;50+ random chars&gt;"</w:t>
        <w:br/>
        <w:t>pulumi config set --secret aitutor-aws:anthropic-api-key "sk-ant-..."</w:t>
      </w:r>
    </w:p>
    <w:p>
      <w:pPr>
        <w:pStyle w:val="Heading3"/>
      </w:pPr>
      <w:r>
        <w:t>Step 2 — Bring up the infrastructure</w:t>
      </w:r>
    </w:p>
    <w:p>
      <w:pPr>
        <w:spacing w:after="120"/>
        <w:ind w:left="283"/>
      </w:pPr>
      <w:r>
        <w:rPr>
          <w:rFonts w:ascii="Courier New" w:hAnsi="Courier New" w:eastAsia="Courier New"/>
          <w:color w:val="333D47"/>
          <w:sz w:val="17"/>
        </w:rPr>
        <w:t>pulumi up                                        # review the plan, then confirm</w:t>
        <w:br/>
        <w:t>pulumi config set aitutor-aws:enable-ecs true    # then add the service</w:t>
        <w:br/>
        <w:t>pulumi up</w:t>
      </w:r>
    </w:p>
    <w:p>
      <w:pPr>
        <w:spacing w:after="140"/>
      </w:pPr>
      <w:r>
        <w:rPr>
          <w:rFonts w:ascii="Calibri" w:hAnsi="Calibri"/>
          <w:b w:val="0"/>
          <w:i w:val="0"/>
          <w:color w:val="1F2933"/>
          <w:sz w:val="21"/>
        </w:rPr>
        <w:t>The service is gated behind that second flag on purpose, so the foundation can be verified before anything runs on it.</w:t>
      </w:r>
    </w:p>
    <w:p>
      <w:pPr>
        <w:pStyle w:val="Heading3"/>
      </w:pPr>
      <w:r>
        <w:t>Step 3 — Domain and HTTPS</w:t>
      </w:r>
    </w:p>
    <w:p>
      <w:pPr>
        <w:spacing w:after="120"/>
        <w:ind w:left="283"/>
      </w:pPr>
      <w:r>
        <w:rPr>
          <w:rFonts w:ascii="Courier New" w:hAnsi="Courier New" w:eastAsia="Courier New"/>
          <w:color w:val="333D47"/>
          <w:sz w:val="17"/>
        </w:rPr>
        <w:t>pulumi config set aitutor-aws:domain-name tutor.education.gov.xx</w:t>
        <w:br/>
        <w:t>pulumi config set aitutor-aws:hosted-zone-id Z0123456789ABCDEFGHIJ</w:t>
        <w:br/>
        <w:t>pulumi up</w:t>
      </w:r>
    </w:p>
    <w:p>
      <w:pPr>
        <w:spacing w:after="140"/>
      </w:pPr>
      <w:r>
        <w:rPr>
          <w:rFonts w:ascii="Calibri" w:hAnsi="Calibri"/>
          <w:b w:val="0"/>
          <w:i w:val="0"/>
          <w:color w:val="1F2933"/>
          <w:sz w:val="21"/>
        </w:rPr>
        <w:t>Pulumi requests the certificate, writes the validation record, waits for issuance, adds the HTTPS listener and redirects port 80. Expect it to sit waiting during validation; if it times out, nothing has changed and the site is still served on port 80.</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LET THE TOOLING OWN THE VALIDATION RECORD</w:t>
            </w:r>
          </w:p>
          <w:p>
            <w:pPr>
              <w:spacing w:after="100"/>
            </w:pPr>
            <w:r>
              <w:rPr>
                <w:rFonts w:ascii="Calibri" w:hAnsi="Calibri"/>
                <w:b w:val="0"/>
                <w:i w:val="0"/>
                <w:color w:val="1F2933"/>
                <w:sz w:val="19"/>
              </w:rPr>
              <w:t>The certificate is re-validated on renewal using that DNS record. A hand-added record that someone later tidies up breaks the renewal about eleven months afterwards — long after anyone would connect the two events.</w:t>
            </w:r>
          </w:p>
        </w:tc>
      </w:tr>
    </w:tbl>
    <w:p>
      <w:pPr>
        <w:spacing w:after="40"/>
      </w:pPr>
    </w:p>
    <w:p>
      <w:pPr>
        <w:pStyle w:val="Heading3"/>
      </w:pPr>
      <w:r>
        <w:t>Step 4 — Build and deploy the application image</w:t>
      </w:r>
    </w:p>
    <w:p>
      <w:pPr>
        <w:spacing w:after="120"/>
        <w:ind w:left="283"/>
      </w:pPr>
      <w:r>
        <w:rPr>
          <w:rFonts w:ascii="Courier New" w:hAnsi="Courier New" w:eastAsia="Courier New"/>
          <w:color w:val="333D47"/>
          <w:sz w:val="17"/>
        </w:rPr>
        <w:t>aws ecr get-login-password | docker login --username AWS \</w:t>
        <w:br/>
        <w:t xml:space="preserve">  --password-stdin &lt;acct&gt;.dkr.ecr.&lt;region&gt;.amazonaws.com</w:t>
        <w:br/>
        <w:t>docker build --platform linux/amd64 -t &lt;ecr-url&gt;:v1 .   # amd64 matters on Apple Silicon</w:t>
        <w:br/>
        <w:t>docker push &lt;ecr-url&gt;:v1</w:t>
        <w:br/>
        <w:t>pulumi config set aitutor-aws:image-tag v1 &amp;&amp; pulumi up</w:t>
        <w:br/>
        <w:br/>
        <w:t>./ops/migrate_and_seed.sh                               # one-off task</w:t>
      </w:r>
    </w:p>
    <w:p>
      <w:pPr>
        <w:spacing w:after="140"/>
      </w:pPr>
      <w:r>
        <w:rPr>
          <w:rFonts w:ascii="Calibri" w:hAnsi="Calibri"/>
          <w:b w:val="0"/>
          <w:i w:val="0"/>
          <w:color w:val="1F2933"/>
          <w:sz w:val="21"/>
        </w:rPr>
        <w:t xml:space="preserve">Or push to your fork's main branch and let the deploy workflow run it. </w:t>
      </w:r>
      <w:r>
        <w:rPr>
          <w:rFonts w:ascii="Calibri" w:hAnsi="Calibri"/>
          <w:b/>
          <w:i w:val="0"/>
          <w:color w:val="1F2933"/>
          <w:sz w:val="21"/>
        </w:rPr>
        <w:t>Migrations must be a one-shot task here, not part of container start</w:t>
      </w:r>
      <w:r>
        <w:rPr>
          <w:rFonts w:ascii="Calibri" w:hAnsi="Calibri"/>
          <w:b w:val="0"/>
          <w:i w:val="0"/>
          <w:color w:val="1F2933"/>
          <w:sz w:val="21"/>
        </w:rPr>
        <w:t>: the service launches every task at once, so migrations in the start command would race across replicas.</w:t>
      </w:r>
    </w:p>
    <w:p>
      <w:pPr>
        <w:pStyle w:val="Heading3"/>
      </w:pPr>
      <w:r>
        <w:t>Steps 5 and 6 — Firewall, then verify</w:t>
      </w:r>
    </w:p>
    <w:p>
      <w:pPr>
        <w:spacing w:after="140"/>
      </w:pPr>
      <w:r>
        <w:rPr>
          <w:rFonts w:ascii="Calibri" w:hAnsi="Calibri"/>
          <w:b w:val="0"/>
          <w:i w:val="0"/>
          <w:color w:val="1F2933"/>
          <w:sz w:val="21"/>
        </w:rPr>
        <w:t>The firewall starts in count mode so you can see what it would block before it blocks anything real. Turn it on, then verify the way you would on any path:</w:t>
      </w:r>
    </w:p>
    <w:p>
      <w:pPr>
        <w:spacing w:after="120"/>
        <w:ind w:left="283"/>
      </w:pPr>
      <w:r>
        <w:rPr>
          <w:rFonts w:ascii="Courier New" w:hAnsi="Courier New" w:eastAsia="Courier New"/>
          <w:color w:val="333D47"/>
          <w:sz w:val="17"/>
        </w:rPr>
        <w:t>pulumi config set aitutor-aws:waf-block-mode true &amp;&amp; pulumi up</w:t>
        <w:br/>
        <w:br/>
        <w:t>curl -s https://tutor.education.gov.xx/health/     # {"status": "ok", ...}</w:t>
      </w:r>
    </w:p>
    <w:p>
      <w:pPr>
        <w:spacing w:after="140"/>
      </w:pPr>
      <w:r>
        <w:rPr>
          <w:rFonts w:ascii="Calibri" w:hAnsi="Calibri"/>
          <w:b w:val="0"/>
          <w:i w:val="0"/>
          <w:color w:val="1F2933"/>
          <w:sz w:val="21"/>
        </w:rPr>
        <w:t>Then load the site, create a staff account, upload curriculum, and take one tutoring turn.</w:t>
      </w:r>
    </w:p>
    <w:p>
      <w:pPr>
        <w:pStyle w:val="Heading2"/>
      </w:pPr>
      <w:r>
        <w:t>Path C — pip install, no Docker</w:t>
      </w:r>
    </w:p>
    <w:p>
      <w:pPr>
        <w:spacing w:after="140"/>
      </w:pPr>
      <w:r>
        <w:rPr>
          <w:rFonts w:ascii="Calibri" w:hAnsi="Calibri"/>
          <w:b w:val="0"/>
          <w:i w:val="0"/>
          <w:color w:val="1F2933"/>
          <w:sz w:val="21"/>
        </w:rPr>
        <w:t>The same application installed as a Python package, for an estate where containers are ruled out.</w:t>
      </w:r>
    </w:p>
    <w:p>
      <w:pPr>
        <w:pStyle w:val="Heading3"/>
      </w:pPr>
      <w:r>
        <w:t>What you need first</w:t>
      </w:r>
    </w:p>
    <w:p>
      <w:pPr>
        <w:pStyle w:val="ListBullet"/>
        <w:spacing w:after="60"/>
      </w:pPr>
      <w:r>
        <w:rPr>
          <w:rFonts w:ascii="Calibri" w:hAnsi="Calibri"/>
          <w:b w:val="0"/>
          <w:i w:val="0"/>
          <w:color w:val="1F2933"/>
          <w:sz w:val="21"/>
        </w:rPr>
        <w:t>A Linux server: 4 vCPU, 8 GB RAM, 60 GB disk.</w:t>
      </w:r>
    </w:p>
    <w:p>
      <w:pPr>
        <w:pStyle w:val="ListBullet"/>
        <w:spacing w:after="60"/>
      </w:pPr>
      <w:r>
        <w:rPr>
          <w:rFonts w:ascii="Calibri" w:hAnsi="Calibri"/>
          <w:b/>
          <w:i w:val="0"/>
          <w:color w:val="1F2933"/>
          <w:sz w:val="21"/>
        </w:rPr>
        <w:t>Python 3.12 or newer</w:t>
      </w:r>
      <w:r>
        <w:rPr>
          <w:rFonts w:ascii="Calibri" w:hAnsi="Calibri"/>
          <w:b w:val="0"/>
          <w:i w:val="0"/>
          <w:color w:val="1F2933"/>
          <w:sz w:val="21"/>
        </w:rPr>
        <w:t xml:space="preserve"> — the framework version requires it.</w:t>
      </w:r>
    </w:p>
    <w:p>
      <w:pPr>
        <w:pStyle w:val="ListBullet"/>
        <w:spacing w:after="60"/>
      </w:pPr>
      <w:r>
        <w:rPr>
          <w:rFonts w:ascii="Calibri" w:hAnsi="Calibri"/>
          <w:b/>
          <w:i w:val="0"/>
          <w:color w:val="1F2933"/>
          <w:sz w:val="21"/>
        </w:rPr>
        <w:t xml:space="preserve">PostgreSQL 14+ with the </w:t>
      </w:r>
      <w:r>
        <w:rPr>
          <w:rFonts w:ascii="Courier New" w:hAnsi="Courier New" w:eastAsia="Courier New"/>
          <w:b/>
          <w:i w:val="0"/>
          <w:color w:val="1F2933"/>
          <w:sz w:val="19"/>
        </w:rPr>
        <w:t>pgvector</w:t>
      </w:r>
      <w:r>
        <w:rPr>
          <w:rFonts w:ascii="Calibri" w:hAnsi="Calibri"/>
          <w:b/>
          <w:i w:val="0"/>
          <w:color w:val="1F2933"/>
          <w:sz w:val="21"/>
        </w:rPr>
        <w:t xml:space="preserve"> extension available.</w:t>
      </w:r>
      <w:r>
        <w:rPr>
          <w:rFonts w:ascii="Calibri" w:hAnsi="Calibri"/>
          <w:b w:val="0"/>
          <w:i w:val="0"/>
          <w:color w:val="1F2933"/>
          <w:sz w:val="21"/>
        </w:rPr>
        <w:t xml:space="preserve"> The extension is created by a migration; it only has to be available, not enabled by hand.</w:t>
      </w:r>
    </w:p>
    <w:p>
      <w:pPr>
        <w:pStyle w:val="ListBullet"/>
        <w:spacing w:after="60"/>
      </w:pPr>
      <w:r>
        <w:rPr>
          <w:rFonts w:ascii="Calibri" w:hAnsi="Calibri"/>
          <w:b w:val="0"/>
          <w:i w:val="0"/>
          <w:color w:val="1F2933"/>
          <w:sz w:val="21"/>
        </w:rPr>
        <w:t>A domain pointing at the server, and something to terminate TLS.</w:t>
      </w:r>
    </w:p>
    <w:p>
      <w:pPr>
        <w:pStyle w:val="ListBullet"/>
        <w:spacing w:after="60"/>
      </w:pPr>
      <w:r>
        <w:rPr>
          <w:rFonts w:ascii="Calibri" w:hAnsi="Calibri"/>
          <w:b w:val="0"/>
          <w:i w:val="0"/>
          <w:color w:val="1F2933"/>
          <w:sz w:val="21"/>
        </w:rPr>
        <w:t>Roughly 3 GB of disk for the dependencies alone.</w:t>
      </w:r>
    </w:p>
    <w:p>
      <w:pPr>
        <w:spacing w:after="120"/>
        <w:ind w:left="283"/>
      </w:pPr>
      <w:r>
        <w:rPr>
          <w:rFonts w:ascii="Courier New" w:hAnsi="Courier New" w:eastAsia="Courier New"/>
          <w:color w:val="333D47"/>
          <w:sz w:val="17"/>
        </w:rPr>
        <w:t>sudo apt install python3.12 python3.12-venv postgresql postgresql-16-pgvector</w:t>
        <w:br/>
        <w:t>sudo -u postgres createuser --pwprompt aitutor</w:t>
        <w:br/>
        <w:t>sudo -u postgres createdb --owner aitutor aitutor</w:t>
        <w:br/>
        <w:br/>
        <w:t>sudo python3.12 -m venv /opt/ai-tutor/venv</w:t>
        <w:br/>
        <w:t>sudo /opt/ai-tutor/venv/bin/pip install ai-tutor</w:t>
        <w:br/>
        <w:br/>
        <w:t>sudo /opt/ai-tutor/venv/bin/ai-tutor init      # writes /etc/ai-tutor/ai-tutor.env (0600)</w:t>
      </w:r>
    </w:p>
    <w:p>
      <w:pPr>
        <w:spacing w:after="140"/>
      </w:pPr>
      <w:r>
        <w:rPr>
          <w:rFonts w:ascii="Courier New" w:hAnsi="Courier New" w:eastAsia="Courier New"/>
          <w:b w:val="0"/>
          <w:i w:val="0"/>
          <w:color w:val="1F2933"/>
          <w:sz w:val="19"/>
        </w:rPr>
        <w:t>init</w:t>
      </w:r>
      <w:r>
        <w:rPr>
          <w:rFonts w:ascii="Calibri" w:hAnsi="Calibri"/>
          <w:b w:val="0"/>
          <w:i w:val="0"/>
          <w:color w:val="1F2933"/>
          <w:sz w:val="21"/>
        </w:rPr>
        <w:t xml:space="preserve"> generates a signing key and creates the data directory. Re-running it never overwrites an existing file — rotating the key would log every user out and void every outstanding password-reset link. Edit that file and set </w:t>
      </w:r>
      <w:r>
        <w:rPr>
          <w:rFonts w:ascii="Courier New" w:hAnsi="Courier New" w:eastAsia="Courier New"/>
          <w:b w:val="0"/>
          <w:i w:val="0"/>
          <w:color w:val="1F2933"/>
          <w:sz w:val="19"/>
        </w:rPr>
        <w:t>ALLOWED_HOSTS</w:t>
      </w:r>
      <w:r>
        <w:rPr>
          <w:rFonts w:ascii="Calibri" w:hAnsi="Calibri"/>
          <w:b w:val="0"/>
          <w:i w:val="0"/>
          <w:color w:val="1F2933"/>
          <w:sz w:val="21"/>
        </w:rPr>
        <w:t xml:space="preserve">, </w:t>
      </w:r>
      <w:r>
        <w:rPr>
          <w:rFonts w:ascii="Courier New" w:hAnsi="Courier New" w:eastAsia="Courier New"/>
          <w:b w:val="0"/>
          <w:i w:val="0"/>
          <w:color w:val="1F2933"/>
          <w:sz w:val="19"/>
        </w:rPr>
        <w:t>CSRF_TRUSTED_ORIGINS</w:t>
      </w:r>
      <w:r>
        <w:rPr>
          <w:rFonts w:ascii="Calibri" w:hAnsi="Calibri"/>
          <w:b w:val="0"/>
          <w:i w:val="0"/>
          <w:color w:val="1F2933"/>
          <w:sz w:val="21"/>
        </w:rPr>
        <w:t xml:space="preserve"> (with the scheme), </w:t>
      </w:r>
      <w:r>
        <w:rPr>
          <w:rFonts w:ascii="Courier New" w:hAnsi="Courier New" w:eastAsia="Courier New"/>
          <w:b w:val="0"/>
          <w:i w:val="0"/>
          <w:color w:val="1F2933"/>
          <w:sz w:val="19"/>
        </w:rPr>
        <w:t>DATABASE_URL</w:t>
      </w:r>
      <w:r>
        <w:rPr>
          <w:rFonts w:ascii="Calibri" w:hAnsi="Calibri"/>
          <w:b w:val="0"/>
          <w:i w:val="0"/>
          <w:color w:val="1F2933"/>
          <w:sz w:val="21"/>
        </w:rPr>
        <w:t xml:space="preserve"> and at least one provider key.</w:t>
      </w:r>
    </w:p>
    <w:p>
      <w:pPr>
        <w:spacing w:after="120"/>
        <w:ind w:left="283"/>
      </w:pPr>
      <w:r>
        <w:rPr>
          <w:rFonts w:ascii="Courier New" w:hAnsi="Courier New" w:eastAsia="Courier New"/>
          <w:color w:val="333D47"/>
          <w:sz w:val="17"/>
        </w:rPr>
        <w:t>sudo /opt/ai-tutor/venv/bin/ai-tutor migrate</w:t>
        <w:br/>
        <w:t>sudo /opt/ai-tutor/venv/bin/ai-tutor seed</w:t>
        <w:br/>
        <w:t>sudo /opt/ai-tutor/venv/bin/ai-tutor collectstatic --noinput</w:t>
        <w:br/>
        <w:t>sudo /opt/ai-tutor/venv/bin/ai-tutor createsuperuser</w:t>
        <w:br/>
        <w:br/>
        <w:t>sudo /opt/ai-tutor/venv/bin/ai-tutor systemd | sudo tee /etc/systemd/system/ai-tutor.service</w:t>
        <w:br/>
        <w:t>sudo systemctl daemon-reload &amp;&amp; sudo systemctl enable --now ai-tutor</w:t>
      </w:r>
    </w:p>
    <w:p>
      <w:pPr>
        <w:spacing w:after="140"/>
      </w:pPr>
      <w:r>
        <w:rPr>
          <w:rFonts w:ascii="Calibri" w:hAnsi="Calibri"/>
          <w:b w:val="0"/>
          <w:i w:val="0"/>
          <w:color w:val="1F2933"/>
          <w:sz w:val="21"/>
        </w:rPr>
        <w:t xml:space="preserve">The generated unit carries this installation's real paths, restarts on failure and confines writes to the data directory. It binds </w:t>
      </w:r>
      <w:r>
        <w:rPr>
          <w:rFonts w:ascii="Courier New" w:hAnsi="Courier New" w:eastAsia="Courier New"/>
          <w:b w:val="0"/>
          <w:i w:val="0"/>
          <w:color w:val="1F2933"/>
          <w:sz w:val="19"/>
        </w:rPr>
        <w:t>0.0.0.0:8000</w:t>
      </w:r>
      <w:r>
        <w:rPr>
          <w:rFonts w:ascii="Calibri" w:hAnsi="Calibri"/>
          <w:b w:val="0"/>
          <w:i w:val="0"/>
          <w:color w:val="1F2933"/>
          <w:sz w:val="21"/>
        </w:rPr>
        <w:t xml:space="preserve"> with a 300-second timeout — long, because a tutoring turn takes 20 to 90 seconds and a shorter timeout kills the worker mid-answer. Whatever proxy you put in front </w:t>
      </w:r>
      <w:r>
        <w:rPr>
          <w:rFonts w:ascii="Calibri" w:hAnsi="Calibri"/>
          <w:b/>
          <w:i w:val="0"/>
          <w:color w:val="1F2933"/>
          <w:sz w:val="21"/>
        </w:rPr>
        <w:t xml:space="preserve">must health-check </w:t>
      </w:r>
      <w:r>
        <w:rPr>
          <w:rFonts w:ascii="Courier New" w:hAnsi="Courier New" w:eastAsia="Courier New"/>
          <w:b/>
          <w:i w:val="0"/>
          <w:color w:val="1F2933"/>
          <w:sz w:val="19"/>
        </w:rPr>
        <w:t>/health/</w:t>
      </w:r>
      <w:r>
        <w:rPr>
          <w:rFonts w:ascii="Calibri" w:hAnsi="Calibri"/>
          <w:b/>
          <w:i w:val="0"/>
          <w:color w:val="1F2933"/>
          <w:sz w:val="21"/>
        </w:rPr>
        <w:t xml:space="preserve"> over plain HTTP</w:t>
      </w:r>
      <w:r>
        <w:rPr>
          <w:rFonts w:ascii="Calibri" w:hAnsi="Calibri"/>
          <w:b w:val="0"/>
          <w:i w:val="0"/>
          <w:color w:val="1F2933"/>
          <w:sz w:val="21"/>
        </w:rPr>
        <w:t xml:space="preserve"> and forward </w:t>
      </w:r>
      <w:r>
        <w:rPr>
          <w:rFonts w:ascii="Courier New" w:hAnsi="Courier New" w:eastAsia="Courier New"/>
          <w:b w:val="0"/>
          <w:i w:val="0"/>
          <w:color w:val="1F2933"/>
          <w:sz w:val="19"/>
        </w:rPr>
        <w:t>X-Forwarded-Proto</w:t>
      </w:r>
      <w:r>
        <w:rPr>
          <w:rFonts w:ascii="Calibri" w:hAnsi="Calibri"/>
          <w:b w:val="0"/>
          <w:i w:val="0"/>
          <w:color w:val="1F2933"/>
          <w:sz w:val="21"/>
        </w:rPr>
        <w:t xml:space="preserve">; </w:t>
      </w:r>
      <w:r>
        <w:rPr>
          <w:rFonts w:ascii="Courier New" w:hAnsi="Courier New" w:eastAsia="Courier New"/>
          <w:b w:val="0"/>
          <w:i w:val="0"/>
          <w:color w:val="1F2933"/>
          <w:sz w:val="19"/>
        </w:rPr>
        <w:t>/health/</w:t>
      </w:r>
      <w:r>
        <w:rPr>
          <w:rFonts w:ascii="Calibri" w:hAnsi="Calibri"/>
          <w:b w:val="0"/>
          <w:i w:val="0"/>
          <w:color w:val="1F2933"/>
          <w:sz w:val="21"/>
        </w:rPr>
        <w:t xml:space="preserve"> is exempt from the HTTPS redirect for exactly that reason. With nginx, set </w:t>
      </w:r>
      <w:r>
        <w:rPr>
          <w:rFonts w:ascii="Courier New" w:hAnsi="Courier New" w:eastAsia="Courier New"/>
          <w:b w:val="0"/>
          <w:i w:val="0"/>
          <w:color w:val="1F2933"/>
          <w:sz w:val="19"/>
        </w:rPr>
        <w:t>proxy_read_timeout 300s;</w:t>
      </w:r>
      <w:r>
        <w:rPr>
          <w:rFonts w:ascii="Calibri" w:hAnsi="Calibri"/>
          <w:b w:val="0"/>
          <w:i w:val="0"/>
          <w:color w:val="1F2933"/>
          <w:sz w:val="21"/>
        </w:rPr>
        <w:t xml:space="preserve"> — the 60-second default cuts long replies off mid-sentence.</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WHAT THIS PATH DOES NOT GIVE YOU</w:t>
            </w:r>
          </w:p>
          <w:p>
            <w:pPr>
              <w:spacing w:after="100"/>
            </w:pPr>
            <w:r>
              <w:rPr>
                <w:rFonts w:ascii="Calibri" w:hAnsi="Calibri"/>
                <w:b w:val="0"/>
                <w:i w:val="0"/>
                <w:color w:val="1F2933"/>
                <w:sz w:val="19"/>
              </w:rPr>
              <w:t>The database — installing, tuning, securing and backing up Postgres is yours, and nothing here creates a backup schedule. TLS — no certificate is obtained or renewed for you. Isolation — the application runs as a normal process, not in a container. And note that leaving the database URL unset falls back to a file-based database in the data directory: workable for one small school, but pgvector is unavailable there, so knowledge-base search degrades to a slower exact scan that will not hold up under a whole school.</w:t>
            </w:r>
          </w:p>
        </w:tc>
      </w:tr>
    </w:tbl>
    <w:p>
      <w:pPr>
        <w:spacing w:after="40"/>
      </w:pPr>
    </w:p>
    <w:p>
      <w:pPr>
        <w:spacing w:after="140"/>
      </w:pPr>
      <w:r>
        <w:rPr>
          <w:rFonts w:ascii="Calibri" w:hAnsi="Calibri"/>
          <w:b/>
          <w:i w:val="0"/>
          <w:color w:val="1F2933"/>
          <w:sz w:val="21"/>
        </w:rPr>
        <w:t>Upgrading is manual on this path</w:t>
      </w:r>
      <w:r>
        <w:rPr>
          <w:rFonts w:ascii="Calibri" w:hAnsi="Calibri"/>
          <w:b w:val="0"/>
          <w:i w:val="0"/>
          <w:color w:val="1F2933"/>
          <w:sz w:val="21"/>
        </w:rPr>
        <w:t>, and it is the one most often got wrong: pip replaces the code and restarts nothing.</w:t>
      </w:r>
    </w:p>
    <w:p>
      <w:pPr>
        <w:spacing w:after="120"/>
        <w:ind w:left="283"/>
      </w:pPr>
      <w:r>
        <w:rPr>
          <w:rFonts w:ascii="Courier New" w:hAnsi="Courier New" w:eastAsia="Courier New"/>
          <w:color w:val="333D47"/>
          <w:sz w:val="17"/>
        </w:rPr>
        <w:t>sudo /opt/ai-tutor/venv/bin/pip install --upgrade ai-tutor</w:t>
        <w:br/>
        <w:t>sudo /opt/ai-tutor/venv/bin/ai-tutor migrate</w:t>
        <w:br/>
        <w:t>sudo /opt/ai-tutor/venv/bin/ai-tutor collectstatic --noinput</w:t>
        <w:br/>
        <w:t>sudo systemctl restart ai-tutor</w:t>
      </w:r>
    </w:p>
    <w:p>
      <w:pPr>
        <w:pStyle w:val="Heading2"/>
      </w:pPr>
      <w:r>
        <w:t>The two offline shapes</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701"/>
            <w:shd w:val="clear" w:fill="1F2933"/>
          </w:tcPr>
          <w:p>
            <w:pPr>
              <w:spacing w:after="40" w:before="40"/>
            </w:pPr>
            <w:r/>
            <w:r>
              <w:rPr>
                <w:rFonts w:ascii="Calibri" w:hAnsi="Calibri"/>
                <w:b/>
                <w:i w:val="0"/>
                <w:color w:val="FFFFFF"/>
                <w:sz w:val="17"/>
              </w:rPr>
              <w:t>Shape</w:t>
            </w:r>
          </w:p>
        </w:tc>
        <w:tc>
          <w:tcPr>
            <w:tcW w:type="dxa" w:w="5102"/>
            <w:shd w:val="clear" w:fill="1F2933"/>
          </w:tcPr>
          <w:p>
            <w:pPr>
              <w:spacing w:after="40" w:before="40"/>
            </w:pPr>
            <w:r/>
            <w:r>
              <w:rPr>
                <w:rFonts w:ascii="Calibri" w:hAnsi="Calibri"/>
                <w:b/>
                <w:i w:val="0"/>
                <w:color w:val="FFFFFF"/>
                <w:sz w:val="17"/>
              </w:rPr>
              <w:t>What it is</w:t>
            </w:r>
          </w:p>
        </w:tc>
        <w:tc>
          <w:tcPr>
            <w:tcW w:type="dxa" w:w="2608"/>
            <w:shd w:val="clear" w:fill="1F2933"/>
          </w:tcPr>
          <w:p>
            <w:pPr>
              <w:spacing w:after="40" w:before="40"/>
            </w:pPr>
            <w:r/>
            <w:r>
              <w:rPr>
                <w:rFonts w:ascii="Calibri" w:hAnsi="Calibri"/>
                <w:b/>
                <w:i w:val="0"/>
                <w:color w:val="FFFFFF"/>
                <w:sz w:val="17"/>
              </w:rPr>
              <w:t>What it needs</w:t>
            </w:r>
          </w:p>
        </w:tc>
      </w:tr>
      <w:tr>
        <w:trPr>
          <w:cantSplit/>
        </w:trPr>
        <w:tc>
          <w:tcPr>
            <w:tcW w:type="dxa" w:w="1701"/>
          </w:tcPr>
          <w:p>
            <w:pPr>
              <w:spacing w:after="40" w:before="40"/>
            </w:pPr>
            <w:r/>
            <w:r>
              <w:rPr>
                <w:rFonts w:ascii="Calibri" w:hAnsi="Calibri"/>
                <w:b w:val="0"/>
                <w:i w:val="0"/>
                <w:color w:val="1F2933"/>
                <w:sz w:val="17"/>
              </w:rPr>
              <w:t>Offline desktop application</w:t>
            </w:r>
          </w:p>
        </w:tc>
        <w:tc>
          <w:tcPr>
            <w:tcW w:type="dxa" w:w="5102"/>
          </w:tcPr>
          <w:p>
            <w:pPr>
              <w:spacing w:after="40" w:before="40"/>
            </w:pPr>
            <w:r/>
            <w:r>
              <w:rPr>
                <w:rFonts w:ascii="Calibri" w:hAnsi="Calibri"/>
                <w:b w:val="0"/>
                <w:i w:val="0"/>
                <w:color w:val="1F2933"/>
                <w:sz w:val="17"/>
              </w:rPr>
              <w:t>Linux, Windows and macOS. Runs a model on the classroom machine and never calls out. Work syncs back to a server when one is reachable; provisioned laptops are seeded from a content pack on removable media.</w:t>
            </w:r>
          </w:p>
        </w:tc>
        <w:tc>
          <w:tcPr>
            <w:tcW w:type="dxa" w:w="2608"/>
          </w:tcPr>
          <w:p>
            <w:pPr>
              <w:spacing w:after="40" w:before="40"/>
            </w:pPr>
            <w:r/>
            <w:r>
              <w:rPr>
                <w:rFonts w:ascii="Calibri" w:hAnsi="Calibri"/>
                <w:b w:val="0"/>
                <w:i w:val="0"/>
                <w:color w:val="1F2933"/>
                <w:sz w:val="17"/>
              </w:rPr>
              <w:t>A classroom machine able to run a small local model. No internet.</w:t>
            </w:r>
          </w:p>
        </w:tc>
      </w:tr>
      <w:tr>
        <w:trPr>
          <w:cantSplit/>
        </w:trPr>
        <w:tc>
          <w:tcPr>
            <w:tcW w:type="dxa" w:w="1701"/>
            <w:shd w:val="clear" w:fill="F4F6F8"/>
          </w:tcPr>
          <w:p>
            <w:pPr>
              <w:spacing w:after="40" w:before="40"/>
            </w:pPr>
            <w:r/>
            <w:r>
              <w:rPr>
                <w:rFonts w:ascii="Calibri" w:hAnsi="Calibri"/>
                <w:b w:val="0"/>
                <w:i w:val="0"/>
                <w:color w:val="1F2933"/>
                <w:sz w:val="17"/>
              </w:rPr>
              <w:t>Offline kiosk</w:t>
            </w:r>
          </w:p>
        </w:tc>
        <w:tc>
          <w:tcPr>
            <w:tcW w:type="dxa" w:w="5102"/>
            <w:shd w:val="clear" w:fill="F4F6F8"/>
          </w:tcPr>
          <w:p>
            <w:pPr>
              <w:spacing w:after="40" w:before="40"/>
            </w:pPr>
            <w:r/>
            <w:r>
              <w:rPr>
                <w:rFonts w:ascii="Calibri" w:hAnsi="Calibri"/>
                <w:b w:val="0"/>
                <w:i w:val="0"/>
                <w:color w:val="1F2933"/>
                <w:sz w:val="17"/>
              </w:rPr>
              <w:t>A small board that broadcasts its own WiFi and serves the tutor at a fixed address to any browser in the room. No monitor, no keyboard. First reply after a cold boot takes about ninety seconds while the model loads; later turns settle to around twenty.</w:t>
            </w:r>
          </w:p>
        </w:tc>
        <w:tc>
          <w:tcPr>
            <w:tcW w:type="dxa" w:w="2608"/>
            <w:shd w:val="clear" w:fill="F4F6F8"/>
          </w:tcPr>
          <w:p>
            <w:pPr>
              <w:spacing w:after="40" w:before="40"/>
            </w:pPr>
            <w:r/>
            <w:r>
              <w:rPr>
                <w:rFonts w:ascii="Calibri" w:hAnsi="Calibri"/>
                <w:b w:val="0"/>
                <w:i w:val="0"/>
                <w:color w:val="1F2933"/>
                <w:sz w:val="17"/>
              </w:rPr>
              <w:t>Jetson-class hardware. It is either an access point or joined to your WiFi, never both.</w:t>
            </w:r>
          </w:p>
        </w:tc>
      </w:tr>
    </w:tbl>
    <w:p>
      <w:pPr>
        <w:spacing w:after="40"/>
      </w:pPr>
    </w:p>
    <w:p>
      <w:pPr>
        <w:spacing w:after="140"/>
      </w:pPr>
      <w:r>
        <w:rPr>
          <w:rFonts w:ascii="Calibri" w:hAnsi="Calibri"/>
          <w:b w:val="0"/>
          <w:i w:val="0"/>
          <w:color w:val="1F2933"/>
          <w:sz w:val="21"/>
        </w:rPr>
        <w:t>Both trade tutoring quality for independence, and section 8 is how you find out by how much on your own content. On the kiosk, confirm which model is actually selected: a cloud model configured on an offline board is the failure that silently breaks it, which is why the status command flags it.</w:t>
      </w:r>
    </w:p>
    <w:p>
      <w:pPr>
        <w:pStyle w:val="Heading2"/>
      </w:pPr>
      <w:r>
        <w:t>When something is wrong</w:t>
      </w:r>
    </w:p>
    <w:p>
      <w:pPr>
        <w:spacing w:after="140"/>
      </w:pPr>
      <w:r>
        <w:rPr>
          <w:rFonts w:ascii="Calibri" w:hAnsi="Calibri"/>
          <w:b w:val="0"/>
          <w:i w:val="0"/>
          <w:color w:val="1F2933"/>
          <w:sz w:val="21"/>
        </w:rPr>
        <w:t>Symptoms first, because that is how they present.</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2268"/>
            <w:shd w:val="clear" w:fill="1F2933"/>
          </w:tcPr>
          <w:p>
            <w:pPr>
              <w:spacing w:after="40" w:before="40"/>
            </w:pPr>
            <w:r/>
            <w:r>
              <w:rPr>
                <w:rFonts w:ascii="Calibri" w:hAnsi="Calibri"/>
                <w:b/>
                <w:i w:val="0"/>
                <w:color w:val="FFFFFF"/>
                <w:sz w:val="17"/>
              </w:rPr>
              <w:t>What you see</w:t>
            </w:r>
          </w:p>
        </w:tc>
        <w:tc>
          <w:tcPr>
            <w:tcW w:type="dxa" w:w="3061"/>
            <w:shd w:val="clear" w:fill="1F2933"/>
          </w:tcPr>
          <w:p>
            <w:pPr>
              <w:spacing w:after="40" w:before="40"/>
            </w:pPr>
            <w:r/>
            <w:r>
              <w:rPr>
                <w:rFonts w:ascii="Calibri" w:hAnsi="Calibri"/>
                <w:b/>
                <w:i w:val="0"/>
                <w:color w:val="FFFFFF"/>
                <w:sz w:val="17"/>
              </w:rPr>
              <w:t>Cause</w:t>
            </w:r>
          </w:p>
        </w:tc>
        <w:tc>
          <w:tcPr>
            <w:tcW w:type="dxa" w:w="4082"/>
            <w:shd w:val="clear" w:fill="1F2933"/>
          </w:tcPr>
          <w:p>
            <w:pPr>
              <w:spacing w:after="40" w:before="40"/>
            </w:pPr>
            <w:r/>
            <w:r>
              <w:rPr>
                <w:rFonts w:ascii="Calibri" w:hAnsi="Calibri"/>
                <w:b/>
                <w:i w:val="0"/>
                <w:color w:val="FFFFFF"/>
                <w:sz w:val="17"/>
              </w:rPr>
              <w:t>Fix</w:t>
            </w:r>
          </w:p>
        </w:tc>
      </w:tr>
      <w:tr>
        <w:trPr>
          <w:cantSplit/>
        </w:trPr>
        <w:tc>
          <w:tcPr>
            <w:tcW w:type="dxa" w:w="2268"/>
          </w:tcPr>
          <w:p>
            <w:pPr>
              <w:spacing w:after="40" w:before="40"/>
            </w:pPr>
            <w:r/>
            <w:r>
              <w:rPr>
                <w:rFonts w:ascii="Calibri" w:hAnsi="Calibri"/>
                <w:b w:val="0"/>
                <w:i w:val="0"/>
                <w:color w:val="1F2933"/>
                <w:sz w:val="17"/>
              </w:rPr>
              <w:t>Login returns 403 and the form just bounces back, with no error anywhere</w:t>
            </w:r>
          </w:p>
        </w:tc>
        <w:tc>
          <w:tcPr>
            <w:tcW w:type="dxa" w:w="3061"/>
          </w:tcPr>
          <w:p>
            <w:pPr>
              <w:spacing w:after="40" w:before="40"/>
            </w:pPr>
            <w:r/>
            <w:r>
              <w:rPr>
                <w:rFonts w:ascii="Calibri" w:hAnsi="Calibri"/>
                <w:b w:val="0"/>
                <w:i w:val="0"/>
                <w:color w:val="1F2933"/>
                <w:sz w:val="17"/>
              </w:rPr>
              <w:t>Session and CSRF cookies are marked Secure, and a browser will not send those over plain HTTP</w:t>
            </w:r>
          </w:p>
        </w:tc>
        <w:tc>
          <w:tcPr>
            <w:tcW w:type="dxa" w:w="4082"/>
          </w:tcPr>
          <w:p>
            <w:pPr>
              <w:spacing w:after="40" w:before="40"/>
            </w:pPr>
            <w:r/>
            <w:r>
              <w:rPr>
                <w:rFonts w:ascii="Calibri" w:hAnsi="Calibri"/>
                <w:b w:val="0"/>
                <w:i w:val="0"/>
                <w:color w:val="1F2933"/>
                <w:sz w:val="17"/>
              </w:rPr>
              <w:t xml:space="preserve">Finish the TLS setup. Or set </w:t>
            </w:r>
            <w:r>
              <w:rPr>
                <w:rFonts w:ascii="Courier New" w:hAnsi="Courier New" w:eastAsia="Courier New"/>
                <w:b w:val="0"/>
                <w:i w:val="0"/>
                <w:color w:val="1F2933"/>
                <w:sz w:val="15"/>
              </w:rPr>
              <w:t>HTTPS_EDGE=false</w:t>
            </w:r>
            <w:r>
              <w:rPr>
                <w:rFonts w:ascii="Calibri" w:hAnsi="Calibri"/>
                <w:b w:val="0"/>
                <w:i w:val="0"/>
                <w:color w:val="1F2933"/>
                <w:sz w:val="17"/>
              </w:rPr>
              <w:t xml:space="preserve"> and switch to the plain-HTTP configuration — only on an isolated network.</w:t>
            </w:r>
          </w:p>
        </w:tc>
      </w:tr>
      <w:tr>
        <w:trPr>
          <w:cantSplit/>
        </w:trPr>
        <w:tc>
          <w:tcPr>
            <w:tcW w:type="dxa" w:w="2268"/>
            <w:shd w:val="clear" w:fill="F4F6F8"/>
          </w:tcPr>
          <w:p>
            <w:pPr>
              <w:spacing w:after="40" w:before="40"/>
            </w:pPr>
            <w:r/>
            <w:r>
              <w:rPr>
                <w:rFonts w:ascii="Calibri" w:hAnsi="Calibri"/>
                <w:b w:val="0"/>
                <w:i w:val="0"/>
                <w:color w:val="1F2933"/>
                <w:sz w:val="17"/>
              </w:rPr>
              <w:t>Every form POST fails the CSRF check, including login</w:t>
            </w:r>
          </w:p>
        </w:tc>
        <w:tc>
          <w:tcPr>
            <w:tcW w:type="dxa" w:w="3061"/>
            <w:shd w:val="clear" w:fill="F4F6F8"/>
          </w:tcPr>
          <w:p>
            <w:pPr>
              <w:spacing w:after="40" w:before="40"/>
            </w:pPr>
            <w:r/>
            <w:r>
              <w:rPr>
                <w:rFonts w:ascii="Courier New" w:hAnsi="Courier New" w:eastAsia="Courier New"/>
                <w:b w:val="0"/>
                <w:i w:val="0"/>
                <w:color w:val="1F2933"/>
                <w:sz w:val="15"/>
              </w:rPr>
              <w:t>CSRF_TRUSTED_ORIGINS</w:t>
            </w:r>
            <w:r>
              <w:rPr>
                <w:rFonts w:ascii="Calibri" w:hAnsi="Calibri"/>
                <w:b w:val="0"/>
                <w:i w:val="0"/>
                <w:color w:val="1F2933"/>
                <w:sz w:val="17"/>
              </w:rPr>
              <w:t xml:space="preserve"> is unset or missing the scheme</w:t>
            </w:r>
          </w:p>
        </w:tc>
        <w:tc>
          <w:tcPr>
            <w:tcW w:type="dxa" w:w="4082"/>
            <w:shd w:val="clear" w:fill="F4F6F8"/>
          </w:tcPr>
          <w:p>
            <w:pPr>
              <w:spacing w:after="40" w:before="40"/>
            </w:pPr>
            <w:r/>
            <w:r>
              <w:rPr>
                <w:rFonts w:ascii="Calibri" w:hAnsi="Calibri"/>
                <w:b w:val="0"/>
                <w:i w:val="0"/>
                <w:color w:val="1F2933"/>
                <w:sz w:val="17"/>
              </w:rPr>
              <w:t xml:space="preserve">It needs the full origin — </w:t>
            </w:r>
            <w:r>
              <w:rPr>
                <w:rFonts w:ascii="Courier New" w:hAnsi="Courier New" w:eastAsia="Courier New"/>
                <w:b w:val="0"/>
                <w:i w:val="0"/>
                <w:color w:val="1F2933"/>
                <w:sz w:val="15"/>
              </w:rPr>
              <w:t>https://tutor.example.gov</w:t>
            </w:r>
            <w:r>
              <w:rPr>
                <w:rFonts w:ascii="Calibri" w:hAnsi="Calibri"/>
                <w:b w:val="0"/>
                <w:i w:val="0"/>
                <w:color w:val="1F2933"/>
                <w:sz w:val="17"/>
              </w:rPr>
              <w:t>, not a bare hostname. This is the single most common first-deployment failure.</w:t>
            </w:r>
          </w:p>
        </w:tc>
      </w:tr>
      <w:tr>
        <w:trPr>
          <w:cantSplit/>
        </w:trPr>
        <w:tc>
          <w:tcPr>
            <w:tcW w:type="dxa" w:w="2268"/>
          </w:tcPr>
          <w:p>
            <w:pPr>
              <w:spacing w:after="40" w:before="40"/>
            </w:pPr>
            <w:r/>
            <w:r>
              <w:rPr>
                <w:rFonts w:ascii="Calibri" w:hAnsi="Calibri"/>
                <w:b w:val="0"/>
                <w:i w:val="0"/>
                <w:color w:val="1F2933"/>
                <w:sz w:val="17"/>
              </w:rPr>
              <w:t xml:space="preserve">A </w:t>
            </w:r>
            <w:r>
              <w:rPr>
                <w:rFonts w:ascii="Courier New" w:hAnsi="Courier New" w:eastAsia="Courier New"/>
                <w:b w:val="0"/>
                <w:i w:val="0"/>
                <w:color w:val="1F2933"/>
                <w:sz w:val="15"/>
              </w:rPr>
              <w:t>DisallowedHost</w:t>
            </w:r>
            <w:r>
              <w:rPr>
                <w:rFonts w:ascii="Calibri" w:hAnsi="Calibri"/>
                <w:b w:val="0"/>
                <w:i w:val="0"/>
                <w:color w:val="1F2933"/>
                <w:sz w:val="17"/>
              </w:rPr>
              <w:t xml:space="preserve"> error page</w:t>
            </w:r>
          </w:p>
        </w:tc>
        <w:tc>
          <w:tcPr>
            <w:tcW w:type="dxa" w:w="3061"/>
          </w:tcPr>
          <w:p>
            <w:pPr>
              <w:spacing w:after="40" w:before="40"/>
            </w:pPr>
            <w:r/>
            <w:r>
              <w:rPr>
                <w:rFonts w:ascii="Calibri" w:hAnsi="Calibri"/>
                <w:b w:val="0"/>
                <w:i w:val="0"/>
                <w:color w:val="1F2933"/>
                <w:sz w:val="17"/>
              </w:rPr>
              <w:t xml:space="preserve">The Host header does not match </w:t>
            </w:r>
            <w:r>
              <w:rPr>
                <w:rFonts w:ascii="Courier New" w:hAnsi="Courier New" w:eastAsia="Courier New"/>
                <w:b w:val="0"/>
                <w:i w:val="0"/>
                <w:color w:val="1F2933"/>
                <w:sz w:val="15"/>
              </w:rPr>
              <w:t>ALLOWED_HOSTS</w:t>
            </w:r>
          </w:p>
        </w:tc>
        <w:tc>
          <w:tcPr>
            <w:tcW w:type="dxa" w:w="4082"/>
          </w:tcPr>
          <w:p>
            <w:pPr>
              <w:spacing w:after="40" w:before="40"/>
            </w:pPr>
            <w:r/>
            <w:r>
              <w:rPr>
                <w:rFonts w:ascii="Calibri" w:hAnsi="Calibri"/>
                <w:b w:val="0"/>
                <w:i w:val="0"/>
                <w:color w:val="1F2933"/>
                <w:sz w:val="17"/>
              </w:rPr>
              <w:t>Add the hostname, including any alias students use.</w:t>
            </w:r>
          </w:p>
        </w:tc>
      </w:tr>
      <w:tr>
        <w:trPr>
          <w:cantSplit/>
        </w:trPr>
        <w:tc>
          <w:tcPr>
            <w:tcW w:type="dxa" w:w="2268"/>
            <w:shd w:val="clear" w:fill="F4F6F8"/>
          </w:tcPr>
          <w:p>
            <w:pPr>
              <w:spacing w:after="40" w:before="40"/>
            </w:pPr>
            <w:r/>
            <w:r>
              <w:rPr>
                <w:rFonts w:ascii="Calibri" w:hAnsi="Calibri"/>
                <w:b w:val="0"/>
                <w:i w:val="0"/>
                <w:color w:val="1F2933"/>
                <w:sz w:val="17"/>
              </w:rPr>
              <w:t>The application refuses to start, complaining about the signing key</w:t>
            </w:r>
          </w:p>
        </w:tc>
        <w:tc>
          <w:tcPr>
            <w:tcW w:type="dxa" w:w="3061"/>
            <w:shd w:val="clear" w:fill="F4F6F8"/>
          </w:tcPr>
          <w:p>
            <w:pPr>
              <w:spacing w:after="40" w:before="40"/>
            </w:pPr>
            <w:r/>
            <w:r>
              <w:rPr>
                <w:rFonts w:ascii="Calibri" w:hAnsi="Calibri"/>
                <w:b w:val="0"/>
                <w:i w:val="0"/>
                <w:color w:val="1F2933"/>
                <w:sz w:val="17"/>
              </w:rPr>
              <w:t>It is still the development default and debug mode is off</w:t>
            </w:r>
          </w:p>
        </w:tc>
        <w:tc>
          <w:tcPr>
            <w:tcW w:type="dxa" w:w="4082"/>
            <w:shd w:val="clear" w:fill="F4F6F8"/>
          </w:tcPr>
          <w:p>
            <w:pPr>
              <w:spacing w:after="40" w:before="40"/>
            </w:pPr>
            <w:r/>
            <w:r>
              <w:rPr>
                <w:rFonts w:ascii="Calibri" w:hAnsi="Calibri"/>
                <w:b w:val="0"/>
                <w:i w:val="0"/>
                <w:color w:val="1F2933"/>
                <w:sz w:val="17"/>
              </w:rPr>
              <w:t>Working as intended. Generate one.</w:t>
            </w:r>
          </w:p>
        </w:tc>
      </w:tr>
      <w:tr>
        <w:trPr>
          <w:cantSplit/>
        </w:trPr>
        <w:tc>
          <w:tcPr>
            <w:tcW w:type="dxa" w:w="2268"/>
          </w:tcPr>
          <w:p>
            <w:pPr>
              <w:spacing w:after="40" w:before="40"/>
            </w:pPr>
            <w:r/>
            <w:r>
              <w:rPr>
                <w:rFonts w:ascii="Calibri" w:hAnsi="Calibri"/>
                <w:b w:val="0"/>
                <w:i w:val="0"/>
                <w:color w:val="1F2933"/>
                <w:sz w:val="17"/>
              </w:rPr>
              <w:t>Tutor replies cut off or come back blank on long answers</w:t>
            </w:r>
          </w:p>
        </w:tc>
        <w:tc>
          <w:tcPr>
            <w:tcW w:type="dxa" w:w="3061"/>
          </w:tcPr>
          <w:p>
            <w:pPr>
              <w:spacing w:after="40" w:before="40"/>
            </w:pPr>
            <w:r/>
            <w:r>
              <w:rPr>
                <w:rFonts w:ascii="Calibri" w:hAnsi="Calibri"/>
                <w:b w:val="0"/>
                <w:i w:val="0"/>
                <w:color w:val="1F2933"/>
                <w:sz w:val="17"/>
              </w:rPr>
              <w:t>A proxy timeout shorter than the model's reply</w:t>
            </w:r>
          </w:p>
        </w:tc>
        <w:tc>
          <w:tcPr>
            <w:tcW w:type="dxa" w:w="4082"/>
          </w:tcPr>
          <w:p>
            <w:pPr>
              <w:spacing w:after="40" w:before="40"/>
            </w:pPr>
            <w:r/>
            <w:r>
              <w:rPr>
                <w:rFonts w:ascii="Calibri" w:hAnsi="Calibri"/>
                <w:b w:val="0"/>
                <w:i w:val="0"/>
                <w:color w:val="1F2933"/>
                <w:sz w:val="17"/>
              </w:rPr>
              <w:t>Both Caddy and gunicorn are set to 300 s here. Raise any proxy of your own to match.</w:t>
            </w:r>
          </w:p>
        </w:tc>
      </w:tr>
      <w:tr>
        <w:trPr>
          <w:cantSplit/>
        </w:trPr>
        <w:tc>
          <w:tcPr>
            <w:tcW w:type="dxa" w:w="2268"/>
            <w:shd w:val="clear" w:fill="F4F6F8"/>
          </w:tcPr>
          <w:p>
            <w:pPr>
              <w:spacing w:after="40" w:before="40"/>
            </w:pPr>
            <w:r/>
            <w:r>
              <w:rPr>
                <w:rFonts w:ascii="Calibri" w:hAnsi="Calibri"/>
                <w:b w:val="0"/>
                <w:i w:val="0"/>
                <w:color w:val="1F2933"/>
                <w:sz w:val="17"/>
              </w:rPr>
              <w:t>The certificate never issues</w:t>
            </w:r>
          </w:p>
        </w:tc>
        <w:tc>
          <w:tcPr>
            <w:tcW w:type="dxa" w:w="3061"/>
            <w:shd w:val="clear" w:fill="F4F6F8"/>
          </w:tcPr>
          <w:p>
            <w:pPr>
              <w:spacing w:after="40" w:before="40"/>
            </w:pPr>
            <w:r/>
            <w:r>
              <w:rPr>
                <w:rFonts w:ascii="Calibri" w:hAnsi="Calibri"/>
                <w:b w:val="0"/>
                <w:i w:val="0"/>
                <w:color w:val="1F2933"/>
                <w:sz w:val="17"/>
              </w:rPr>
              <w:t>The domain does not resolve to this server, or 80/443 are blocked</w:t>
            </w:r>
          </w:p>
        </w:tc>
        <w:tc>
          <w:tcPr>
            <w:tcW w:type="dxa" w:w="4082"/>
            <w:shd w:val="clear" w:fill="F4F6F8"/>
          </w:tcPr>
          <w:p>
            <w:pPr>
              <w:spacing w:after="40" w:before="40"/>
            </w:pPr>
            <w:r/>
            <w:r>
              <w:rPr>
                <w:rFonts w:ascii="Calibri" w:hAnsi="Calibri"/>
                <w:b w:val="0"/>
                <w:i w:val="0"/>
                <w:color w:val="1F2933"/>
                <w:sz w:val="17"/>
              </w:rPr>
              <w:t>Check DNS and the firewall. Caddy retries; its log says which.</w:t>
            </w:r>
          </w:p>
        </w:tc>
      </w:tr>
      <w:tr>
        <w:trPr>
          <w:cantSplit/>
        </w:trPr>
        <w:tc>
          <w:tcPr>
            <w:tcW w:type="dxa" w:w="2268"/>
          </w:tcPr>
          <w:p>
            <w:pPr>
              <w:spacing w:after="40" w:before="40"/>
            </w:pPr>
            <w:r/>
            <w:r>
              <w:rPr>
                <w:rFonts w:ascii="Calibri" w:hAnsi="Calibri"/>
                <w:b w:val="0"/>
                <w:i w:val="0"/>
                <w:color w:val="1F2933"/>
                <w:sz w:val="17"/>
              </w:rPr>
              <w:t>Lessons show broken images after a restore</w:t>
            </w:r>
          </w:p>
        </w:tc>
        <w:tc>
          <w:tcPr>
            <w:tcW w:type="dxa" w:w="3061"/>
          </w:tcPr>
          <w:p>
            <w:pPr>
              <w:spacing w:after="40" w:before="40"/>
            </w:pPr>
            <w:r/>
            <w:r>
              <w:rPr>
                <w:rFonts w:ascii="Calibri" w:hAnsi="Calibri"/>
                <w:b w:val="0"/>
                <w:i w:val="0"/>
                <w:color w:val="1F2933"/>
                <w:sz w:val="17"/>
              </w:rPr>
              <w:t>Database and media came from different moments</w:t>
            </w:r>
          </w:p>
        </w:tc>
        <w:tc>
          <w:tcPr>
            <w:tcW w:type="dxa" w:w="4082"/>
          </w:tcPr>
          <w:p>
            <w:pPr>
              <w:spacing w:after="40" w:before="40"/>
            </w:pPr>
            <w:r/>
            <w:r>
              <w:rPr>
                <w:rFonts w:ascii="Calibri" w:hAnsi="Calibri"/>
                <w:b w:val="0"/>
                <w:i w:val="0"/>
                <w:color w:val="1F2933"/>
                <w:sz w:val="17"/>
              </w:rPr>
              <w:t>Restore both halves from the same backup file.</w:t>
            </w:r>
          </w:p>
        </w:tc>
      </w:tr>
      <w:tr>
        <w:trPr>
          <w:cantSplit/>
        </w:trPr>
        <w:tc>
          <w:tcPr>
            <w:tcW w:type="dxa" w:w="2268"/>
            <w:shd w:val="clear" w:fill="F4F6F8"/>
          </w:tcPr>
          <w:p>
            <w:pPr>
              <w:spacing w:after="40" w:before="40"/>
            </w:pPr>
            <w:r/>
            <w:r>
              <w:rPr>
                <w:rFonts w:ascii="Calibri" w:hAnsi="Calibri"/>
                <w:b w:val="0"/>
                <w:i w:val="0"/>
                <w:color w:val="1F2933"/>
                <w:sz w:val="17"/>
              </w:rPr>
              <w:t>The proxy returns 502 but the application reports healthy</w:t>
            </w:r>
          </w:p>
        </w:tc>
        <w:tc>
          <w:tcPr>
            <w:tcW w:type="dxa" w:w="3061"/>
            <w:shd w:val="clear" w:fill="F4F6F8"/>
          </w:tcPr>
          <w:p>
            <w:pPr>
              <w:spacing w:after="40" w:before="40"/>
            </w:pPr>
            <w:r/>
            <w:r>
              <w:rPr>
                <w:rFonts w:ascii="Calibri" w:hAnsi="Calibri"/>
                <w:b w:val="0"/>
                <w:i w:val="0"/>
                <w:color w:val="1F2933"/>
                <w:sz w:val="17"/>
              </w:rPr>
              <w:t>The application is listening on loopback inside its container, so nothing else can reach it — and a healthcheck that only tests localhost passes anyway</w:t>
            </w:r>
          </w:p>
        </w:tc>
        <w:tc>
          <w:tcPr>
            <w:tcW w:type="dxa" w:w="4082"/>
            <w:shd w:val="clear" w:fill="F4F6F8"/>
          </w:tcPr>
          <w:p>
            <w:pPr>
              <w:spacing w:after="40" w:before="40"/>
            </w:pPr>
            <w:r/>
            <w:r>
              <w:rPr>
                <w:rFonts w:ascii="Calibri" w:hAnsi="Calibri"/>
                <w:b w:val="0"/>
                <w:i w:val="0"/>
                <w:color w:val="1F2933"/>
                <w:sz w:val="17"/>
              </w:rPr>
              <w:t xml:space="preserve">Its log must say </w:t>
            </w:r>
            <w:r>
              <w:rPr>
                <w:rFonts w:ascii="Courier New" w:hAnsi="Courier New" w:eastAsia="Courier New"/>
                <w:b w:val="0"/>
                <w:i w:val="0"/>
                <w:color w:val="1F2933"/>
                <w:sz w:val="15"/>
              </w:rPr>
              <w:t>Listening at: 0.0.0.0:8000</w:t>
            </w:r>
            <w:r>
              <w:rPr>
                <w:rFonts w:ascii="Calibri" w:hAnsi="Calibri"/>
                <w:b w:val="0"/>
                <w:i w:val="0"/>
                <w:color w:val="1F2933"/>
                <w:sz w:val="17"/>
              </w:rPr>
              <w:t xml:space="preserve">, not </w:t>
            </w:r>
            <w:r>
              <w:rPr>
                <w:rFonts w:ascii="Courier New" w:hAnsi="Courier New" w:eastAsia="Courier New"/>
                <w:b w:val="0"/>
                <w:i w:val="0"/>
                <w:color w:val="1F2933"/>
                <w:sz w:val="15"/>
              </w:rPr>
              <w:t>127.0.0.1:8000</w:t>
            </w:r>
            <w:r>
              <w:rPr>
                <w:rFonts w:ascii="Calibri" w:hAnsi="Calibri"/>
                <w:b w:val="0"/>
                <w:i w:val="0"/>
                <w:color w:val="1F2933"/>
                <w:sz w:val="17"/>
              </w:rPr>
              <w:t>.</w:t>
            </w:r>
          </w:p>
        </w:tc>
      </w:tr>
      <w:tr>
        <w:trPr>
          <w:cantSplit/>
        </w:trPr>
        <w:tc>
          <w:tcPr>
            <w:tcW w:type="dxa" w:w="2268"/>
          </w:tcPr>
          <w:p>
            <w:pPr>
              <w:spacing w:after="40" w:before="40"/>
            </w:pPr>
            <w:r/>
            <w:r>
              <w:rPr>
                <w:rFonts w:ascii="Calibri" w:hAnsi="Calibri"/>
                <w:b w:val="0"/>
                <w:i w:val="0"/>
                <w:color w:val="1F2933"/>
                <w:sz w:val="17"/>
              </w:rPr>
              <w:t>An upgrade appears to do nothing (Path C)</w:t>
            </w:r>
          </w:p>
        </w:tc>
        <w:tc>
          <w:tcPr>
            <w:tcW w:type="dxa" w:w="3061"/>
          </w:tcPr>
          <w:p>
            <w:pPr>
              <w:spacing w:after="40" w:before="40"/>
            </w:pPr>
            <w:r/>
            <w:r>
              <w:rPr>
                <w:rFonts w:ascii="Calibri" w:hAnsi="Calibri"/>
                <w:b w:val="0"/>
                <w:i w:val="0"/>
                <w:color w:val="1F2933"/>
                <w:sz w:val="17"/>
              </w:rPr>
              <w:t>The service is still running the old code</w:t>
            </w:r>
          </w:p>
        </w:tc>
        <w:tc>
          <w:tcPr>
            <w:tcW w:type="dxa" w:w="4082"/>
          </w:tcPr>
          <w:p>
            <w:pPr>
              <w:spacing w:after="40" w:before="40"/>
            </w:pPr>
            <w:r/>
            <w:r>
              <w:rPr>
                <w:rFonts w:ascii="Courier New" w:hAnsi="Courier New" w:eastAsia="Courier New"/>
                <w:b w:val="0"/>
                <w:i w:val="0"/>
                <w:color w:val="1F2933"/>
                <w:sz w:val="15"/>
              </w:rPr>
              <w:t>systemctl restart ai-tutor</w:t>
            </w:r>
            <w:r>
              <w:rPr>
                <w:rFonts w:ascii="Calibri" w:hAnsi="Calibri"/>
                <w:b w:val="0"/>
                <w:i w:val="0"/>
                <w:color w:val="1F2933"/>
                <w:sz w:val="17"/>
              </w:rPr>
              <w:t xml:space="preserve"> after every upgrade. Unlike Compose, pip restarts nothing.</w:t>
            </w:r>
          </w:p>
        </w:tc>
      </w:tr>
    </w:tbl>
    <w:p>
      <w:pPr>
        <w:spacing w:after="40"/>
      </w:pPr>
    </w:p>
    <w:p>
      <w:pPr>
        <w:pStyle w:val="Heading2"/>
      </w:pPr>
      <w:r>
        <w:t>Backup and restore</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794"/>
            <w:shd w:val="clear" w:fill="1F2933"/>
          </w:tcPr>
          <w:p>
            <w:pPr>
              <w:spacing w:after="40" w:before="40"/>
            </w:pPr>
            <w:r/>
            <w:r>
              <w:rPr>
                <w:rFonts w:ascii="Calibri" w:hAnsi="Calibri"/>
                <w:b/>
                <w:i w:val="0"/>
                <w:color w:val="FFFFFF"/>
                <w:sz w:val="17"/>
              </w:rPr>
              <w:t>Path</w:t>
            </w:r>
          </w:p>
        </w:tc>
        <w:tc>
          <w:tcPr>
            <w:tcW w:type="dxa" w:w="8617"/>
            <w:shd w:val="clear" w:fill="1F2933"/>
          </w:tcPr>
          <w:p>
            <w:pPr>
              <w:spacing w:after="40" w:before="40"/>
            </w:pPr>
            <w:r/>
            <w:r>
              <w:rPr>
                <w:rFonts w:ascii="Calibri" w:hAnsi="Calibri"/>
                <w:b/>
                <w:i w:val="0"/>
                <w:color w:val="FFFFFF"/>
                <w:sz w:val="17"/>
              </w:rPr>
              <w:t>How</w:t>
            </w:r>
          </w:p>
        </w:tc>
      </w:tr>
      <w:tr>
        <w:trPr>
          <w:cantSplit/>
        </w:trPr>
        <w:tc>
          <w:tcPr>
            <w:tcW w:type="dxa" w:w="794"/>
          </w:tcPr>
          <w:p>
            <w:pPr>
              <w:spacing w:after="40" w:before="40"/>
            </w:pPr>
            <w:r/>
            <w:r>
              <w:rPr>
                <w:rFonts w:ascii="Calibri" w:hAnsi="Calibri"/>
                <w:b w:val="0"/>
                <w:i w:val="0"/>
                <w:color w:val="1F2933"/>
                <w:sz w:val="17"/>
              </w:rPr>
              <w:t>A</w:t>
            </w:r>
          </w:p>
        </w:tc>
        <w:tc>
          <w:tcPr>
            <w:tcW w:type="dxa" w:w="8617"/>
          </w:tcPr>
          <w:p>
            <w:pPr>
              <w:spacing w:after="40" w:before="40"/>
            </w:pPr>
            <w:r/>
            <w:r>
              <w:rPr>
                <w:rFonts w:ascii="Calibri" w:hAnsi="Calibri"/>
                <w:b w:val="0"/>
                <w:i w:val="0"/>
                <w:color w:val="1F2933"/>
                <w:sz w:val="17"/>
              </w:rPr>
              <w:t xml:space="preserve">Scripts ship alongside the compose file: </w:t>
            </w:r>
            <w:r>
              <w:rPr>
                <w:rFonts w:ascii="Courier New" w:hAnsi="Courier New" w:eastAsia="Courier New"/>
                <w:b w:val="0"/>
                <w:i w:val="0"/>
                <w:color w:val="1F2933"/>
                <w:sz w:val="15"/>
              </w:rPr>
              <w:t>./backup.sh</w:t>
            </w:r>
            <w:r>
              <w:rPr>
                <w:rFonts w:ascii="Calibri" w:hAnsi="Calibri"/>
                <w:b w:val="0"/>
                <w:i w:val="0"/>
                <w:color w:val="1F2933"/>
                <w:sz w:val="17"/>
              </w:rPr>
              <w:t xml:space="preserve"> → </w:t>
            </w:r>
            <w:r>
              <w:rPr>
                <w:rFonts w:ascii="Courier New" w:hAnsi="Courier New" w:eastAsia="Courier New"/>
                <w:b w:val="0"/>
                <w:i w:val="0"/>
                <w:color w:val="1F2933"/>
                <w:sz w:val="15"/>
              </w:rPr>
              <w:t>./backups/aitutor-YYYY-MM-DD-HHMM.tar.gz</w:t>
            </w:r>
            <w:r>
              <w:rPr>
                <w:rFonts w:ascii="Calibri" w:hAnsi="Calibri"/>
                <w:b w:val="0"/>
                <w:i w:val="0"/>
                <w:color w:val="1F2933"/>
                <w:sz w:val="17"/>
              </w:rPr>
              <w:t xml:space="preserve">, and </w:t>
            </w:r>
            <w:r>
              <w:rPr>
                <w:rFonts w:ascii="Courier New" w:hAnsi="Courier New" w:eastAsia="Courier New"/>
                <w:b w:val="0"/>
                <w:i w:val="0"/>
                <w:color w:val="1F2933"/>
                <w:sz w:val="15"/>
              </w:rPr>
              <w:t>./restore.sh backups/&lt;file&gt;.tar.gz</w:t>
            </w:r>
            <w:r>
              <w:rPr>
                <w:rFonts w:ascii="Calibri" w:hAnsi="Calibri"/>
                <w:b w:val="0"/>
                <w:i w:val="0"/>
                <w:color w:val="1F2933"/>
                <w:sz w:val="17"/>
              </w:rPr>
              <w:t xml:space="preserve"> to put it back. The archive holds the database </w:t>
            </w:r>
            <w:r>
              <w:rPr>
                <w:rFonts w:ascii="Calibri" w:hAnsi="Calibri"/>
                <w:b/>
                <w:i w:val="0"/>
                <w:color w:val="1F2933"/>
                <w:sz w:val="17"/>
              </w:rPr>
              <w:t>and</w:t>
            </w:r>
            <w:r>
              <w:rPr>
                <w:rFonts w:ascii="Calibri" w:hAnsi="Calibri"/>
                <w:b w:val="0"/>
                <w:i w:val="0"/>
                <w:color w:val="1F2933"/>
                <w:sz w:val="17"/>
              </w:rPr>
              <w:t xml:space="preserve"> the uploaded media, taken together.</w:t>
            </w:r>
          </w:p>
        </w:tc>
      </w:tr>
      <w:tr>
        <w:trPr>
          <w:cantSplit/>
        </w:trPr>
        <w:tc>
          <w:tcPr>
            <w:tcW w:type="dxa" w:w="794"/>
            <w:shd w:val="clear" w:fill="F4F6F8"/>
          </w:tcPr>
          <w:p>
            <w:pPr>
              <w:spacing w:after="40" w:before="40"/>
            </w:pPr>
            <w:r/>
            <w:r>
              <w:rPr>
                <w:rFonts w:ascii="Calibri" w:hAnsi="Calibri"/>
                <w:b w:val="0"/>
                <w:i w:val="0"/>
                <w:color w:val="1F2933"/>
                <w:sz w:val="17"/>
              </w:rPr>
              <w:t>B</w:t>
            </w:r>
          </w:p>
        </w:tc>
        <w:tc>
          <w:tcPr>
            <w:tcW w:type="dxa" w:w="8617"/>
            <w:shd w:val="clear" w:fill="F4F6F8"/>
          </w:tcPr>
          <w:p>
            <w:pPr>
              <w:spacing w:after="40" w:before="40"/>
            </w:pPr>
            <w:r/>
            <w:r>
              <w:rPr>
                <w:rFonts w:ascii="Calibri" w:hAnsi="Calibri"/>
                <w:b w:val="0"/>
                <w:i w:val="0"/>
                <w:color w:val="1F2933"/>
                <w:sz w:val="17"/>
              </w:rPr>
              <w:t>The managed database takes automated backups on a 14-day window; restore through the console or the shipped restore script. Media lives in object storage and is versioned separately.</w:t>
            </w:r>
          </w:p>
        </w:tc>
      </w:tr>
      <w:tr>
        <w:trPr>
          <w:cantSplit/>
        </w:trPr>
        <w:tc>
          <w:tcPr>
            <w:tcW w:type="dxa" w:w="794"/>
          </w:tcPr>
          <w:p>
            <w:pPr>
              <w:spacing w:after="40" w:before="40"/>
            </w:pPr>
            <w:r/>
            <w:r>
              <w:rPr>
                <w:rFonts w:ascii="Calibri" w:hAnsi="Calibri"/>
                <w:b w:val="0"/>
                <w:i w:val="0"/>
                <w:color w:val="1F2933"/>
                <w:sz w:val="17"/>
              </w:rPr>
              <w:t>C</w:t>
            </w:r>
          </w:p>
        </w:tc>
        <w:tc>
          <w:tcPr>
            <w:tcW w:type="dxa" w:w="8617"/>
          </w:tcPr>
          <w:p>
            <w:pPr>
              <w:spacing w:after="40" w:before="40"/>
            </w:pPr>
            <w:r/>
            <w:r>
              <w:rPr>
                <w:rFonts w:ascii="Calibri" w:hAnsi="Calibri"/>
                <w:b w:val="0"/>
                <w:i w:val="0"/>
                <w:color w:val="1F2933"/>
                <w:sz w:val="17"/>
              </w:rPr>
              <w:t xml:space="preserve">Nothing is scheduled for you. Both halves, together: </w:t>
            </w:r>
            <w:r>
              <w:rPr>
                <w:rFonts w:ascii="Courier New" w:hAnsi="Courier New" w:eastAsia="Courier New"/>
                <w:b w:val="0"/>
                <w:i w:val="0"/>
                <w:color w:val="1F2933"/>
                <w:sz w:val="15"/>
              </w:rPr>
              <w:t>pg_dump -Fc aitutor &gt; /mnt/backup/aitutor-$(date +%F).dump</w:t>
            </w:r>
            <w:r>
              <w:rPr>
                <w:rFonts w:ascii="Calibri" w:hAnsi="Calibri"/>
                <w:b w:val="0"/>
                <w:i w:val="0"/>
                <w:color w:val="1F2933"/>
                <w:sz w:val="17"/>
              </w:rPr>
              <w:t xml:space="preserve"> and </w:t>
            </w:r>
            <w:r>
              <w:rPr>
                <w:rFonts w:ascii="Courier New" w:hAnsi="Courier New" w:eastAsia="Courier New"/>
                <w:b w:val="0"/>
                <w:i w:val="0"/>
                <w:color w:val="1F2933"/>
                <w:sz w:val="15"/>
              </w:rPr>
              <w:t>tar czf /mnt/backup/media-$(date +%F).tar.gz -C /var/lib/ai-tutor media</w:t>
            </w:r>
            <w:r>
              <w:rPr>
                <w:rFonts w:ascii="Calibri" w:hAnsi="Calibri"/>
                <w:b w:val="0"/>
                <w:i w:val="0"/>
                <w:color w:val="1F2933"/>
                <w:sz w:val="17"/>
              </w:rPr>
              <w:t>. Put both in a timer on the day you install.</w:t>
            </w:r>
          </w:p>
        </w:tc>
      </w:tr>
    </w:tbl>
    <w:p>
      <w:pPr>
        <w:spacing w:after="40"/>
      </w:pPr>
    </w:p>
    <w:p>
      <w:pPr>
        <w:spacing w:after="140"/>
      </w:pPr>
      <w:r>
        <w:rPr>
          <w:rFonts w:ascii="Calibri" w:hAnsi="Calibri"/>
          <w:b w:val="0"/>
          <w:i w:val="0"/>
          <w:color w:val="1F2933"/>
          <w:sz w:val="21"/>
        </w:rPr>
        <w:t>The database holds the reference to every figure and the volume holds the file, which is why the two are taken together: a database restored against older media leaves lessons with broken images and reports no error.</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THREE RULES THAT APPLY TO EVERY PATH</w:t>
            </w:r>
          </w:p>
          <w:p>
            <w:pPr>
              <w:spacing w:after="100"/>
            </w:pPr>
            <w:r>
              <w:rPr>
                <w:rFonts w:ascii="Calibri" w:hAnsi="Calibri"/>
                <w:b w:val="0"/>
                <w:i w:val="0"/>
                <w:color w:val="1F2933"/>
                <w:sz w:val="19"/>
              </w:rPr>
              <w:t>A backup that only exists on the machine it backs up is not a backup. Backups contain student records — store them encrypted, with access restricted to the same people who can reach the server. And test a restore: an untested backup is a guess, so do it once on a spare machine before you need it.</w:t>
            </w:r>
          </w:p>
        </w:tc>
      </w:tr>
    </w:tbl>
    <w:p>
      <w:pPr>
        <w:spacing w:after="40"/>
      </w:pPr>
    </w:p>
    <w:p>
      <w:pPr>
        <w:pStyle w:val="Heading2"/>
      </w:pPr>
      <w:r>
        <w:t>Logs</w:t>
      </w:r>
    </w:p>
    <w:p>
      <w:pPr>
        <w:spacing w:after="120"/>
        <w:ind w:left="283"/>
      </w:pPr>
      <w:r>
        <w:rPr>
          <w:rFonts w:ascii="Courier New" w:hAnsi="Courier New" w:eastAsia="Courier New"/>
          <w:color w:val="333D47"/>
          <w:sz w:val="17"/>
        </w:rPr>
        <w:t>docker compose logs -f app          # Path A</w:t>
        <w:br/>
        <w:t>journalctl -u ai-tutor -f           # Path C</w:t>
      </w:r>
    </w:p>
    <w:p>
      <w:pPr>
        <w:spacing w:after="140"/>
      </w:pPr>
      <w:r>
        <w:rPr>
          <w:rFonts w:ascii="Calibri" w:hAnsi="Calibri"/>
          <w:b w:val="0"/>
          <w:i w:val="0"/>
          <w:color w:val="1F2933"/>
          <w:sz w:val="21"/>
        </w:rPr>
        <w:t>Path B streams to the cloud provider's log service under the cluster's log group.</w:t>
      </w:r>
    </w:p>
    <w:p>
      <w:pPr>
        <w:pStyle w:val="Heading1"/>
        <w:pBdr>
          <w:bottom w:val="single" w:sz="12" w:space="6" w:color="E8590C"/>
        </w:pBdr>
      </w:pPr>
      <w:r>
        <w:t>F.  Quality gates before a cohort</w:t>
      </w:r>
    </w:p>
    <w:p>
      <w:pPr>
        <w:spacing w:after="140"/>
      </w:pPr>
      <w:r>
        <w:rPr>
          <w:rFonts w:ascii="Calibri" w:hAnsi="Calibri"/>
          <w:b w:val="0"/>
          <w:i w:val="0"/>
          <w:color w:val="1F2933"/>
          <w:sz w:val="21"/>
        </w:rPr>
        <w:t>Three harnesses ship with the platform, at three units of analysis. Use all three; they answer different questions.</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3137"/>
        <w:gridCol w:w="3137"/>
        <w:gridCol w:w="3137"/>
      </w:tblGrid>
      <w:tr>
        <w:trPr>
          <w:tblHeader w:val="true"/>
          <w:cantSplit/>
        </w:trPr>
        <w:tc>
          <w:tcPr>
            <w:tcW w:type="dxa" w:w="1814"/>
            <w:shd w:val="clear" w:fill="1F2933"/>
          </w:tcPr>
          <w:p>
            <w:pPr>
              <w:spacing w:after="40" w:before="40"/>
            </w:pPr>
            <w:r/>
            <w:r>
              <w:rPr>
                <w:rFonts w:ascii="Calibri" w:hAnsi="Calibri"/>
                <w:b/>
                <w:i w:val="0"/>
                <w:color w:val="FFFFFF"/>
                <w:sz w:val="18"/>
              </w:rPr>
              <w:t>Harness</w:t>
            </w:r>
          </w:p>
        </w:tc>
        <w:tc>
          <w:tcPr>
            <w:tcW w:type="dxa" w:w="2835"/>
            <w:shd w:val="clear" w:fill="1F2933"/>
          </w:tcPr>
          <w:p>
            <w:pPr>
              <w:spacing w:after="40" w:before="40"/>
            </w:pPr>
            <w:r/>
            <w:r>
              <w:rPr>
                <w:rFonts w:ascii="Calibri" w:hAnsi="Calibri"/>
                <w:b/>
                <w:i w:val="0"/>
                <w:color w:val="FFFFFF"/>
                <w:sz w:val="18"/>
              </w:rPr>
              <w:t>Unit</w:t>
            </w:r>
          </w:p>
        </w:tc>
        <w:tc>
          <w:tcPr>
            <w:tcW w:type="dxa" w:w="4762"/>
            <w:shd w:val="clear" w:fill="1F2933"/>
          </w:tcPr>
          <w:p>
            <w:pPr>
              <w:spacing w:after="40" w:before="40"/>
            </w:pPr>
            <w:r/>
            <w:r>
              <w:rPr>
                <w:rFonts w:ascii="Calibri" w:hAnsi="Calibri"/>
                <w:b/>
                <w:i w:val="0"/>
                <w:color w:val="FFFFFF"/>
                <w:sz w:val="18"/>
              </w:rPr>
              <w:t>Answers</w:t>
            </w:r>
          </w:p>
        </w:tc>
      </w:tr>
      <w:tr>
        <w:trPr>
          <w:cantSplit/>
        </w:trPr>
        <w:tc>
          <w:tcPr>
            <w:tcW w:type="dxa" w:w="1814"/>
          </w:tcPr>
          <w:p>
            <w:pPr>
              <w:spacing w:after="40" w:before="40"/>
            </w:pPr>
            <w:r/>
            <w:r>
              <w:rPr>
                <w:rFonts w:ascii="Calibri" w:hAnsi="Calibri"/>
                <w:b w:val="0"/>
                <w:i w:val="0"/>
                <w:color w:val="1F2933"/>
                <w:sz w:val="18"/>
              </w:rPr>
              <w:t>Runtime judge</w:t>
            </w:r>
          </w:p>
        </w:tc>
        <w:tc>
          <w:tcPr>
            <w:tcW w:type="dxa" w:w="2835"/>
          </w:tcPr>
          <w:p>
            <w:pPr>
              <w:spacing w:after="40" w:before="40"/>
            </w:pPr>
            <w:r/>
            <w:r>
              <w:rPr>
                <w:rFonts w:ascii="Calibri" w:hAnsi="Calibri"/>
                <w:b w:val="0"/>
                <w:i w:val="0"/>
                <w:color w:val="1F2933"/>
                <w:sz w:val="18"/>
              </w:rPr>
              <w:t>One tutor reply</w:t>
            </w:r>
          </w:p>
        </w:tc>
        <w:tc>
          <w:tcPr>
            <w:tcW w:type="dxa" w:w="4762"/>
          </w:tcPr>
          <w:p>
            <w:pPr>
              <w:spacing w:after="40" w:before="40"/>
            </w:pPr>
            <w:r/>
            <w:r>
              <w:rPr>
                <w:rFonts w:ascii="Calibri" w:hAnsi="Calibri"/>
                <w:b w:val="0"/>
                <w:i w:val="0"/>
                <w:color w:val="1F2933"/>
                <w:sz w:val="18"/>
              </w:rPr>
              <w:t>"Should this reply be shown, and should this session be flagged?"</w:t>
            </w:r>
          </w:p>
        </w:tc>
      </w:tr>
      <w:tr>
        <w:trPr>
          <w:cantSplit/>
        </w:trPr>
        <w:tc>
          <w:tcPr>
            <w:tcW w:type="dxa" w:w="1814"/>
            <w:shd w:val="clear" w:fill="F4F6F8"/>
          </w:tcPr>
          <w:p>
            <w:pPr>
              <w:spacing w:after="40" w:before="40"/>
            </w:pPr>
            <w:r/>
            <w:r>
              <w:rPr>
                <w:rFonts w:ascii="Calibri" w:hAnsi="Calibri"/>
                <w:b w:val="0"/>
                <w:i w:val="0"/>
                <w:color w:val="1F2933"/>
                <w:sz w:val="18"/>
              </w:rPr>
              <w:t>Turn-level workbench</w:t>
            </w:r>
          </w:p>
        </w:tc>
        <w:tc>
          <w:tcPr>
            <w:tcW w:type="dxa" w:w="2835"/>
            <w:shd w:val="clear" w:fill="F4F6F8"/>
          </w:tcPr>
          <w:p>
            <w:pPr>
              <w:spacing w:after="40" w:before="40"/>
            </w:pPr>
            <w:r/>
            <w:r>
              <w:rPr>
                <w:rFonts w:ascii="Calibri" w:hAnsi="Calibri"/>
                <w:b w:val="0"/>
                <w:i w:val="0"/>
                <w:color w:val="1F2933"/>
                <w:sz w:val="18"/>
              </w:rPr>
              <w:t>One tutor turn from a real production session</w:t>
            </w:r>
          </w:p>
        </w:tc>
        <w:tc>
          <w:tcPr>
            <w:tcW w:type="dxa" w:w="4762"/>
            <w:shd w:val="clear" w:fill="F4F6F8"/>
          </w:tcPr>
          <w:p>
            <w:pPr>
              <w:spacing w:after="40" w:before="40"/>
            </w:pPr>
            <w:r/>
            <w:r>
              <w:rPr>
                <w:rFonts w:ascii="Calibri" w:hAnsi="Calibri"/>
                <w:b w:val="0"/>
                <w:i w:val="0"/>
                <w:color w:val="1F2933"/>
                <w:sz w:val="18"/>
              </w:rPr>
              <w:t>"Which specific failure categories does the tutor exhibit on our content?" Human and model annotators score the same turns.</w:t>
            </w:r>
          </w:p>
        </w:tc>
      </w:tr>
      <w:tr>
        <w:trPr>
          <w:cantSplit/>
        </w:trPr>
        <w:tc>
          <w:tcPr>
            <w:tcW w:type="dxa" w:w="1814"/>
          </w:tcPr>
          <w:p>
            <w:pPr>
              <w:spacing w:after="40" w:before="40"/>
            </w:pPr>
            <w:r/>
            <w:r>
              <w:rPr>
                <w:rFonts w:ascii="Calibri" w:hAnsi="Calibri"/>
                <w:b w:val="0"/>
                <w:i w:val="0"/>
                <w:color w:val="1F2933"/>
                <w:sz w:val="18"/>
              </w:rPr>
              <w:t>Session-level rubric</w:t>
            </w:r>
          </w:p>
        </w:tc>
        <w:tc>
          <w:tcPr>
            <w:tcW w:type="dxa" w:w="2835"/>
          </w:tcPr>
          <w:p>
            <w:pPr>
              <w:spacing w:after="40" w:before="40"/>
            </w:pPr>
            <w:r/>
            <w:r>
              <w:rPr>
                <w:rFonts w:ascii="Calibri" w:hAnsi="Calibri"/>
                <w:b w:val="0"/>
                <w:i w:val="0"/>
                <w:color w:val="1F2933"/>
                <w:sz w:val="18"/>
              </w:rPr>
              <w:t>A complete session</w:t>
            </w:r>
          </w:p>
        </w:tc>
        <w:tc>
          <w:tcPr>
            <w:tcW w:type="dxa" w:w="4762"/>
          </w:tcPr>
          <w:p>
            <w:pPr>
              <w:spacing w:after="40" w:before="40"/>
            </w:pPr>
            <w:r/>
            <w:r>
              <w:rPr>
                <w:rFonts w:ascii="Calibri" w:hAnsi="Calibri"/>
                <w:b w:val="0"/>
                <w:i w:val="0"/>
                <w:color w:val="1F2933"/>
                <w:sz w:val="18"/>
              </w:rPr>
              <w:t>"Is this good tutoring?" Scored on the eight pedagogical dimensions of the standard research framework, three-way.</w:t>
            </w:r>
          </w:p>
        </w:tc>
      </w:tr>
    </w:tbl>
    <w:p>
      <w:pPr>
        <w:spacing w:after="40"/>
      </w:pPr>
    </w:p>
    <w:p>
      <w:pPr>
        <w:spacing w:after="140"/>
      </w:pPr>
      <w:r>
        <w:rPr>
          <w:rFonts w:ascii="Calibri" w:hAnsi="Calibri"/>
          <w:b w:val="0"/>
          <w:i w:val="0"/>
          <w:color w:val="1F2933"/>
          <w:sz w:val="21"/>
        </w:rPr>
        <w:t xml:space="preserve">A fourth harness runs offline model sweeps — replaying scenarios across candidate models and reporting quality, latency, token usage and cost per run. This is the tool for the sovereignty decision: it produces a like-for-like comparison of a self-hosted model against a cloud model </w:t>
      </w:r>
      <w:r>
        <w:rPr>
          <w:rFonts w:ascii="Calibri" w:hAnsi="Calibri"/>
          <w:b/>
          <w:i w:val="0"/>
          <w:color w:val="1F2933"/>
          <w:sz w:val="21"/>
        </w:rPr>
        <w:t>on your own curriculum</w:t>
      </w:r>
      <w:r>
        <w:rPr>
          <w:rFonts w:ascii="Calibri" w:hAnsi="Calibri"/>
          <w:b w:val="0"/>
          <w:i w:val="0"/>
          <w:color w:val="1F2933"/>
          <w:sz w:val="21"/>
        </w:rPr>
        <w:t>, which is the only comparison worth making.</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DO NOT GATE ON JUDGES ALONE</w:t>
            </w:r>
          </w:p>
          <w:p>
            <w:pPr>
              <w:spacing w:after="100"/>
            </w:pPr>
            <w:r>
              <w:rPr>
                <w:rFonts w:ascii="Calibri" w:hAnsi="Calibri"/>
                <w:b w:val="0"/>
                <w:i w:val="0"/>
                <w:color w:val="1F2933"/>
                <w:sz w:val="19"/>
              </w:rPr>
              <w:t>Measured on 215 hand-graded sessions from the live pilot: 50 judge-versus-human disagreements, every one of them a session the judge passed and a human failed, and none in the other direction. Judges are lenient. Use them to triage what humans read, and let humans decide whether a locale is ready.</w:t>
            </w:r>
          </w:p>
        </w:tc>
      </w:tr>
    </w:tbl>
    <w:p>
      <w:pPr>
        <w:spacing w:after="40"/>
      </w:pPr>
    </w:p>
    <w:p>
      <w:pPr>
        <w:pStyle w:val="Heading1"/>
        <w:pBdr>
          <w:bottom w:val="single" w:sz="12" w:space="6" w:color="E8590C"/>
        </w:pBdr>
      </w:pPr>
      <w:r>
        <w:t>G.  Operating the platform</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1701"/>
            <w:shd w:val="clear" w:fill="1F2933"/>
          </w:tcPr>
          <w:p>
            <w:pPr>
              <w:spacing w:after="40" w:before="40"/>
            </w:pPr>
            <w:r/>
            <w:r>
              <w:rPr>
                <w:rFonts w:ascii="Calibri" w:hAnsi="Calibri"/>
                <w:b/>
                <w:i w:val="0"/>
                <w:color w:val="FFFFFF"/>
                <w:sz w:val="18"/>
              </w:rPr>
              <w:t>Area</w:t>
            </w:r>
          </w:p>
        </w:tc>
        <w:tc>
          <w:tcPr>
            <w:tcW w:type="dxa" w:w="7710"/>
            <w:shd w:val="clear" w:fill="1F2933"/>
          </w:tcPr>
          <w:p>
            <w:pPr>
              <w:spacing w:after="40" w:before="40"/>
            </w:pPr>
            <w:r/>
            <w:r>
              <w:rPr>
                <w:rFonts w:ascii="Calibri" w:hAnsi="Calibri"/>
                <w:b/>
                <w:i w:val="0"/>
                <w:color w:val="FFFFFF"/>
                <w:sz w:val="18"/>
              </w:rPr>
              <w:t>What to do</w:t>
            </w:r>
          </w:p>
        </w:tc>
      </w:tr>
      <w:tr>
        <w:trPr>
          <w:cantSplit/>
        </w:trPr>
        <w:tc>
          <w:tcPr>
            <w:tcW w:type="dxa" w:w="1701"/>
          </w:tcPr>
          <w:p>
            <w:pPr>
              <w:spacing w:after="40" w:before="40"/>
            </w:pPr>
            <w:r/>
            <w:r>
              <w:rPr>
                <w:rFonts w:ascii="Calibri" w:hAnsi="Calibri"/>
                <w:b w:val="0"/>
                <w:i w:val="0"/>
                <w:color w:val="1F2933"/>
                <w:sz w:val="18"/>
              </w:rPr>
              <w:t>Backup</w:t>
            </w:r>
          </w:p>
        </w:tc>
        <w:tc>
          <w:tcPr>
            <w:tcW w:type="dxa" w:w="7710"/>
          </w:tcPr>
          <w:p>
            <w:pPr>
              <w:spacing w:after="40" w:before="40"/>
            </w:pPr>
            <w:r/>
            <w:r>
              <w:rPr>
                <w:rFonts w:ascii="Calibri" w:hAnsi="Calibri"/>
                <w:b w:val="0"/>
                <w:i w:val="0"/>
                <w:color w:val="1F2933"/>
                <w:sz w:val="18"/>
              </w:rPr>
              <w:t>Database and uploaded media, on a schedule, restored into a scratch instance at least once before students arrive. A backup that has never been restored is not a backup. Scripts ship with the deployment files.</w:t>
            </w:r>
          </w:p>
        </w:tc>
      </w:tr>
      <w:tr>
        <w:trPr>
          <w:cantSplit/>
        </w:trPr>
        <w:tc>
          <w:tcPr>
            <w:tcW w:type="dxa" w:w="1701"/>
            <w:shd w:val="clear" w:fill="F4F6F8"/>
          </w:tcPr>
          <w:p>
            <w:pPr>
              <w:spacing w:after="40" w:before="40"/>
            </w:pPr>
            <w:r/>
            <w:r>
              <w:rPr>
                <w:rFonts w:ascii="Calibri" w:hAnsi="Calibri"/>
                <w:b w:val="0"/>
                <w:i w:val="0"/>
                <w:color w:val="1F2933"/>
                <w:sz w:val="18"/>
              </w:rPr>
              <w:t>Upgrades</w:t>
            </w:r>
          </w:p>
        </w:tc>
        <w:tc>
          <w:tcPr>
            <w:tcW w:type="dxa" w:w="7710"/>
            <w:shd w:val="clear" w:fill="F4F6F8"/>
          </w:tcPr>
          <w:p>
            <w:pPr>
              <w:spacing w:after="40" w:before="40"/>
            </w:pPr>
            <w:r/>
            <w:r>
              <w:rPr>
                <w:rFonts w:ascii="Calibri" w:hAnsi="Calibri"/>
                <w:b w:val="0"/>
                <w:i w:val="0"/>
                <w:color w:val="1F2933"/>
                <w:sz w:val="18"/>
              </w:rPr>
              <w:t>Pull the new image, run migrations, restart. Migrations are one logical change per file; a backfill against production data is dry-run against a copy first.</w:t>
            </w:r>
          </w:p>
        </w:tc>
      </w:tr>
      <w:tr>
        <w:trPr>
          <w:cantSplit/>
        </w:trPr>
        <w:tc>
          <w:tcPr>
            <w:tcW w:type="dxa" w:w="1701"/>
          </w:tcPr>
          <w:p>
            <w:pPr>
              <w:spacing w:after="40" w:before="40"/>
            </w:pPr>
            <w:r/>
            <w:r>
              <w:rPr>
                <w:rFonts w:ascii="Calibri" w:hAnsi="Calibri"/>
                <w:b w:val="0"/>
                <w:i w:val="0"/>
                <w:color w:val="1F2933"/>
                <w:sz w:val="18"/>
              </w:rPr>
              <w:t>Secrets</w:t>
            </w:r>
          </w:p>
        </w:tc>
        <w:tc>
          <w:tcPr>
            <w:tcW w:type="dxa" w:w="7710"/>
          </w:tcPr>
          <w:p>
            <w:pPr>
              <w:spacing w:after="40" w:before="40"/>
            </w:pPr>
            <w:r/>
            <w:r>
              <w:rPr>
                <w:rFonts w:ascii="Calibri" w:hAnsi="Calibri"/>
                <w:b w:val="0"/>
                <w:i w:val="0"/>
                <w:color w:val="1F2933"/>
                <w:sz w:val="18"/>
              </w:rPr>
              <w:t>Provider keys, the signing key and the database password live in the platform's secret storage, never in the image or the repository.</w:t>
            </w:r>
          </w:p>
        </w:tc>
      </w:tr>
      <w:tr>
        <w:trPr>
          <w:cantSplit/>
        </w:trPr>
        <w:tc>
          <w:tcPr>
            <w:tcW w:type="dxa" w:w="1701"/>
            <w:shd w:val="clear" w:fill="F4F6F8"/>
          </w:tcPr>
          <w:p>
            <w:pPr>
              <w:spacing w:after="40" w:before="40"/>
            </w:pPr>
            <w:r/>
            <w:r>
              <w:rPr>
                <w:rFonts w:ascii="Calibri" w:hAnsi="Calibri"/>
                <w:b w:val="0"/>
                <w:i w:val="0"/>
                <w:color w:val="1F2933"/>
                <w:sz w:val="18"/>
              </w:rPr>
              <w:t>Monitoring</w:t>
            </w:r>
          </w:p>
        </w:tc>
        <w:tc>
          <w:tcPr>
            <w:tcW w:type="dxa" w:w="7710"/>
            <w:shd w:val="clear" w:fill="F4F6F8"/>
          </w:tcPr>
          <w:p>
            <w:pPr>
              <w:spacing w:after="40" w:before="40"/>
            </w:pPr>
            <w:r/>
            <w:r>
              <w:rPr>
                <w:rFonts w:ascii="Calibri" w:hAnsi="Calibri"/>
                <w:b w:val="0"/>
                <w:i w:val="0"/>
                <w:color w:val="1F2933"/>
                <w:sz w:val="18"/>
              </w:rPr>
              <w:t>Watch four things: application health, database health, model provider error rates (the cascade hides a failing provider until it hides two), and daily model spend against the Phase 3 model.</w:t>
            </w:r>
          </w:p>
        </w:tc>
      </w:tr>
      <w:tr>
        <w:trPr>
          <w:cantSplit/>
        </w:trPr>
        <w:tc>
          <w:tcPr>
            <w:tcW w:type="dxa" w:w="1701"/>
          </w:tcPr>
          <w:p>
            <w:pPr>
              <w:spacing w:after="40" w:before="40"/>
            </w:pPr>
            <w:r/>
            <w:r>
              <w:rPr>
                <w:rFonts w:ascii="Calibri" w:hAnsi="Calibri"/>
                <w:b w:val="0"/>
                <w:i w:val="0"/>
                <w:color w:val="1F2933"/>
                <w:sz w:val="18"/>
              </w:rPr>
              <w:t>Flagged sessions</w:t>
            </w:r>
          </w:p>
        </w:tc>
        <w:tc>
          <w:tcPr>
            <w:tcW w:type="dxa" w:w="7710"/>
          </w:tcPr>
          <w:p>
            <w:pPr>
              <w:spacing w:after="40" w:before="40"/>
            </w:pPr>
            <w:r/>
            <w:r>
              <w:rPr>
                <w:rFonts w:ascii="Calibri" w:hAnsi="Calibri"/>
                <w:b w:val="0"/>
                <w:i w:val="0"/>
                <w:color w:val="1F2933"/>
                <w:sz w:val="18"/>
              </w:rPr>
              <w:t>A named person reads them weekly during a pilot. This is a safeguarding control, not an analytics dashboard.</w:t>
            </w:r>
          </w:p>
        </w:tc>
      </w:tr>
      <w:tr>
        <w:trPr>
          <w:cantSplit/>
        </w:trPr>
        <w:tc>
          <w:tcPr>
            <w:tcW w:type="dxa" w:w="1701"/>
            <w:shd w:val="clear" w:fill="F4F6F8"/>
          </w:tcPr>
          <w:p>
            <w:pPr>
              <w:spacing w:after="40" w:before="40"/>
            </w:pPr>
            <w:r/>
            <w:r>
              <w:rPr>
                <w:rFonts w:ascii="Calibri" w:hAnsi="Calibri"/>
                <w:b w:val="0"/>
                <w:i w:val="0"/>
                <w:color w:val="1F2933"/>
                <w:sz w:val="18"/>
              </w:rPr>
              <w:t>Stuck content</w:t>
            </w:r>
          </w:p>
        </w:tc>
        <w:tc>
          <w:tcPr>
            <w:tcW w:type="dxa" w:w="7710"/>
            <w:shd w:val="clear" w:fill="F4F6F8"/>
          </w:tcPr>
          <w:p>
            <w:pPr>
              <w:spacing w:after="40" w:before="40"/>
            </w:pPr>
            <w:r/>
            <w:r>
              <w:rPr>
                <w:rFonts w:ascii="Calibri" w:hAnsi="Calibri"/>
                <w:b w:val="0"/>
                <w:i w:val="0"/>
                <w:color w:val="1F2933"/>
                <w:sz w:val="18"/>
              </w:rPr>
              <w:t>Lessons left in a generating state after a failed run need a manual reset. Put it in the runbook.</w:t>
            </w:r>
          </w:p>
        </w:tc>
      </w:tr>
      <w:tr>
        <w:trPr>
          <w:cantSplit/>
        </w:trPr>
        <w:tc>
          <w:tcPr>
            <w:tcW w:type="dxa" w:w="1701"/>
          </w:tcPr>
          <w:p>
            <w:pPr>
              <w:spacing w:after="40" w:before="40"/>
            </w:pPr>
            <w:r/>
            <w:r>
              <w:rPr>
                <w:rFonts w:ascii="Calibri" w:hAnsi="Calibri"/>
                <w:b w:val="0"/>
                <w:i w:val="0"/>
                <w:color w:val="1F2933"/>
                <w:sz w:val="18"/>
              </w:rPr>
              <w:t>Login lockout</w:t>
            </w:r>
          </w:p>
        </w:tc>
        <w:tc>
          <w:tcPr>
            <w:tcW w:type="dxa" w:w="7710"/>
          </w:tcPr>
          <w:p>
            <w:pPr>
              <w:spacing w:after="40" w:before="40"/>
            </w:pPr>
            <w:r/>
            <w:r>
              <w:rPr>
                <w:rFonts w:ascii="Calibri" w:hAnsi="Calibri"/>
                <w:b w:val="0"/>
                <w:i w:val="0"/>
                <w:color w:val="1F2933"/>
                <w:sz w:val="18"/>
              </w:rPr>
              <w:t>Repeated failures lock the specific account-and-address pair for an hour — not the username alone, which would let anyone lock out a named student, and not the address alone, which would lock out a whole school behind one connection.</w:t>
            </w:r>
          </w:p>
        </w:tc>
      </w:tr>
    </w:tbl>
    <w:p>
      <w:pPr>
        <w:spacing w:after="40"/>
      </w:pPr>
    </w:p>
    <w:p>
      <w:pPr>
        <w:pStyle w:val="Heading1"/>
        <w:pBdr>
          <w:bottom w:val="single" w:sz="12" w:space="6" w:color="E8590C"/>
        </w:pBdr>
      </w:pPr>
      <w:r>
        <w:t>H.  Integration surface</w:t>
      </w:r>
    </w:p>
    <w:p>
      <w:pPr>
        <w:spacing w:after="140"/>
      </w:pPr>
      <w:r>
        <w:rPr>
          <w:rFonts w:ascii="Calibri" w:hAnsi="Calibri"/>
          <w:b w:val="0"/>
          <w:i w:val="0"/>
          <w:color w:val="1F2933"/>
          <w:sz w:val="21"/>
        </w:rPr>
        <w:t>No connector to any national education management system ships with the platform. Integration is through a versioned REST API with token authentication, which covers:</w:t>
      </w:r>
    </w:p>
    <w:p>
      <w:pPr>
        <w:pStyle w:val="ListBullet"/>
        <w:spacing w:after="60"/>
      </w:pPr>
      <w:r>
        <w:rPr>
          <w:rFonts w:ascii="Calibri" w:hAnsi="Calibri"/>
          <w:b w:val="0"/>
          <w:i w:val="0"/>
          <w:color w:val="1F2933"/>
          <w:sz w:val="21"/>
        </w:rPr>
        <w:t>Authentication, registration and the current user.</w:t>
      </w:r>
    </w:p>
    <w:p>
      <w:pPr>
        <w:pStyle w:val="ListBullet"/>
        <w:spacing w:after="60"/>
      </w:pPr>
      <w:r>
        <w:rPr>
          <w:rFonts w:ascii="Calibri" w:hAnsi="Calibri"/>
          <w:b w:val="0"/>
          <w:i w:val="0"/>
          <w:color w:val="1F2933"/>
          <w:sz w:val="21"/>
        </w:rPr>
        <w:t>Courses, lessons, lesson steps and per-lesson competency.</w:t>
      </w:r>
    </w:p>
    <w:p>
      <w:pPr>
        <w:pStyle w:val="ListBullet"/>
        <w:spacing w:after="60"/>
      </w:pPr>
      <w:r>
        <w:rPr>
          <w:rFonts w:ascii="Calibri" w:hAnsi="Calibri"/>
          <w:b w:val="0"/>
          <w:i w:val="0"/>
          <w:color w:val="1F2933"/>
          <w:sz w:val="21"/>
        </w:rPr>
        <w:t>Starting and driving tutoring sessions.</w:t>
      </w:r>
    </w:p>
    <w:p>
      <w:pPr>
        <w:pStyle w:val="ListBullet"/>
        <w:spacing w:after="60"/>
      </w:pPr>
      <w:r>
        <w:rPr>
          <w:rFonts w:ascii="Calibri" w:hAnsi="Calibri"/>
          <w:b w:val="0"/>
          <w:i w:val="0"/>
          <w:color w:val="1F2933"/>
          <w:sz w:val="21"/>
        </w:rPr>
        <w:t>Offline packs per lesson, and synchronisation of work done offline.</w:t>
      </w:r>
    </w:p>
    <w:p>
      <w:pPr>
        <w:pStyle w:val="ListBullet"/>
        <w:spacing w:after="60"/>
      </w:pPr>
      <w:r>
        <w:rPr>
          <w:rFonts w:ascii="Calibri" w:hAnsi="Calibri"/>
          <w:b w:val="0"/>
          <w:i w:val="0"/>
          <w:color w:val="1F2933"/>
          <w:sz w:val="21"/>
        </w:rPr>
        <w:t>Device registration for provisioned machines.</w:t>
      </w:r>
    </w:p>
    <w:p>
      <w:pPr>
        <w:spacing w:after="140"/>
      </w:pPr>
      <w:r>
        <w:rPr>
          <w:rFonts w:ascii="Calibri" w:hAnsi="Calibri"/>
          <w:b w:val="0"/>
          <w:i w:val="0"/>
          <w:color w:val="1F2933"/>
          <w:sz w:val="21"/>
        </w:rPr>
        <w:t>A machine-readable API schema is published by the application itself, so an integration team can generate a client rather than read prose. Student records carry a field for the identifier used by the school information system, which is the intended join key for a roster synchronisation built on top of the API.</w:t>
      </w:r>
    </w:p>
    <w:tbl>
      <w:tblPr>
        <w:tblW w:type="auto" w:w="0"/>
        <w:tblLayout w:type="fixed"/>
        <w:tblLook w:firstColumn="1" w:firstRow="1" w:lastColumn="0" w:lastRow="0" w:noHBand="0" w:noVBand="1" w:val="04A0"/>
        <w:tblBorders>
          <w:top w:val="single" w:sz="2" w:space="0" w:color="FDF3EC"/>
          <w:left w:val="single" w:sz="2" w:space="0" w:color="FDF3EC"/>
          <w:bottom w:val="single" w:sz="2" w:space="0" w:color="FDF3EC"/>
          <w:right w:val="single" w:sz="2" w:space="0" w:color="FDF3EC"/>
          <w:insideH w:val="single" w:sz="2" w:space="0" w:color="FDF3EC"/>
          <w:insideV w:val="single" w:sz="2" w:space="0" w:color="FDF3EC"/>
        </w:tblBorders>
      </w:tblPr>
      <w:tblGrid>
        <w:gridCol w:w="9412"/>
      </w:tblGrid>
      <w:tr>
        <w:trPr>
          <w:cantSplit/>
        </w:trPr>
        <w:tc>
          <w:tcPr>
            <w:tcW w:type="dxa" w:w="9411"/>
            <w:shd w:val="clear" w:fill="FDF3EC"/>
            <w:tcBorders>
              <w:left w:val="single" w:sz="18" w:space="0" w:color="E8590C"/>
            </w:tcBorders>
          </w:tcPr>
          <w:p>
            <w:pPr>
              <w:spacing w:before="80" w:after="40"/>
            </w:pPr>
            <w:r/>
            <w:r>
              <w:rPr>
                <w:rFonts w:ascii="Calibri" w:hAnsi="Calibri"/>
                <w:b/>
                <w:color w:val="E8590C"/>
                <w:sz w:val="17"/>
              </w:rPr>
              <w:t>A REALISTIC INTEGRATION SCOPE FOR A PILOT</w:t>
            </w:r>
          </w:p>
          <w:p>
            <w:pPr>
              <w:spacing w:after="100"/>
            </w:pPr>
            <w:r>
              <w:rPr>
                <w:rFonts w:ascii="Calibri" w:hAnsi="Calibri"/>
                <w:b w:val="0"/>
                <w:i w:val="0"/>
                <w:color w:val="1F2933"/>
                <w:sz w:val="19"/>
              </w:rPr>
              <w:t>Roster import and results export, both as scheduled jobs against the API, are enough for a first term. Live bidirectional synchronisation with a national system is a project of its own and should not sit on the critical path to a first cohort.</w:t>
            </w:r>
          </w:p>
        </w:tc>
      </w:tr>
    </w:tbl>
    <w:p>
      <w:pPr>
        <w:spacing w:after="40"/>
      </w:pPr>
    </w:p>
    <w:p>
      <w:r>
        <w:br w:type="page"/>
      </w:r>
    </w:p>
    <w:p>
      <w:pPr>
        <w:pStyle w:val="Heading1"/>
        <w:pBdr>
          <w:bottom w:val="single" w:sz="12" w:space="6" w:color="E8590C"/>
        </w:pBdr>
      </w:pPr>
      <w:r>
        <w:t>Appendix 1 — Case study: what a second-country adaptation actually changed</w:t>
      </w:r>
    </w:p>
    <w:p>
      <w:pPr>
        <w:spacing w:after="140"/>
      </w:pPr>
      <w:r>
        <w:rPr>
          <w:rFonts w:ascii="Calibri" w:hAnsi="Calibri"/>
          <w:b w:val="0"/>
          <w:i w:val="0"/>
          <w:color w:val="1F2933"/>
          <w:sz w:val="21"/>
        </w:rPr>
        <w:t xml:space="preserve">The platform was built for one country and then taken to a second, in a different language and a different education structure. This is the real change list, offered because it is a better estimate of effort than any general claim about configurability. </w:t>
      </w:r>
      <w:r>
        <w:rPr>
          <w:rFonts w:ascii="Calibri" w:hAnsi="Calibri"/>
          <w:b/>
          <w:i w:val="0"/>
          <w:color w:val="1F2933"/>
          <w:sz w:val="21"/>
        </w:rPr>
        <w:t>No database schema redesign appears in it.</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1928"/>
            <w:shd w:val="clear" w:fill="1F2933"/>
          </w:tcPr>
          <w:p>
            <w:pPr>
              <w:spacing w:after="40" w:before="40"/>
            </w:pPr>
            <w:r/>
            <w:r>
              <w:rPr>
                <w:rFonts w:ascii="Calibri" w:hAnsi="Calibri"/>
                <w:b/>
                <w:i w:val="0"/>
                <w:color w:val="FFFFFF"/>
                <w:sz w:val="18"/>
              </w:rPr>
              <w:t>Area</w:t>
            </w:r>
          </w:p>
        </w:tc>
        <w:tc>
          <w:tcPr>
            <w:tcW w:type="dxa" w:w="7483"/>
            <w:shd w:val="clear" w:fill="1F2933"/>
          </w:tcPr>
          <w:p>
            <w:pPr>
              <w:spacing w:after="40" w:before="40"/>
            </w:pPr>
            <w:r/>
            <w:r>
              <w:rPr>
                <w:rFonts w:ascii="Calibri" w:hAnsi="Calibri"/>
                <w:b/>
                <w:i w:val="0"/>
                <w:color w:val="FFFFFF"/>
                <w:sz w:val="18"/>
              </w:rPr>
              <w:t>Change</w:t>
            </w:r>
          </w:p>
        </w:tc>
      </w:tr>
      <w:tr>
        <w:trPr>
          <w:cantSplit/>
        </w:trPr>
        <w:tc>
          <w:tcPr>
            <w:tcW w:type="dxa" w:w="1928"/>
          </w:tcPr>
          <w:p>
            <w:pPr>
              <w:spacing w:after="40" w:before="40"/>
            </w:pPr>
            <w:r/>
            <w:r>
              <w:rPr>
                <w:rFonts w:ascii="Calibri" w:hAnsi="Calibri"/>
                <w:b w:val="0"/>
                <w:i w:val="0"/>
                <w:color w:val="1F2933"/>
                <w:sz w:val="18"/>
              </w:rPr>
              <w:t>Language registration</w:t>
            </w:r>
          </w:p>
        </w:tc>
        <w:tc>
          <w:tcPr>
            <w:tcW w:type="dxa" w:w="7483"/>
          </w:tcPr>
          <w:p>
            <w:pPr>
              <w:spacing w:after="40" w:before="40"/>
            </w:pPr>
            <w:r/>
            <w:r>
              <w:rPr>
                <w:rFonts w:ascii="Calibri" w:hAnsi="Calibri"/>
                <w:b w:val="0"/>
                <w:i w:val="0"/>
                <w:color w:val="1F2933"/>
                <w:sz w:val="18"/>
              </w:rPr>
              <w:t>Added the locale to the platform language list; added a tutor identity profile naming the audience as that country's secondary students in that country's own grades; added a language-and-register rule for live tutoring; added the matching rule for content generation.</w:t>
            </w:r>
          </w:p>
        </w:tc>
      </w:tr>
      <w:tr>
        <w:trPr>
          <w:cantSplit/>
        </w:trPr>
        <w:tc>
          <w:tcPr>
            <w:tcW w:type="dxa" w:w="1928"/>
            <w:shd w:val="clear" w:fill="F4F6F8"/>
          </w:tcPr>
          <w:p>
            <w:pPr>
              <w:spacing w:after="40" w:before="40"/>
            </w:pPr>
            <w:r/>
            <w:r>
              <w:rPr>
                <w:rFonts w:ascii="Calibri" w:hAnsi="Calibri"/>
                <w:b w:val="0"/>
                <w:i w:val="0"/>
                <w:color w:val="1F2933"/>
                <w:sz w:val="18"/>
              </w:rPr>
              <w:t>Language resolution</w:t>
            </w:r>
          </w:p>
        </w:tc>
        <w:tc>
          <w:tcPr>
            <w:tcW w:type="dxa" w:w="7483"/>
            <w:shd w:val="clear" w:fill="F4F6F8"/>
          </w:tcPr>
          <w:p>
            <w:pPr>
              <w:spacing w:after="40" w:before="40"/>
            </w:pPr>
            <w:r/>
            <w:r>
              <w:rPr>
                <w:rFonts w:ascii="Calibri" w:hAnsi="Calibri"/>
                <w:b w:val="0"/>
                <w:i w:val="0"/>
                <w:color w:val="1F2933"/>
                <w:sz w:val="18"/>
              </w:rPr>
              <w:t>Added per-school default language and per-student preferred language, and the request-time resolution chain that puts the course's language first inside a session.</w:t>
            </w:r>
          </w:p>
        </w:tc>
      </w:tr>
      <w:tr>
        <w:trPr>
          <w:cantSplit/>
        </w:trPr>
        <w:tc>
          <w:tcPr>
            <w:tcW w:type="dxa" w:w="1928"/>
          </w:tcPr>
          <w:p>
            <w:pPr>
              <w:spacing w:after="40" w:before="40"/>
            </w:pPr>
            <w:r/>
            <w:r>
              <w:rPr>
                <w:rFonts w:ascii="Calibri" w:hAnsi="Calibri"/>
                <w:b w:val="0"/>
                <w:i w:val="0"/>
                <w:color w:val="1F2933"/>
                <w:sz w:val="18"/>
              </w:rPr>
              <w:t>Interface translation</w:t>
            </w:r>
          </w:p>
        </w:tc>
        <w:tc>
          <w:tcPr>
            <w:tcW w:type="dxa" w:w="7483"/>
          </w:tcPr>
          <w:p>
            <w:pPr>
              <w:spacing w:after="40" w:before="40"/>
            </w:pPr>
            <w:r/>
            <w:r>
              <w:rPr>
                <w:rFonts w:ascii="Calibri" w:hAnsi="Calibri"/>
                <w:b w:val="0"/>
                <w:i w:val="0"/>
                <w:color w:val="1F2933"/>
                <w:sz w:val="18"/>
              </w:rPr>
              <w:t>Translation catalogues for the interface in the new language, including the JavaScript strings; page-by-page localisation of the staff management and bulk student upload screens; the resume banner; exit-ticket result messages.</w:t>
            </w:r>
          </w:p>
        </w:tc>
      </w:tr>
      <w:tr>
        <w:trPr>
          <w:cantSplit/>
        </w:trPr>
        <w:tc>
          <w:tcPr>
            <w:tcW w:type="dxa" w:w="1928"/>
            <w:shd w:val="clear" w:fill="F4F6F8"/>
          </w:tcPr>
          <w:p>
            <w:pPr>
              <w:spacing w:after="40" w:before="40"/>
            </w:pPr>
            <w:r/>
            <w:r>
              <w:rPr>
                <w:rFonts w:ascii="Calibri" w:hAnsi="Calibri"/>
                <w:b w:val="0"/>
                <w:i w:val="0"/>
                <w:color w:val="1F2933"/>
                <w:sz w:val="18"/>
              </w:rPr>
              <w:t>De-assuming the first country</w:t>
            </w:r>
          </w:p>
        </w:tc>
        <w:tc>
          <w:tcPr>
            <w:tcW w:type="dxa" w:w="7483"/>
            <w:shd w:val="clear" w:fill="F4F6F8"/>
          </w:tcPr>
          <w:p>
            <w:pPr>
              <w:spacing w:after="40" w:before="40"/>
            </w:pPr>
            <w:r/>
            <w:r>
              <w:rPr>
                <w:rFonts w:ascii="Calibri" w:hAnsi="Calibri"/>
                <w:b w:val="0"/>
                <w:i w:val="0"/>
                <w:color w:val="1F2933"/>
                <w:sz w:val="18"/>
              </w:rPr>
              <w:t>Removed Seychelles assumptions from the answer grader; scoped the local fact library by locale so one country's facts cannot ground another country's courses; stopped the tutor describing students in the new country as Seychellois.</w:t>
            </w:r>
          </w:p>
        </w:tc>
      </w:tr>
      <w:tr>
        <w:trPr>
          <w:cantSplit/>
        </w:trPr>
        <w:tc>
          <w:tcPr>
            <w:tcW w:type="dxa" w:w="1928"/>
          </w:tcPr>
          <w:p>
            <w:pPr>
              <w:spacing w:after="40" w:before="40"/>
            </w:pPr>
            <w:r/>
            <w:r>
              <w:rPr>
                <w:rFonts w:ascii="Calibri" w:hAnsi="Calibri"/>
                <w:b w:val="0"/>
                <w:i w:val="0"/>
                <w:color w:val="1F2933"/>
                <w:sz w:val="18"/>
              </w:rPr>
              <w:t>Education structure</w:t>
            </w:r>
          </w:p>
        </w:tc>
        <w:tc>
          <w:tcPr>
            <w:tcW w:type="dxa" w:w="7483"/>
          </w:tcPr>
          <w:p>
            <w:pPr>
              <w:spacing w:after="40" w:before="40"/>
            </w:pPr>
            <w:r/>
            <w:r>
              <w:rPr>
                <w:rFonts w:ascii="Calibri" w:hAnsi="Calibri"/>
                <w:b w:val="0"/>
                <w:i w:val="0"/>
                <w:color w:val="1F2933"/>
                <w:sz w:val="18"/>
              </w:rPr>
              <w:t>Made grade level country-flexible and configuration-driven rather than a fixed choice set — which also fixed a registration failure for students whose grade did not exist in the original list — and made course routing match on the country's own grades.</w:t>
            </w:r>
          </w:p>
        </w:tc>
      </w:tr>
      <w:tr>
        <w:trPr>
          <w:cantSplit/>
        </w:trPr>
        <w:tc>
          <w:tcPr>
            <w:tcW w:type="dxa" w:w="1928"/>
            <w:shd w:val="clear" w:fill="F4F6F8"/>
          </w:tcPr>
          <w:p>
            <w:pPr>
              <w:spacing w:after="40" w:before="40"/>
            </w:pPr>
            <w:r/>
            <w:r>
              <w:rPr>
                <w:rFonts w:ascii="Calibri" w:hAnsi="Calibri"/>
                <w:b w:val="0"/>
                <w:i w:val="0"/>
                <w:color w:val="1F2933"/>
                <w:sz w:val="18"/>
              </w:rPr>
              <w:t>Defaults and terminology</w:t>
            </w:r>
          </w:p>
        </w:tc>
        <w:tc>
          <w:tcPr>
            <w:tcW w:type="dxa" w:w="7483"/>
            <w:shd w:val="clear" w:fill="F4F6F8"/>
          </w:tcPr>
          <w:p>
            <w:pPr>
              <w:spacing w:after="40" w:before="40"/>
            </w:pPr>
            <w:r/>
            <w:r>
              <w:rPr>
                <w:rFonts w:ascii="Calibri" w:hAnsi="Calibri"/>
                <w:b w:val="0"/>
                <w:i w:val="0"/>
                <w:color w:val="1F2933"/>
                <w:sz w:val="18"/>
              </w:rPr>
              <w:t>New-language platform defaults and locale-aware platform terminology; a staging environment running with the new language as its default.</w:t>
            </w:r>
          </w:p>
        </w:tc>
      </w:tr>
      <w:tr>
        <w:trPr>
          <w:cantSplit/>
        </w:trPr>
        <w:tc>
          <w:tcPr>
            <w:tcW w:type="dxa" w:w="1928"/>
          </w:tcPr>
          <w:p>
            <w:pPr>
              <w:spacing w:after="40" w:before="40"/>
            </w:pPr>
            <w:r/>
            <w:r>
              <w:rPr>
                <w:rFonts w:ascii="Calibri" w:hAnsi="Calibri"/>
                <w:b w:val="0"/>
                <w:i w:val="0"/>
                <w:color w:val="1F2933"/>
                <w:sz w:val="18"/>
              </w:rPr>
              <w:t>Content</w:t>
            </w:r>
          </w:p>
        </w:tc>
        <w:tc>
          <w:tcPr>
            <w:tcW w:type="dxa" w:w="7483"/>
          </w:tcPr>
          <w:p>
            <w:pPr>
              <w:spacing w:after="40" w:before="40"/>
            </w:pPr>
            <w:r/>
            <w:r>
              <w:rPr>
                <w:rFonts w:ascii="Calibri" w:hAnsi="Calibri"/>
                <w:b w:val="0"/>
                <w:i w:val="0"/>
                <w:color w:val="1F2933"/>
                <w:sz w:val="18"/>
              </w:rPr>
              <w:t>The syllabus ingestion, generation and expert review loop — the largest workstream, and the one that is genuinely proportional to the number of subjects in scope.</w:t>
            </w:r>
          </w:p>
        </w:tc>
      </w:tr>
    </w:tbl>
    <w:p>
      <w:pPr>
        <w:spacing w:after="40"/>
      </w:pPr>
    </w:p>
    <w:p>
      <w:pPr>
        <w:spacing w:after="140"/>
      </w:pPr>
      <w:r>
        <w:rPr>
          <w:rFonts w:ascii="Calibri" w:hAnsi="Calibri"/>
          <w:b w:val="0"/>
          <w:i w:val="0"/>
          <w:color w:val="1F2933"/>
          <w:sz w:val="21"/>
        </w:rPr>
        <w:t xml:space="preserve">Two things are worth drawing out of that list. First, the engineering is mostly </w:t>
      </w:r>
      <w:r>
        <w:rPr>
          <w:rFonts w:ascii="Calibri" w:hAnsi="Calibri"/>
          <w:b/>
          <w:i w:val="0"/>
          <w:color w:val="1F2933"/>
          <w:sz w:val="21"/>
        </w:rPr>
        <w:t>removing an assumption</w:t>
      </w:r>
      <w:r>
        <w:rPr>
          <w:rFonts w:ascii="Calibri" w:hAnsi="Calibri"/>
          <w:b w:val="0"/>
          <w:i w:val="0"/>
          <w:color w:val="1F2933"/>
          <w:sz w:val="21"/>
        </w:rPr>
        <w:t>, not adding a feature — and each assumption removed makes the third country cheaper than the second. Second, almost everything in the first six rows is now a registration point rather than a code change: adding a country to the tutor engine today is a locale profile entry and a language rule, with no database change.</w:t>
      </w:r>
    </w:p>
    <w:p>
      <w:pPr>
        <w:pStyle w:val="Heading1"/>
        <w:pBdr>
          <w:bottom w:val="single" w:sz="12" w:space="6" w:color="E8590C"/>
        </w:pBdr>
      </w:pPr>
      <w:r>
        <w:t>Appendix 2 — Questions to answer before Phase 1</w:t>
      </w:r>
    </w:p>
    <w:p>
      <w:pPr>
        <w:spacing w:after="140"/>
      </w:pPr>
      <w:r>
        <w:rPr>
          <w:rFonts w:ascii="Calibri" w:hAnsi="Calibri"/>
          <w:b w:val="0"/>
          <w:i w:val="0"/>
          <w:color w:val="1F2933"/>
          <w:sz w:val="21"/>
        </w:rPr>
        <w:t>If a country can answer these, implementation can start. If it cannot, implementation will start anyway and stall on the unanswered one.</w:t>
      </w:r>
    </w:p>
    <w:p>
      <w:pPr>
        <w:pStyle w:val="ListBullet"/>
        <w:spacing w:after="60"/>
      </w:pPr>
      <w:r>
        <w:rPr>
          <w:rFonts w:ascii="Calibri" w:hAnsi="Calibri"/>
          <w:b/>
          <w:i w:val="0"/>
          <w:color w:val="1F2933"/>
          <w:sz w:val="21"/>
        </w:rPr>
        <w:t>Where may model calls run?</w:t>
      </w:r>
      <w:r>
        <w:rPr>
          <w:rFonts w:ascii="Calibri" w:hAnsi="Calibri"/>
          <w:b w:val="0"/>
          <w:i w:val="0"/>
          <w:color w:val="1F2933"/>
          <w:sz w:val="21"/>
        </w:rPr>
        <w:t xml:space="preserve"> In the vendor's cloud, in a specific jurisdiction, or only inside the country? Who signs that off?</w:t>
      </w:r>
    </w:p>
    <w:p>
      <w:pPr>
        <w:pStyle w:val="ListBullet"/>
        <w:spacing w:after="60"/>
      </w:pPr>
      <w:r>
        <w:rPr>
          <w:rFonts w:ascii="Calibri" w:hAnsi="Calibri"/>
          <w:b/>
          <w:i w:val="0"/>
          <w:color w:val="1F2933"/>
          <w:sz w:val="21"/>
        </w:rPr>
        <w:t>Who operates the deployment</w:t>
      </w:r>
      <w:r>
        <w:rPr>
          <w:rFonts w:ascii="Calibri" w:hAnsi="Calibri"/>
          <w:b w:val="0"/>
          <w:i w:val="0"/>
          <w:color w:val="1F2933"/>
          <w:sz w:val="21"/>
        </w:rPr>
        <w:t>, and on whose cloud account or hardware?</w:t>
      </w:r>
    </w:p>
    <w:p>
      <w:pPr>
        <w:pStyle w:val="ListBullet"/>
        <w:spacing w:after="60"/>
      </w:pPr>
      <w:r>
        <w:rPr>
          <w:rFonts w:ascii="Calibri" w:hAnsi="Calibri"/>
          <w:b/>
          <w:i w:val="0"/>
          <w:color w:val="1F2933"/>
          <w:sz w:val="21"/>
        </w:rPr>
        <w:t>Which subjects and which grades</w:t>
      </w:r>
      <w:r>
        <w:rPr>
          <w:rFonts w:ascii="Calibri" w:hAnsi="Calibri"/>
          <w:b w:val="0"/>
          <w:i w:val="0"/>
          <w:color w:val="1F2933"/>
          <w:sz w:val="21"/>
        </w:rPr>
        <w:t xml:space="preserve"> are in scope for the first cohort?</w:t>
      </w:r>
    </w:p>
    <w:p>
      <w:pPr>
        <w:pStyle w:val="ListBullet"/>
        <w:spacing w:after="60"/>
      </w:pPr>
      <w:r>
        <w:rPr>
          <w:rFonts w:ascii="Calibri" w:hAnsi="Calibri"/>
          <w:b/>
          <w:i w:val="0"/>
          <w:color w:val="1F2933"/>
          <w:sz w:val="21"/>
        </w:rPr>
        <w:t>Do the syllabus documents exist in a usable form</w:t>
      </w:r>
      <w:r>
        <w:rPr>
          <w:rFonts w:ascii="Calibri" w:hAnsi="Calibri"/>
          <w:b w:val="0"/>
          <w:i w:val="0"/>
          <w:color w:val="1F2933"/>
          <w:sz w:val="21"/>
        </w:rPr>
        <w:t>, and may they be used to derive teaching content?</w:t>
      </w:r>
    </w:p>
    <w:p>
      <w:pPr>
        <w:pStyle w:val="ListBullet"/>
        <w:spacing w:after="60"/>
      </w:pPr>
      <w:r>
        <w:rPr>
          <w:rFonts w:ascii="Calibri" w:hAnsi="Calibri"/>
          <w:b/>
          <w:i w:val="0"/>
          <w:color w:val="1F2933"/>
          <w:sz w:val="21"/>
        </w:rPr>
        <w:t>Who reviews generated content</w:t>
      </w:r>
      <w:r>
        <w:rPr>
          <w:rFonts w:ascii="Calibri" w:hAnsi="Calibri"/>
          <w:b w:val="0"/>
          <w:i w:val="0"/>
          <w:color w:val="1F2933"/>
          <w:sz w:val="21"/>
        </w:rPr>
        <w:t>, how many hours per week do they have, and who signs a lesson off as fit to teach?</w:t>
      </w:r>
    </w:p>
    <w:p>
      <w:pPr>
        <w:pStyle w:val="ListBullet"/>
        <w:spacing w:after="60"/>
      </w:pPr>
      <w:r>
        <w:rPr>
          <w:rFonts w:ascii="Calibri" w:hAnsi="Calibri"/>
          <w:b/>
          <w:i w:val="0"/>
          <w:color w:val="1F2933"/>
          <w:sz w:val="21"/>
        </w:rPr>
        <w:t>Who settles the language register</w:t>
      </w:r>
      <w:r>
        <w:rPr>
          <w:rFonts w:ascii="Calibri" w:hAnsi="Calibri"/>
          <w:b w:val="0"/>
          <w:i w:val="0"/>
          <w:color w:val="1F2933"/>
          <w:sz w:val="21"/>
        </w:rPr>
        <w:t>, and is that person a practising educator?</w:t>
      </w:r>
    </w:p>
    <w:p>
      <w:pPr>
        <w:pStyle w:val="ListBullet"/>
        <w:spacing w:after="60"/>
      </w:pPr>
      <w:r>
        <w:rPr>
          <w:rFonts w:ascii="Calibri" w:hAnsi="Calibri"/>
          <w:b/>
          <w:i w:val="0"/>
          <w:color w:val="1F2933"/>
          <w:sz w:val="21"/>
        </w:rPr>
        <w:t>What are the grade codes and labels</w:t>
      </w:r>
      <w:r>
        <w:rPr>
          <w:rFonts w:ascii="Calibri" w:hAnsi="Calibri"/>
          <w:b w:val="0"/>
          <w:i w:val="0"/>
          <w:color w:val="1F2933"/>
          <w:sz w:val="21"/>
        </w:rPr>
        <w:t xml:space="preserve"> exactly as students should see them?</w:t>
      </w:r>
    </w:p>
    <w:p>
      <w:pPr>
        <w:pStyle w:val="ListBullet"/>
        <w:spacing w:after="60"/>
      </w:pPr>
      <w:r>
        <w:rPr>
          <w:rFonts w:ascii="Calibri" w:hAnsi="Calibri"/>
          <w:b/>
          <w:i w:val="0"/>
          <w:color w:val="1F2933"/>
          <w:sz w:val="21"/>
        </w:rPr>
        <w:t>What is the device and connectivity reality</w:t>
      </w:r>
      <w:r>
        <w:rPr>
          <w:rFonts w:ascii="Calibri" w:hAnsi="Calibri"/>
          <w:b w:val="0"/>
          <w:i w:val="0"/>
          <w:color w:val="1F2933"/>
          <w:sz w:val="21"/>
        </w:rPr>
        <w:t xml:space="preserve"> in the pilot schools — individual devices, shared devices, or no reliable connection?</w:t>
      </w:r>
    </w:p>
    <w:p>
      <w:pPr>
        <w:pStyle w:val="ListBullet"/>
        <w:spacing w:after="60"/>
      </w:pPr>
      <w:r>
        <w:rPr>
          <w:rFonts w:ascii="Calibri" w:hAnsi="Calibri"/>
          <w:b/>
          <w:i w:val="0"/>
          <w:color w:val="1F2933"/>
          <w:sz w:val="21"/>
        </w:rPr>
        <w:t>Who reads flagged sessions</w:t>
      </w:r>
      <w:r>
        <w:rPr>
          <w:rFonts w:ascii="Calibri" w:hAnsi="Calibri"/>
          <w:b w:val="0"/>
          <w:i w:val="0"/>
          <w:color w:val="1F2933"/>
          <w:sz w:val="21"/>
        </w:rPr>
        <w:t>, and what happens when one indicates a student is at risk?</w:t>
      </w:r>
    </w:p>
    <w:p>
      <w:pPr>
        <w:pStyle w:val="ListBullet"/>
        <w:spacing w:after="60"/>
      </w:pPr>
      <w:r>
        <w:rPr>
          <w:rFonts w:ascii="Calibri" w:hAnsi="Calibri"/>
          <w:b/>
          <w:i w:val="0"/>
          <w:color w:val="1F2933"/>
          <w:sz w:val="21"/>
        </w:rPr>
        <w:t>What is the budget ceiling for model usage</w:t>
      </w:r>
      <w:r>
        <w:rPr>
          <w:rFonts w:ascii="Calibri" w:hAnsi="Calibri"/>
          <w:b w:val="0"/>
          <w:i w:val="0"/>
          <w:color w:val="1F2933"/>
          <w:sz w:val="21"/>
        </w:rPr>
        <w:t>, and who is watching it weekly?</w:t>
      </w:r>
    </w:p>
    <w:p>
      <w:pPr>
        <w:pStyle w:val="Heading1"/>
        <w:pBdr>
          <w:bottom w:val="single" w:sz="12" w:space="6" w:color="E8590C"/>
        </w:pBdr>
      </w:pPr>
      <w:r>
        <w:t>Appendix 3 — Glossary</w:t>
      </w:r>
    </w:p>
    <w:tbl>
      <w:tblPr>
        <w:tblW w:type="auto" w:w="0"/>
        <w:jc w:val="left"/>
        <w:tblLayout w:type="fixed"/>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4706"/>
        <w:gridCol w:w="4706"/>
      </w:tblGrid>
      <w:tr>
        <w:trPr>
          <w:tblHeader w:val="true"/>
          <w:cantSplit/>
        </w:trPr>
        <w:tc>
          <w:tcPr>
            <w:tcW w:type="dxa" w:w="1928"/>
            <w:shd w:val="clear" w:fill="1F2933"/>
          </w:tcPr>
          <w:p>
            <w:pPr>
              <w:spacing w:after="40" w:before="40"/>
            </w:pPr>
            <w:r/>
            <w:r>
              <w:rPr>
                <w:rFonts w:ascii="Calibri" w:hAnsi="Calibri"/>
                <w:b/>
                <w:i w:val="0"/>
                <w:color w:val="FFFFFF"/>
                <w:sz w:val="18"/>
              </w:rPr>
              <w:t>Term</w:t>
            </w:r>
          </w:p>
        </w:tc>
        <w:tc>
          <w:tcPr>
            <w:tcW w:type="dxa" w:w="7483"/>
            <w:shd w:val="clear" w:fill="1F2933"/>
          </w:tcPr>
          <w:p>
            <w:pPr>
              <w:spacing w:after="40" w:before="40"/>
            </w:pPr>
            <w:r/>
            <w:r>
              <w:rPr>
                <w:rFonts w:ascii="Calibri" w:hAnsi="Calibri"/>
                <w:b/>
                <w:i w:val="0"/>
                <w:color w:val="FFFFFF"/>
                <w:sz w:val="18"/>
              </w:rPr>
              <w:t>Meaning</w:t>
            </w:r>
          </w:p>
        </w:tc>
      </w:tr>
      <w:tr>
        <w:trPr>
          <w:cantSplit/>
        </w:trPr>
        <w:tc>
          <w:tcPr>
            <w:tcW w:type="dxa" w:w="1928"/>
          </w:tcPr>
          <w:p>
            <w:pPr>
              <w:spacing w:after="40" w:before="40"/>
            </w:pPr>
            <w:r/>
            <w:r>
              <w:rPr>
                <w:rFonts w:ascii="Calibri" w:hAnsi="Calibri"/>
                <w:b w:val="0"/>
                <w:i w:val="0"/>
                <w:color w:val="1F2933"/>
                <w:sz w:val="18"/>
              </w:rPr>
              <w:t>5E model</w:t>
            </w:r>
          </w:p>
        </w:tc>
        <w:tc>
          <w:tcPr>
            <w:tcW w:type="dxa" w:w="7483"/>
          </w:tcPr>
          <w:p>
            <w:pPr>
              <w:spacing w:after="40" w:before="40"/>
            </w:pPr>
            <w:r/>
            <w:r>
              <w:rPr>
                <w:rFonts w:ascii="Calibri" w:hAnsi="Calibri"/>
                <w:b w:val="0"/>
                <w:i w:val="0"/>
                <w:color w:val="1F2933"/>
                <w:sz w:val="18"/>
              </w:rPr>
              <w:t>The instructional sequence a lesson follows: Engage, Explore, Explain, Practice, Evaluate.</w:t>
            </w:r>
          </w:p>
        </w:tc>
      </w:tr>
      <w:tr>
        <w:trPr>
          <w:cantSplit/>
        </w:trPr>
        <w:tc>
          <w:tcPr>
            <w:tcW w:type="dxa" w:w="1928"/>
            <w:shd w:val="clear" w:fill="F4F6F8"/>
          </w:tcPr>
          <w:p>
            <w:pPr>
              <w:spacing w:after="40" w:before="40"/>
            </w:pPr>
            <w:r/>
            <w:r>
              <w:rPr>
                <w:rFonts w:ascii="Calibri" w:hAnsi="Calibri"/>
                <w:b w:val="0"/>
                <w:i w:val="0"/>
                <w:color w:val="1F2933"/>
                <w:sz w:val="18"/>
              </w:rPr>
              <w:t>Exit ticket</w:t>
            </w:r>
          </w:p>
        </w:tc>
        <w:tc>
          <w:tcPr>
            <w:tcW w:type="dxa" w:w="7483"/>
            <w:shd w:val="clear" w:fill="F4F6F8"/>
          </w:tcPr>
          <w:p>
            <w:pPr>
              <w:spacing w:after="40" w:before="40"/>
            </w:pPr>
            <w:r/>
            <w:r>
              <w:rPr>
                <w:rFonts w:ascii="Calibri" w:hAnsi="Calibri"/>
                <w:b w:val="0"/>
                <w:i w:val="0"/>
                <w:color w:val="1F2933"/>
                <w:sz w:val="18"/>
              </w:rPr>
              <w:t>The end-of-lesson assessment. Ten questions drawn from a bank of about thirty-five; eighty per cent passes and records mastery.</w:t>
            </w:r>
          </w:p>
        </w:tc>
      </w:tr>
      <w:tr>
        <w:trPr>
          <w:cantSplit/>
        </w:trPr>
        <w:tc>
          <w:tcPr>
            <w:tcW w:type="dxa" w:w="1928"/>
          </w:tcPr>
          <w:p>
            <w:pPr>
              <w:spacing w:after="40" w:before="40"/>
            </w:pPr>
            <w:r/>
            <w:r>
              <w:rPr>
                <w:rFonts w:ascii="Calibri" w:hAnsi="Calibri"/>
                <w:b w:val="0"/>
                <w:i w:val="0"/>
                <w:color w:val="1F2933"/>
                <w:sz w:val="18"/>
              </w:rPr>
              <w:t>Institution</w:t>
            </w:r>
          </w:p>
        </w:tc>
        <w:tc>
          <w:tcPr>
            <w:tcW w:type="dxa" w:w="7483"/>
          </w:tcPr>
          <w:p>
            <w:pPr>
              <w:spacing w:after="40" w:before="40"/>
            </w:pPr>
            <w:r/>
            <w:r>
              <w:rPr>
                <w:rFonts w:ascii="Calibri" w:hAnsi="Calibri"/>
                <w:b w:val="0"/>
                <w:i w:val="0"/>
                <w:color w:val="1F2933"/>
                <w:sz w:val="18"/>
              </w:rPr>
              <w:t>A school, as the platform models it. The unit of data scoping — every query touching student data is filtered by it.</w:t>
            </w:r>
          </w:p>
        </w:tc>
      </w:tr>
      <w:tr>
        <w:trPr>
          <w:cantSplit/>
        </w:trPr>
        <w:tc>
          <w:tcPr>
            <w:tcW w:type="dxa" w:w="1928"/>
            <w:shd w:val="clear" w:fill="F4F6F8"/>
          </w:tcPr>
          <w:p>
            <w:pPr>
              <w:spacing w:after="40" w:before="40"/>
            </w:pPr>
            <w:r/>
            <w:r>
              <w:rPr>
                <w:rFonts w:ascii="Calibri" w:hAnsi="Calibri"/>
                <w:b w:val="0"/>
                <w:i w:val="0"/>
                <w:color w:val="1F2933"/>
                <w:sz w:val="18"/>
              </w:rPr>
              <w:t>Locale</w:t>
            </w:r>
          </w:p>
        </w:tc>
        <w:tc>
          <w:tcPr>
            <w:tcW w:type="dxa" w:w="7483"/>
            <w:shd w:val="clear" w:fill="F4F6F8"/>
          </w:tcPr>
          <w:p>
            <w:pPr>
              <w:spacing w:after="40" w:before="40"/>
            </w:pPr>
            <w:r/>
            <w:r>
              <w:rPr>
                <w:rFonts w:ascii="Calibri" w:hAnsi="Calibri"/>
                <w:b w:val="0"/>
                <w:i w:val="0"/>
                <w:color w:val="1F2933"/>
                <w:sz w:val="18"/>
              </w:rPr>
              <w:t>A language-and-country pairing, such as en-us. Drives tutor language, register, interface language and which local facts are used.</w:t>
            </w:r>
          </w:p>
        </w:tc>
      </w:tr>
      <w:tr>
        <w:trPr>
          <w:cantSplit/>
        </w:trPr>
        <w:tc>
          <w:tcPr>
            <w:tcW w:type="dxa" w:w="1928"/>
          </w:tcPr>
          <w:p>
            <w:pPr>
              <w:spacing w:after="40" w:before="40"/>
            </w:pPr>
            <w:r/>
            <w:r>
              <w:rPr>
                <w:rFonts w:ascii="Calibri" w:hAnsi="Calibri"/>
                <w:b w:val="0"/>
                <w:i w:val="0"/>
                <w:color w:val="1F2933"/>
                <w:sz w:val="18"/>
              </w:rPr>
              <w:t>Curriculum pack</w:t>
            </w:r>
          </w:p>
        </w:tc>
        <w:tc>
          <w:tcPr>
            <w:tcW w:type="dxa" w:w="7483"/>
          </w:tcPr>
          <w:p>
            <w:pPr>
              <w:spacing w:after="40" w:before="40"/>
            </w:pPr>
            <w:r/>
            <w:r>
              <w:rPr>
                <w:rFonts w:ascii="Calibri" w:hAnsi="Calibri"/>
                <w:b w:val="0"/>
                <w:i w:val="0"/>
                <w:color w:val="1F2933"/>
                <w:sz w:val="18"/>
              </w:rPr>
              <w:t>A portable bundle of teaching content for seeding a new deployment. Carries no student records.</w:t>
            </w:r>
          </w:p>
        </w:tc>
      </w:tr>
      <w:tr>
        <w:trPr>
          <w:cantSplit/>
        </w:trPr>
        <w:tc>
          <w:tcPr>
            <w:tcW w:type="dxa" w:w="1928"/>
            <w:shd w:val="clear" w:fill="F4F6F8"/>
          </w:tcPr>
          <w:p>
            <w:pPr>
              <w:spacing w:after="40" w:before="40"/>
            </w:pPr>
            <w:r/>
            <w:r>
              <w:rPr>
                <w:rFonts w:ascii="Calibri" w:hAnsi="Calibri"/>
                <w:b w:val="0"/>
                <w:i w:val="0"/>
                <w:color w:val="1F2933"/>
                <w:sz w:val="18"/>
              </w:rPr>
              <w:t>Device pack</w:t>
            </w:r>
          </w:p>
        </w:tc>
        <w:tc>
          <w:tcPr>
            <w:tcW w:type="dxa" w:w="7483"/>
            <w:shd w:val="clear" w:fill="F4F6F8"/>
          </w:tcPr>
          <w:p>
            <w:pPr>
              <w:spacing w:after="40" w:before="40"/>
            </w:pPr>
            <w:r/>
            <w:r>
              <w:rPr>
                <w:rFonts w:ascii="Calibri" w:hAnsi="Calibri"/>
                <w:b w:val="0"/>
                <w:i w:val="0"/>
                <w:color w:val="1F2933"/>
                <w:sz w:val="18"/>
              </w:rPr>
              <w:t>A bundle for provisioning a school laptop. Carries a roster, and never leaves the school.</w:t>
            </w:r>
          </w:p>
        </w:tc>
      </w:tr>
      <w:tr>
        <w:trPr>
          <w:cantSplit/>
        </w:trPr>
        <w:tc>
          <w:tcPr>
            <w:tcW w:type="dxa" w:w="1928"/>
          </w:tcPr>
          <w:p>
            <w:pPr>
              <w:spacing w:after="40" w:before="40"/>
            </w:pPr>
            <w:r/>
            <w:r>
              <w:rPr>
                <w:rFonts w:ascii="Calibri" w:hAnsi="Calibri"/>
                <w:b w:val="0"/>
                <w:i w:val="0"/>
                <w:color w:val="1F2933"/>
                <w:sz w:val="18"/>
              </w:rPr>
              <w:t>Judge</w:t>
            </w:r>
          </w:p>
        </w:tc>
        <w:tc>
          <w:tcPr>
            <w:tcW w:type="dxa" w:w="7483"/>
          </w:tcPr>
          <w:p>
            <w:pPr>
              <w:spacing w:after="40" w:before="40"/>
            </w:pPr>
            <w:r/>
            <w:r>
              <w:rPr>
                <w:rFonts w:ascii="Calibri" w:hAnsi="Calibri"/>
                <w:b w:val="0"/>
                <w:i w:val="0"/>
                <w:color w:val="1F2933"/>
                <w:sz w:val="18"/>
              </w:rPr>
              <w:t>The automated check run on tutor replies, scoring ten dimensions including factual accuracy and safety.</w:t>
            </w:r>
          </w:p>
        </w:tc>
      </w:tr>
      <w:tr>
        <w:trPr>
          <w:cantSplit/>
        </w:trPr>
        <w:tc>
          <w:tcPr>
            <w:tcW w:type="dxa" w:w="1928"/>
            <w:shd w:val="clear" w:fill="F4F6F8"/>
          </w:tcPr>
          <w:p>
            <w:pPr>
              <w:spacing w:after="40" w:before="40"/>
            </w:pPr>
            <w:r/>
            <w:r>
              <w:rPr>
                <w:rFonts w:ascii="Calibri" w:hAnsi="Calibri"/>
                <w:b w:val="0"/>
                <w:i w:val="0"/>
                <w:color w:val="1F2933"/>
                <w:sz w:val="18"/>
              </w:rPr>
              <w:t>Competency band</w:t>
            </w:r>
          </w:p>
        </w:tc>
        <w:tc>
          <w:tcPr>
            <w:tcW w:type="dxa" w:w="7483"/>
            <w:shd w:val="clear" w:fill="F4F6F8"/>
          </w:tcPr>
          <w:p>
            <w:pPr>
              <w:spacing w:after="40" w:before="40"/>
            </w:pPr>
            <w:r/>
            <w:r>
              <w:rPr>
                <w:rFonts w:ascii="Calibri" w:hAnsi="Calibri"/>
                <w:b w:val="0"/>
                <w:i w:val="0"/>
                <w:color w:val="1F2933"/>
                <w:sz w:val="18"/>
              </w:rPr>
              <w:t>Below / Approaching / Meeting / Exceeding Expectation — the reporting bands, with configurable thresholds.</w:t>
            </w:r>
          </w:p>
        </w:tc>
      </w:tr>
      <w:tr>
        <w:trPr>
          <w:cantSplit/>
        </w:trPr>
        <w:tc>
          <w:tcPr>
            <w:tcW w:type="dxa" w:w="1928"/>
          </w:tcPr>
          <w:p>
            <w:pPr>
              <w:spacing w:after="40" w:before="40"/>
            </w:pPr>
            <w:r/>
            <w:r>
              <w:rPr>
                <w:rFonts w:ascii="Calibri" w:hAnsi="Calibri"/>
                <w:b w:val="0"/>
                <w:i w:val="0"/>
                <w:color w:val="1F2933"/>
                <w:sz w:val="18"/>
              </w:rPr>
              <w:t>Skill graph</w:t>
            </w:r>
          </w:p>
        </w:tc>
        <w:tc>
          <w:tcPr>
            <w:tcW w:type="dxa" w:w="7483"/>
          </w:tcPr>
          <w:p>
            <w:pPr>
              <w:spacing w:after="40" w:before="40"/>
            </w:pPr>
            <w:r/>
            <w:r>
              <w:rPr>
                <w:rFonts w:ascii="Calibri" w:hAnsi="Calibri"/>
                <w:b w:val="0"/>
                <w:i w:val="0"/>
                <w:color w:val="1F2933"/>
                <w:sz w:val="18"/>
              </w:rPr>
              <w:t>The extracted map of skills and lesson prerequisites that gates a student from starting a lesson they are not ready for.</w:t>
            </w:r>
          </w:p>
        </w:tc>
      </w:tr>
      <w:tr>
        <w:trPr>
          <w:cantSplit/>
        </w:trPr>
        <w:tc>
          <w:tcPr>
            <w:tcW w:type="dxa" w:w="1928"/>
            <w:shd w:val="clear" w:fill="F4F6F8"/>
          </w:tcPr>
          <w:p>
            <w:pPr>
              <w:spacing w:after="40" w:before="40"/>
            </w:pPr>
            <w:r/>
            <w:r>
              <w:rPr>
                <w:rFonts w:ascii="Calibri" w:hAnsi="Calibri"/>
                <w:b w:val="0"/>
                <w:i w:val="0"/>
                <w:color w:val="1F2933"/>
                <w:sz w:val="18"/>
              </w:rPr>
              <w:t>Knowledge base</w:t>
            </w:r>
          </w:p>
        </w:tc>
        <w:tc>
          <w:tcPr>
            <w:tcW w:type="dxa" w:w="7483"/>
            <w:shd w:val="clear" w:fill="F4F6F8"/>
          </w:tcPr>
          <w:p>
            <w:pPr>
              <w:spacing w:after="40" w:before="40"/>
            </w:pPr>
            <w:r/>
            <w:r>
              <w:rPr>
                <w:rFonts w:ascii="Calibri" w:hAnsi="Calibri"/>
                <w:b w:val="0"/>
                <w:i w:val="0"/>
                <w:color w:val="1F2933"/>
                <w:sz w:val="18"/>
              </w:rPr>
              <w:t>The searchable index of curriculum text, exam questions and teaching materials used to ground tutoring. Embeddings are computed locally.</w:t>
            </w:r>
          </w:p>
        </w:tc>
      </w:tr>
    </w:tbl>
    <w:p>
      <w:pPr>
        <w:spacing w:after="40"/>
      </w:pPr>
    </w:p>
    <w:p/>
    <w:p>
      <w:pPr>
        <w:pBdr>
          <w:bottom w:val="single" w:sz="6" w:space="6" w:color="D8DEE4"/>
        </w:pBdr>
      </w:pPr>
    </w:p>
    <w:p>
      <w:pPr>
        <w:spacing w:after="140"/>
      </w:pPr>
      <w:r>
        <w:rPr>
          <w:rFonts w:ascii="Calibri" w:hAnsi="Calibri"/>
          <w:b w:val="0"/>
          <w:i/>
          <w:color w:val="626F7D"/>
          <w:sz w:val="18"/>
        </w:rPr>
        <w:t>Prepared by the AI Tutor platform team. The self-hosting manual, technical reference, teacher guide and student guide ship with the application and are the authoritative source for anything operational in Part II.</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26F7D"/>
        <w:sz w:val="16"/>
      </w:rPr>
      <w:t xml:space="preserve">AI Tutor — Country Adoption Playbook  ·  page </w:t>
    </w:r>
    <w:fldSimple w:instr="PAGE">
      <w:r>
        <w:rPr>
          <w:sz w:val="16"/>
          <w:color w:val="626F7D"/>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2933"/>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2933"/>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E8590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F29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1F29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the AI Tutor in a National Education System</dc:title>
  <dc:subject>Country adaptation and adoption playbook</dc:subject>
  <dc:creator>AI Tutor platform team</dc:creator>
  <cp:keywords/>
  <dc:description>A playbook for ministries of education and their technical teams: what a country adapts, what it must decide, what it costs, and how to reach a first cohort.</dc:description>
  <cp:lastModifiedBy/>
  <cp:revision>1</cp:revision>
  <dcterms:created xsi:type="dcterms:W3CDTF">2013-12-23T23:15:00Z</dcterms:created>
  <dcterms:modified xsi:type="dcterms:W3CDTF">2013-12-23T23:15:00Z</dcterms:modified>
  <cp:category>Adoption playbook</cp:category>
</cp:coreProperties>
</file>