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2025-08-17T20:45:48.145545Z</w:t>
      </w:r>
    </w:p>
    <w:p>
      <w:pPr>
        <w:pStyle w:val="Heading1"/>
      </w:pPr>
      <w:r>
        <w:t>BLUF</w:t>
      </w:r>
    </w:p>
    <w:p>
      <w:r>
        <w:rPr>
          <w:sz w:val="22"/>
        </w:rPr>
        <w:t>**BLUF:** De analyse van archive.org toont een gemiddelde effectiviteit van 0,42 voor het archiveren van Citrix-gerelateerde inhoud. Dit wijst op een gematigde betrouwbaarheid van de archieven voor deze specifieke bron.</w:t>
        <w:br/>
        <w:br/>
        <w:t>**Acties:**</w:t>
        <w:br/>
        <w:t>1. Voer een diepgaand onderzoek uit naar de specifieke inhoud van Citrix-archieven op archive.org om de relevantie en volledigheid te beoordelen.</w:t>
        <w:br/>
        <w:t>2. Ontwikkel richtlijnen voor het gebruik van archive.org als referentiebron in toekomstige analyses en rapportages.</w:t>
        <w:br/>
        <w:t>3. Monitor regelmatig de effectiviteit van archieven en pas de strategieën aan op basis van nieuwe gegevens en trends.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>- Archive_Only_Findings: p≈10.0% — De bevindingen met betrekking tot archieven tonen een gemiddelde EAI-score van 0,42, gebaseerd op één bewijsstuk. Een voorbeeld hiervan is de URL van archive.org, waar informatie over Citrix te vinden is.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