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B4CD9" w:rsidR="00AB4CD9" w:rsidP="00AB4CD9" w:rsidRDefault="00AB4CD9" w14:paraId="382F2093" w14:textId="77777777">
      <w:pPr>
        <w:pStyle w:val="Heading1"/>
        <w:rPr>
          <w:rFonts w:eastAsia="Times New Roman"/>
        </w:rPr>
      </w:pPr>
      <w:r w:rsidRPr="00AB4CD9">
        <w:rPr>
          <w:rFonts w:eastAsia="Times New Roman"/>
        </w:rPr>
        <w:t>RMPAI Platform</w:t>
      </w:r>
    </w:p>
    <w:p w:rsidRPr="00AB4CD9" w:rsidR="00AB4CD9" w:rsidP="00AB4CD9" w:rsidRDefault="00AB4CD9" w14:paraId="03016EE3" w14:textId="77777777">
      <w:pPr>
        <w:pStyle w:val="Heading1"/>
        <w:rPr>
          <w:rFonts w:eastAsia="Times New Roman"/>
        </w:rPr>
      </w:pPr>
      <w:r w:rsidRPr="00AB4CD9">
        <w:rPr>
          <w:rFonts w:eastAsia="Times New Roman"/>
        </w:rPr>
        <w:t>Product Requirements Document</w:t>
      </w:r>
    </w:p>
    <w:p w:rsidRPr="00AB4CD9" w:rsidR="00037ECC" w:rsidP="00AB4CD9" w:rsidRDefault="00AB4CD9" w14:paraId="27DFFBA1" w14:textId="74E1FD54">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b/>
          <w:bCs/>
          <w:kern w:val="0"/>
          <w14:ligatures w14:val="none"/>
        </w:rPr>
        <w:t>Document Owner:</w:t>
      </w:r>
      <w:r w:rsidRPr="00AB4CD9">
        <w:rPr>
          <w:rFonts w:ascii="Times New Roman" w:hAnsi="Times New Roman" w:eastAsia="Times New Roman" w:cs="Times New Roman"/>
          <w:kern w:val="0"/>
          <w14:ligatures w14:val="none"/>
        </w:rPr>
        <w:t xml:space="preserve"> RMPAI product team</w:t>
      </w:r>
      <w:r w:rsidRPr="00AB4CD9">
        <w:rPr>
          <w:rFonts w:ascii="Times New Roman" w:hAnsi="Times New Roman" w:eastAsia="Times New Roman" w:cs="Times New Roman"/>
          <w:kern w:val="0"/>
          <w14:ligatures w14:val="none"/>
        </w:rPr>
        <w:br/>
      </w:r>
      <w:r w:rsidRPr="00AB4CD9">
        <w:rPr>
          <w:rFonts w:ascii="Times New Roman" w:hAnsi="Times New Roman" w:eastAsia="Times New Roman" w:cs="Times New Roman"/>
          <w:b/>
          <w:bCs/>
          <w:kern w:val="0"/>
          <w14:ligatures w14:val="none"/>
        </w:rPr>
        <w:t>Document Type:</w:t>
      </w:r>
      <w:r w:rsidRPr="00AB4CD9">
        <w:rPr>
          <w:rFonts w:ascii="Times New Roman" w:hAnsi="Times New Roman" w:eastAsia="Times New Roman" w:cs="Times New Roman"/>
          <w:kern w:val="0"/>
          <w14:ligatures w14:val="none"/>
        </w:rPr>
        <w:t xml:space="preserve"> Product requirements document</w:t>
      </w:r>
      <w:r w:rsidRPr="00AB4CD9">
        <w:rPr>
          <w:rFonts w:ascii="Times New Roman" w:hAnsi="Times New Roman" w:eastAsia="Times New Roman" w:cs="Times New Roman"/>
          <w:kern w:val="0"/>
          <w14:ligatures w14:val="none"/>
        </w:rPr>
        <w:br/>
      </w:r>
      <w:r w:rsidRPr="00AB4CD9">
        <w:rPr>
          <w:rFonts w:ascii="Times New Roman" w:hAnsi="Times New Roman" w:eastAsia="Times New Roman" w:cs="Times New Roman"/>
          <w:b/>
          <w:bCs/>
          <w:kern w:val="0"/>
          <w14:ligatures w14:val="none"/>
        </w:rPr>
        <w:t>Version:</w:t>
      </w:r>
      <w:r w:rsidRPr="00AB4CD9">
        <w:rPr>
          <w:rFonts w:ascii="Times New Roman" w:hAnsi="Times New Roman" w:eastAsia="Times New Roman" w:cs="Times New Roman"/>
          <w:kern w:val="0"/>
          <w14:ligatures w14:val="none"/>
        </w:rPr>
        <w:t xml:space="preserve"> Draft - 2026-03-10</w:t>
      </w:r>
      <w:r w:rsidRPr="00AB4CD9">
        <w:rPr>
          <w:rFonts w:ascii="Times New Roman" w:hAnsi="Times New Roman" w:eastAsia="Times New Roman" w:cs="Times New Roman"/>
          <w:kern w:val="0"/>
          <w14:ligatures w14:val="none"/>
        </w:rPr>
        <w:br/>
      </w:r>
      <w:r w:rsidRPr="00AB4CD9" w:rsidR="00A545A6">
        <w:rPr>
          <w:rFonts w:ascii="Times New Roman" w:hAnsi="Times New Roman" w:eastAsia="Times New Roman" w:cs="Times New Roman"/>
          <w:b/>
          <w:bCs/>
          <w:kern w:val="0"/>
          <w14:ligatures w14:val="none"/>
        </w:rPr>
        <w:t>Scope:</w:t>
      </w:r>
      <w:r w:rsidRPr="00AB4CD9" w:rsidR="00A545A6">
        <w:rPr>
          <w:rFonts w:ascii="Times New Roman" w:hAnsi="Times New Roman" w:eastAsia="Times New Roman" w:cs="Times New Roman"/>
          <w:kern w:val="0"/>
          <w14:ligatures w14:val="none"/>
        </w:rPr>
        <w:t xml:space="preserve"> Enterprise AI platform for inference, fine-tuning, governance, and developer experience</w:t>
      </w:r>
      <w:r w:rsidRPr="00A545A6" w:rsidR="00A545A6">
        <w:rPr>
          <w:rFonts w:ascii="Times New Roman" w:hAnsi="Times New Roman" w:eastAsia="Times New Roman" w:cs="Times New Roman"/>
          <w:b/>
          <w:bCs/>
          <w:kern w:val="0"/>
          <w14:ligatures w14:val="none"/>
        </w:rPr>
        <w:t xml:space="preserve"> </w:t>
      </w:r>
      <w:r w:rsidR="00A545A6">
        <w:rPr>
          <w:rFonts w:ascii="Times New Roman" w:hAnsi="Times New Roman" w:eastAsia="Times New Roman" w:cs="Times New Roman"/>
          <w:b/>
          <w:bCs/>
          <w:kern w:val="0"/>
          <w14:ligatures w14:val="none"/>
        </w:rPr>
        <w:t>Author</w:t>
      </w:r>
      <w:r w:rsidRPr="00AB4CD9" w:rsidR="00A545A6">
        <w:rPr>
          <w:rFonts w:ascii="Times New Roman" w:hAnsi="Times New Roman" w:eastAsia="Times New Roman" w:cs="Times New Roman"/>
          <w:b/>
          <w:bCs/>
          <w:kern w:val="0"/>
          <w14:ligatures w14:val="none"/>
        </w:rPr>
        <w:t>:</w:t>
      </w:r>
      <w:r w:rsidRPr="00AB4CD9" w:rsidR="00A545A6">
        <w:rPr>
          <w:rFonts w:ascii="Times New Roman" w:hAnsi="Times New Roman" w:eastAsia="Times New Roman" w:cs="Times New Roman"/>
          <w:kern w:val="0"/>
          <w14:ligatures w14:val="none"/>
        </w:rPr>
        <w:t xml:space="preserve"> </w:t>
      </w:r>
      <w:r w:rsidR="00A545A6">
        <w:rPr>
          <w:rFonts w:ascii="Times New Roman" w:hAnsi="Times New Roman" w:eastAsia="Times New Roman" w:cs="Times New Roman"/>
          <w:kern w:val="0"/>
          <w14:ligatures w14:val="none"/>
        </w:rPr>
        <w:t>Amine Badaoui</w:t>
      </w:r>
    </w:p>
    <w:p w:rsidRPr="00AB4CD9" w:rsidR="00AB4CD9" w:rsidP="00921DBE" w:rsidRDefault="00AB4CD9" w14:paraId="583E8723" w14:textId="059ED7C5">
      <w:pPr>
        <w:pStyle w:val="Heading4"/>
        <w:rPr>
          <w:rFonts w:eastAsia="Times New Roman"/>
        </w:rPr>
      </w:pPr>
      <w:r w:rsidRPr="00AB4CD9">
        <w:rPr>
          <w:rFonts w:eastAsia="Times New Roman"/>
          <w:b/>
          <w:bCs/>
        </w:rPr>
        <w:t>North Star</w:t>
      </w:r>
      <w:r w:rsidRPr="00AB4CD9">
        <w:rPr>
          <w:rFonts w:eastAsia="Times New Roman"/>
        </w:rPr>
        <w:br/>
      </w:r>
      <w:r w:rsidRPr="00AB4CD9">
        <w:rPr>
          <w:rFonts w:eastAsia="Times New Roman"/>
        </w:rPr>
        <w:t>Deliver a private, cloud-agnostic AI platform that matches the developer experience of leading managed services while preserving infrastructure control, cost transparency, portability, and enterprise governance.</w:t>
      </w:r>
    </w:p>
    <w:p w:rsidRPr="00AB4CD9" w:rsidR="00AB4CD9" w:rsidP="00AB4CD9" w:rsidRDefault="00AB4CD9" w14:paraId="71D31F35" w14:textId="77777777">
      <w:pPr>
        <w:pStyle w:val="Heading2"/>
        <w:rPr>
          <w:rFonts w:eastAsia="Times New Roman"/>
        </w:rPr>
      </w:pPr>
      <w:r w:rsidRPr="00AB4CD9">
        <w:rPr>
          <w:rFonts w:eastAsia="Times New Roman"/>
        </w:rPr>
        <w:t>1. Document Purpose</w:t>
      </w:r>
    </w:p>
    <w:p w:rsidRPr="00AB4CD9" w:rsidR="00AB4CD9" w:rsidP="00AB4CD9" w:rsidRDefault="00AB4CD9" w14:paraId="4B6117C2"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This document defines the product vision, market need, target users, technical requirements, architectural direction, delivery priorities, and measurable success criteria for the RMPAI platform.</w:t>
      </w:r>
    </w:p>
    <w:p w:rsidRPr="00AB4CD9" w:rsidR="00AB4CD9" w:rsidP="00AB4CD9" w:rsidRDefault="00AB4CD9" w14:paraId="66D94FB5" w14:textId="5F5FDB70">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It consolidates the original foundation requirements with the expanded platform needs across inference, optimization, governance, fine-tuning, and developer experience. The purpose of this PRD is to align product</w:t>
      </w:r>
      <w:r w:rsidR="00303778">
        <w:rPr>
          <w:rFonts w:ascii="Times New Roman" w:hAnsi="Times New Roman" w:eastAsia="Times New Roman" w:cs="Times New Roman"/>
          <w:kern w:val="0"/>
          <w14:ligatures w14:val="none"/>
        </w:rPr>
        <w:t xml:space="preserve"> </w:t>
      </w:r>
      <w:r w:rsidRPr="00AB4CD9">
        <w:rPr>
          <w:rFonts w:ascii="Times New Roman" w:hAnsi="Times New Roman" w:eastAsia="Times New Roman" w:cs="Times New Roman"/>
          <w:kern w:val="0"/>
          <w14:ligatures w14:val="none"/>
        </w:rPr>
        <w:t>engineering</w:t>
      </w:r>
      <w:r w:rsidR="00303778">
        <w:rPr>
          <w:rFonts w:ascii="Times New Roman" w:hAnsi="Times New Roman" w:eastAsia="Times New Roman" w:cs="Times New Roman"/>
          <w:kern w:val="0"/>
          <w14:ligatures w14:val="none"/>
        </w:rPr>
        <w:t xml:space="preserve"> and software engineering </w:t>
      </w:r>
      <w:r w:rsidRPr="00AB4CD9">
        <w:rPr>
          <w:rFonts w:ascii="Times New Roman" w:hAnsi="Times New Roman" w:eastAsia="Times New Roman" w:cs="Times New Roman"/>
          <w:kern w:val="0"/>
          <w14:ligatures w14:val="none"/>
        </w:rPr>
        <w:t>stakeholders on:</w:t>
      </w:r>
    </w:p>
    <w:p w:rsidRPr="00AB4CD9" w:rsidR="00AB4CD9" w:rsidP="00AB4CD9" w:rsidRDefault="00AB4CD9" w14:paraId="39D3B19D" w14:textId="77777777">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what must be built,</w:t>
      </w:r>
    </w:p>
    <w:p w:rsidRPr="00AB4CD9" w:rsidR="00AB4CD9" w:rsidP="00AB4CD9" w:rsidRDefault="00AB4CD9" w14:paraId="0951AC3B" w14:textId="77777777">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why it matters,</w:t>
      </w:r>
    </w:p>
    <w:p w:rsidRPr="00AB4CD9" w:rsidR="00AB4CD9" w:rsidP="00AB4CD9" w:rsidRDefault="00AB4CD9" w14:paraId="1D48FEE5" w14:textId="77777777">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who it serves,</w:t>
      </w:r>
    </w:p>
    <w:p w:rsidRPr="00AB4CD9" w:rsidR="00AB4CD9" w:rsidP="00AB4CD9" w:rsidRDefault="00AB4CD9" w14:paraId="14675828" w14:textId="77777777">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how it differentiates,</w:t>
      </w:r>
    </w:p>
    <w:p w:rsidRPr="00AB4CD9" w:rsidR="00AB4CD9" w:rsidP="00AB4CD9" w:rsidRDefault="00AB4CD9" w14:paraId="5BADBC83" w14:textId="77777777">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and how delivery should be phased.</w:t>
      </w:r>
    </w:p>
    <w:p w:rsidRPr="00AB4CD9" w:rsidR="00AB4CD9" w:rsidP="00AB4CD9" w:rsidRDefault="00AB4CD9" w14:paraId="3325E075"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This document is intended to function as a north-star PRD: specific enough to guide execution and prioritization, while broad enough to support more detailed architecture, design, and implementation documents.</w:t>
      </w:r>
    </w:p>
    <w:p w:rsidRPr="00AB4CD9" w:rsidR="00AB4CD9" w:rsidP="00AB4CD9" w:rsidRDefault="00AB4CD9" w14:paraId="4F20AD70" w14:textId="0394B48B">
      <w:pPr>
        <w:spacing w:after="0" w:line="240" w:lineRule="auto"/>
        <w:rPr>
          <w:rFonts w:ascii="Times New Roman" w:hAnsi="Times New Roman" w:eastAsia="Times New Roman" w:cs="Times New Roman"/>
          <w:kern w:val="0"/>
          <w14:ligatures w14:val="none"/>
        </w:rPr>
      </w:pPr>
    </w:p>
    <w:p w:rsidRPr="00AB4CD9" w:rsidR="00AB4CD9" w:rsidP="00AB4CD9" w:rsidRDefault="00AB4CD9" w14:paraId="33AA7FB9" w14:textId="77777777">
      <w:pPr>
        <w:pStyle w:val="Heading2"/>
        <w:rPr>
          <w:rFonts w:eastAsia="Times New Roman"/>
        </w:rPr>
      </w:pPr>
      <w:r w:rsidRPr="00AB4CD9">
        <w:rPr>
          <w:rFonts w:eastAsia="Times New Roman"/>
        </w:rPr>
        <w:t>2. Product Vision</w:t>
      </w:r>
    </w:p>
    <w:p w:rsidRPr="00AB4CD9" w:rsidR="00AB4CD9" w:rsidP="00AB4CD9" w:rsidRDefault="00AB4CD9" w14:paraId="2EF2B479"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RMPAI is an enterprise AI platform designed to deliver the performance and developer experience of leading managed AI services while preserving infrastructure control, cost transparency, portability, and enterprise governance.</w:t>
      </w:r>
    </w:p>
    <w:p w:rsidRPr="00AB4CD9" w:rsidR="00AB4CD9" w:rsidP="00AB4CD9" w:rsidRDefault="00AB4CD9" w14:paraId="30025EC0"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platform enables organizations to deploy, operate, and optimize modern AI workloads across private, hybrid, or cloud-managed environments without being locked into a specific vendor, runtime, or hardware architecture.</w:t>
      </w:r>
    </w:p>
    <w:p w:rsidRPr="00AB4CD9" w:rsidR="00AB4CD9" w:rsidP="00AB4CD9" w:rsidRDefault="00AB4CD9" w14:paraId="65F9A897" w14:textId="5952E63E">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RMPAI abstracts the complexity of running high-performance AI infrastructure by providing standardized APIs, multi-engine inference, fine-tuning workflows, governance controls, </w:t>
      </w:r>
      <w:r w:rsidR="00303778">
        <w:rPr>
          <w:rFonts w:ascii="Times New Roman" w:hAnsi="Times New Roman" w:eastAsia="Times New Roman" w:cs="Times New Roman"/>
          <w:kern w:val="0"/>
          <w14:ligatures w14:val="none"/>
        </w:rPr>
        <w:t xml:space="preserve">and </w:t>
      </w:r>
      <w:r w:rsidRPr="00AB4CD9">
        <w:rPr>
          <w:rFonts w:ascii="Times New Roman" w:hAnsi="Times New Roman" w:eastAsia="Times New Roman" w:cs="Times New Roman"/>
          <w:kern w:val="0"/>
          <w14:ligatures w14:val="none"/>
        </w:rPr>
        <w:t xml:space="preserve">observability within a unified platform. </w:t>
      </w:r>
    </w:p>
    <w:p w:rsidRPr="00AB4CD9" w:rsidR="00AB4CD9" w:rsidP="00AB4CD9" w:rsidRDefault="00AB4CD9" w14:paraId="780817BE" w14:textId="40A49F95">
      <w:pPr>
        <w:spacing w:after="0" w:line="240" w:lineRule="auto"/>
        <w:rPr>
          <w:rFonts w:ascii="Times New Roman" w:hAnsi="Times New Roman" w:eastAsia="Times New Roman" w:cs="Times New Roman"/>
          <w:kern w:val="0"/>
          <w14:ligatures w14:val="none"/>
        </w:rPr>
      </w:pPr>
    </w:p>
    <w:p w:rsidRPr="00AB4CD9" w:rsidR="00AB4CD9" w:rsidP="00AB4CD9" w:rsidRDefault="00AB4CD9" w14:paraId="6983D114" w14:textId="77777777">
      <w:pPr>
        <w:pStyle w:val="Heading2"/>
        <w:rPr>
          <w:rFonts w:eastAsia="Times New Roman"/>
        </w:rPr>
      </w:pPr>
      <w:r w:rsidRPr="00AB4CD9">
        <w:rPr>
          <w:rFonts w:eastAsia="Times New Roman"/>
        </w:rPr>
        <w:t>3. Market Problem</w:t>
      </w:r>
    </w:p>
    <w:p w:rsidRPr="00AB4CD9" w:rsidR="00AB4CD9" w:rsidP="00AB4CD9" w:rsidRDefault="00AB4CD9" w14:paraId="00F8CC41"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Organizations adopting large language models and generative AI infrastructure face a fundamental trade-off between simplicity and control.</w:t>
      </w:r>
    </w:p>
    <w:p w:rsidRPr="00AB4CD9" w:rsidR="00AB4CD9" w:rsidP="00AB4CD9" w:rsidRDefault="00AB4CD9" w14:paraId="63C080E0"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Managed AI services provide fast onboarding, strong developer experience, and rapid time-to-value, but they also introduce key limitations including vendor lock-in, opaque pricing, limited optimization flexibility, restricted infrastructure control, and governance concerns.</w:t>
      </w:r>
    </w:p>
    <w:p w:rsidRPr="00AB4CD9" w:rsidR="00AB4CD9" w:rsidP="00AB4CD9" w:rsidRDefault="00AB4CD9" w14:paraId="6B1CF21B"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By contrast, self-built internal AI platforms provide greater control, cost efficiency, deployment flexibility, and compliance alignment, but they require substantial investment in platform engineering, runtime integration, infrastructure operations, and ongoing optimization.</w:t>
      </w:r>
    </w:p>
    <w:p w:rsidRPr="00AB4CD9" w:rsidR="00AB4CD9" w:rsidP="00AB4CD9" w:rsidRDefault="00AB4CD9" w14:paraId="5080EE38"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This creates a significant gap in the market: organizations need a platform that provides the usability and velocity of managed AI services while preserving the control, portability, and governance required by modern enterprises.</w:t>
      </w:r>
    </w:p>
    <w:p w:rsidRPr="00AB4CD9" w:rsidR="00AB4CD9" w:rsidP="00AB4CD9" w:rsidRDefault="00AB4CD9" w14:paraId="0F5AC779" w14:textId="31EEB601">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RMPAI addresses this gap by delivering a private, cloud-agnostic AI platform that simplifies the deployment and operation of AI workloads while preserving full infrastructure ownership and operational transparency.</w:t>
      </w:r>
    </w:p>
    <w:p w:rsidRPr="00AB4CD9" w:rsidR="00AB4CD9" w:rsidP="00AB4CD9" w:rsidRDefault="00AB4CD9" w14:paraId="28A33677" w14:textId="77777777">
      <w:pPr>
        <w:pStyle w:val="Heading2"/>
        <w:rPr>
          <w:rFonts w:eastAsia="Times New Roman"/>
        </w:rPr>
      </w:pPr>
      <w:r w:rsidRPr="00AB4CD9">
        <w:rPr>
          <w:rFonts w:eastAsia="Times New Roman"/>
        </w:rPr>
        <w:t>4. Target Customers</w:t>
      </w:r>
    </w:p>
    <w:p w:rsidRPr="00AB4CD9" w:rsidR="00AB4CD9" w:rsidP="00AB4CD9" w:rsidRDefault="00AB4CD9" w14:paraId="186D2DFA"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RMPAI targets organizations that require scalable AI infrastructure but want to avoid dependence on proprietary managed services.</w:t>
      </w:r>
    </w:p>
    <w:p w:rsidRPr="00AB4CD9" w:rsidR="00AB4CD9" w:rsidP="00AB4CD9" w:rsidRDefault="00AB4CD9" w14:paraId="2F8992E2" w14:textId="77777777">
      <w:pPr>
        <w:pStyle w:val="Heading3"/>
        <w:rPr>
          <w:rFonts w:eastAsia="Times New Roman"/>
        </w:rPr>
      </w:pPr>
      <w:r w:rsidRPr="00AB4CD9">
        <w:rPr>
          <w:rFonts w:eastAsia="Times New Roman"/>
        </w:rPr>
        <w:t>4.1 Primary Customer Segments</w:t>
      </w:r>
    </w:p>
    <w:p w:rsidRPr="00AB4CD9" w:rsidR="00AB4CD9" w:rsidP="00AB4CD9" w:rsidRDefault="00AB4CD9" w14:paraId="4BD4B162"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AB4CD9">
        <w:rPr>
          <w:rFonts w:ascii="Times New Roman" w:hAnsi="Times New Roman" w:eastAsia="Times New Roman" w:cs="Times New Roman"/>
          <w:b/>
          <w:bCs/>
          <w:kern w:val="0"/>
          <w:sz w:val="27"/>
          <w:szCs w:val="27"/>
          <w14:ligatures w14:val="none"/>
        </w:rPr>
        <w:t>AI-native startups and early-stage companies</w:t>
      </w:r>
    </w:p>
    <w:p w:rsidRPr="00AB4CD9" w:rsidR="00AB4CD9" w:rsidP="00AB4CD9" w:rsidRDefault="00AB4CD9" w14:paraId="39A5C8CE"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These teams require rapid iteration and deployment of AI features but need more cost control, deployment flexibility, and optimization potential than public managed APIs can provide.</w:t>
      </w:r>
    </w:p>
    <w:p w:rsidRPr="00AB4CD9" w:rsidR="00AB4CD9" w:rsidP="00AB4CD9" w:rsidRDefault="00AB4CD9" w14:paraId="28155643"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AB4CD9">
        <w:rPr>
          <w:rFonts w:ascii="Times New Roman" w:hAnsi="Times New Roman" w:eastAsia="Times New Roman" w:cs="Times New Roman"/>
          <w:b/>
          <w:bCs/>
          <w:kern w:val="0"/>
          <w:sz w:val="27"/>
          <w:szCs w:val="27"/>
          <w14:ligatures w14:val="none"/>
        </w:rPr>
        <w:t>Mid-market enterprises adopting AI</w:t>
      </w:r>
    </w:p>
    <w:p w:rsidRPr="00AB4CD9" w:rsidR="00AB4CD9" w:rsidP="00AB4CD9" w:rsidRDefault="00AB4CD9" w14:paraId="559B107F"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Organizations beginning AI transformation programs often need to balance speed of innovation with governance, security, and infrastructure control.</w:t>
      </w:r>
    </w:p>
    <w:p w:rsidRPr="00AB4CD9" w:rsidR="00AB4CD9" w:rsidP="00AB4CD9" w:rsidRDefault="00AB4CD9" w14:paraId="38D4AEE8"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AB4CD9">
        <w:rPr>
          <w:rFonts w:ascii="Times New Roman" w:hAnsi="Times New Roman" w:eastAsia="Times New Roman" w:cs="Times New Roman"/>
          <w:b/>
          <w:bCs/>
          <w:kern w:val="0"/>
          <w:sz w:val="27"/>
          <w:szCs w:val="27"/>
          <w14:ligatures w14:val="none"/>
        </w:rPr>
        <w:t>Growth-stage AI companies</w:t>
      </w:r>
    </w:p>
    <w:p w:rsidRPr="00AB4CD9" w:rsidR="00AB4CD9" w:rsidP="00AB4CD9" w:rsidRDefault="00AB4CD9" w14:paraId="5246BACB"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Companies that have scaled AI-powered products often outgrow the economics, performance limits, or operational constraints of managed services and need a platform that supports high-volume workloads with stronger optimization and governance.</w:t>
      </w:r>
    </w:p>
    <w:p w:rsidRPr="00AB4CD9" w:rsidR="00AB4CD9" w:rsidP="00AB4CD9" w:rsidRDefault="00AB4CD9" w14:paraId="7E78E6A4"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AB4CD9">
        <w:rPr>
          <w:rFonts w:ascii="Times New Roman" w:hAnsi="Times New Roman" w:eastAsia="Times New Roman" w:cs="Times New Roman"/>
          <w:b/>
          <w:bCs/>
          <w:kern w:val="0"/>
          <w:sz w:val="27"/>
          <w:szCs w:val="27"/>
          <w14:ligatures w14:val="none"/>
        </w:rPr>
        <w:t>Enterprise platform teams</w:t>
      </w:r>
    </w:p>
    <w:p w:rsidRPr="00AB4CD9" w:rsidR="00AB4CD9" w:rsidP="00AB4CD9" w:rsidRDefault="00AB4CD9" w14:paraId="3612B3BF" w14:textId="11BA7A5F">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Large organizations increasingly build internal AI platforms to serve multiple business units while enforcing governance, access control, quotas, billing, cost visibility, and compliance requirements.</w:t>
      </w:r>
    </w:p>
    <w:p w:rsidRPr="00AB4CD9" w:rsidR="00AB4CD9" w:rsidP="00AB4CD9" w:rsidRDefault="00AB4CD9" w14:paraId="06867A3C" w14:textId="77777777">
      <w:pPr>
        <w:pStyle w:val="Heading2"/>
        <w:rPr>
          <w:rFonts w:eastAsia="Times New Roman"/>
        </w:rPr>
      </w:pPr>
      <w:r w:rsidRPr="00AB4CD9">
        <w:rPr>
          <w:rFonts w:eastAsia="Times New Roman"/>
        </w:rPr>
        <w:t>5. Key Use Cases</w:t>
      </w:r>
    </w:p>
    <w:p w:rsidRPr="00AB4CD9" w:rsidR="00AB4CD9" w:rsidP="00AB4CD9" w:rsidRDefault="00AB4CD9" w14:paraId="700C0D16"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RMPAI is designed to support a broad range of AI deployment patterns across both customer-facing product teams and internal enterprise platform teams.</w:t>
      </w:r>
    </w:p>
    <w:p w:rsidRPr="00AB4CD9" w:rsidR="00AB4CD9" w:rsidP="00901A4B" w:rsidRDefault="00AB4CD9" w14:paraId="195EF52A" w14:textId="77777777">
      <w:pPr>
        <w:pStyle w:val="Heading3"/>
        <w:rPr>
          <w:rFonts w:eastAsia="Times New Roman"/>
        </w:rPr>
      </w:pPr>
      <w:r w:rsidRPr="00AB4CD9">
        <w:rPr>
          <w:rFonts w:eastAsia="Times New Roman"/>
        </w:rPr>
        <w:t>5.1 AI-powered SaaS products</w:t>
      </w:r>
    </w:p>
    <w:p w:rsidRPr="00AB4CD9" w:rsidR="00AB4CD9" w:rsidP="00AB4CD9" w:rsidRDefault="00AB4CD9" w14:paraId="6AEFFC96" w14:textId="3B30F6F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Teams embedding AI into customer-facing products such as copilots, chat assistants, document intelligence, workflow automation, search </w:t>
      </w:r>
      <w:proofErr w:type="spellStart"/>
      <w:proofErr w:type="gramStart"/>
      <w:r w:rsidRPr="00AB4CD9">
        <w:rPr>
          <w:rFonts w:ascii="Times New Roman" w:hAnsi="Times New Roman" w:eastAsia="Times New Roman" w:cs="Times New Roman"/>
          <w:kern w:val="0"/>
          <w14:ligatures w14:val="none"/>
        </w:rPr>
        <w:t>augmentation,</w:t>
      </w:r>
      <w:r w:rsidR="00901A4B">
        <w:rPr>
          <w:rFonts w:ascii="Times New Roman" w:hAnsi="Times New Roman" w:eastAsia="Times New Roman" w:cs="Times New Roman"/>
          <w:kern w:val="0"/>
          <w14:ligatures w14:val="none"/>
        </w:rPr>
        <w:t>agents</w:t>
      </w:r>
      <w:proofErr w:type="spellEnd"/>
      <w:proofErr w:type="gramEnd"/>
      <w:r w:rsidR="00901A4B">
        <w:rPr>
          <w:rFonts w:ascii="Times New Roman" w:hAnsi="Times New Roman" w:eastAsia="Times New Roman" w:cs="Times New Roman"/>
          <w:kern w:val="0"/>
          <w14:ligatures w14:val="none"/>
        </w:rPr>
        <w:t>,</w:t>
      </w:r>
      <w:r w:rsidRPr="00AB4CD9">
        <w:rPr>
          <w:rFonts w:ascii="Times New Roman" w:hAnsi="Times New Roman" w:eastAsia="Times New Roman" w:cs="Times New Roman"/>
          <w:kern w:val="0"/>
          <w14:ligatures w14:val="none"/>
        </w:rPr>
        <w:t xml:space="preserve"> and knowledge tools.</w:t>
      </w:r>
    </w:p>
    <w:p w:rsidRPr="00AB4CD9" w:rsidR="00AB4CD9" w:rsidP="00901A4B" w:rsidRDefault="00AB4CD9" w14:paraId="13B9E667" w14:textId="77777777">
      <w:pPr>
        <w:pStyle w:val="Heading3"/>
        <w:rPr>
          <w:rFonts w:eastAsia="Times New Roman"/>
        </w:rPr>
      </w:pPr>
      <w:r w:rsidRPr="00AB4CD9">
        <w:rPr>
          <w:rFonts w:eastAsia="Times New Roman"/>
        </w:rPr>
        <w:t>5.2 LLM-as-a-Service providers</w:t>
      </w:r>
    </w:p>
    <w:p w:rsidRPr="00AB4CD9" w:rsidR="00AB4CD9" w:rsidP="00AB4CD9" w:rsidRDefault="00AB4CD9" w14:paraId="5DC8C413"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Organizations exposing AI APIs to external customers that require multi-model serving, usage metering, routing, tenant controls, and strong unit economics.</w:t>
      </w:r>
    </w:p>
    <w:p w:rsidRPr="00AB4CD9" w:rsidR="00AB4CD9" w:rsidP="00901A4B" w:rsidRDefault="00AB4CD9" w14:paraId="7A16F1C1" w14:textId="77777777">
      <w:pPr>
        <w:pStyle w:val="Heading3"/>
        <w:rPr>
          <w:rFonts w:eastAsia="Times New Roman"/>
        </w:rPr>
      </w:pPr>
      <w:r w:rsidRPr="00AB4CD9">
        <w:rPr>
          <w:rFonts w:eastAsia="Times New Roman"/>
        </w:rPr>
        <w:t>5.3 Domain-specific AI services</w:t>
      </w:r>
    </w:p>
    <w:p w:rsidRPr="00AB4CD9" w:rsidR="00AB4CD9" w:rsidP="00AB4CD9" w:rsidRDefault="00AB4CD9" w14:paraId="5D4565AF"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Vertical AI providers operating in regulated or specialized industries such as healthcare, legal, finance, and industrial automation where governance, observability, portability, and infrastructure control are mandatory.</w:t>
      </w:r>
    </w:p>
    <w:p w:rsidRPr="00AB4CD9" w:rsidR="00AB4CD9" w:rsidP="00901A4B" w:rsidRDefault="00AB4CD9" w14:paraId="4A5ACC0E" w14:textId="77777777">
      <w:pPr>
        <w:pStyle w:val="Heading3"/>
        <w:rPr>
          <w:rFonts w:eastAsia="Times New Roman"/>
        </w:rPr>
      </w:pPr>
      <w:r w:rsidRPr="00AB4CD9">
        <w:rPr>
          <w:rFonts w:eastAsia="Times New Roman"/>
        </w:rPr>
        <w:t>5.4 Enterprise internal AI platforms</w:t>
      </w:r>
    </w:p>
    <w:p w:rsidRPr="00AB4CD9" w:rsidR="00AB4CD9" w:rsidP="00AB4CD9" w:rsidRDefault="00AB4CD9" w14:paraId="18531AFE"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Internal platform teams that provide shared AI infrastructure to multiple business units while enforcing centralized governance, quota management, resource allocation, cost attribution, and policy controls.</w:t>
      </w:r>
    </w:p>
    <w:p w:rsidRPr="00AB4CD9" w:rsidR="00AB4CD9" w:rsidP="00AB4CD9" w:rsidRDefault="00AB4CD9" w14:paraId="473F36F3" w14:textId="3FD48BAB">
      <w:pPr>
        <w:spacing w:after="0" w:line="240" w:lineRule="auto"/>
        <w:rPr>
          <w:rFonts w:ascii="Times New Roman" w:hAnsi="Times New Roman" w:eastAsia="Times New Roman" w:cs="Times New Roman"/>
          <w:kern w:val="0"/>
          <w14:ligatures w14:val="none"/>
        </w:rPr>
      </w:pPr>
    </w:p>
    <w:p w:rsidRPr="00AB4CD9" w:rsidR="00AB4CD9" w:rsidP="00AB4CD9" w:rsidRDefault="00AB4CD9" w14:paraId="5F2BD65A" w14:textId="77777777">
      <w:pPr>
        <w:pStyle w:val="Heading2"/>
        <w:rPr>
          <w:rFonts w:eastAsia="Times New Roman"/>
        </w:rPr>
      </w:pPr>
      <w:r w:rsidRPr="00AB4CD9">
        <w:rPr>
          <w:rFonts w:eastAsia="Times New Roman"/>
        </w:rPr>
        <w:t>6. Product Strategy and Differentiation</w:t>
      </w:r>
    </w:p>
    <w:p w:rsidRPr="00AB4CD9" w:rsidR="00AB4CD9" w:rsidP="00AB4CD9" w:rsidRDefault="00AB4CD9" w14:paraId="2FCB1EE0"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RMPAI differentiates itself by combining enterprise-grade governance with a developer experience comparable to leading managed AI services, while maintaining infrastructure independence and optimization flexibility.</w:t>
      </w:r>
    </w:p>
    <w:p w:rsidRPr="00AB4CD9" w:rsidR="00AB4CD9" w:rsidP="00901A4B" w:rsidRDefault="00AB4CD9" w14:paraId="1E6C4B99" w14:textId="77777777">
      <w:pPr>
        <w:pStyle w:val="Heading3"/>
        <w:rPr>
          <w:rFonts w:eastAsia="Times New Roman"/>
        </w:rPr>
      </w:pPr>
      <w:r w:rsidRPr="00AB4CD9">
        <w:rPr>
          <w:rFonts w:eastAsia="Times New Roman"/>
        </w:rPr>
        <w:t>6.1 Strategic Differentiators</w:t>
      </w:r>
    </w:p>
    <w:p w:rsidRPr="00AB4CD9" w:rsidR="00AB4CD9" w:rsidP="00AB4CD9" w:rsidRDefault="00AB4CD9" w14:paraId="3B9CE65A"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AB4CD9">
        <w:rPr>
          <w:rFonts w:ascii="Times New Roman" w:hAnsi="Times New Roman" w:eastAsia="Times New Roman" w:cs="Times New Roman"/>
          <w:b/>
          <w:bCs/>
          <w:kern w:val="0"/>
          <w:sz w:val="27"/>
          <w:szCs w:val="27"/>
          <w14:ligatures w14:val="none"/>
        </w:rPr>
        <w:t>Cloud-agnostic infrastructure</w:t>
      </w:r>
    </w:p>
    <w:p w:rsidRPr="00AB4CD9" w:rsidR="00AB4CD9" w:rsidP="17A36E7B" w:rsidRDefault="00AB4CD9" w14:paraId="0D3DE643"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The platform runs across Kubernetes-based environments including private cloud, </w:t>
      </w:r>
      <w:proofErr w:type="gramStart"/>
      <w:r w:rsidRPr="00AB4CD9">
        <w:rPr>
          <w:rFonts w:ascii="Times New Roman" w:hAnsi="Times New Roman" w:eastAsia="Times New Roman" w:cs="Times New Roman"/>
          <w:kern w:val="0"/>
          <w14:ligatures w14:val="none"/>
        </w:rPr>
        <w:t>on-premise</w:t>
      </w:r>
      <w:proofErr w:type="gramEnd"/>
      <w:r w:rsidRPr="00AB4CD9">
        <w:rPr>
          <w:rFonts w:ascii="Times New Roman" w:hAnsi="Times New Roman" w:eastAsia="Times New Roman" w:cs="Times New Roman"/>
          <w:kern w:val="0"/>
          <w14:ligatures w14:val="none"/>
        </w:rPr>
        <w:t xml:space="preserve"> infrastructure, hybrid deployments, and other enterprise-managed environments without locking customers into a single vendor ecosystem.</w:t>
      </w:r>
    </w:p>
    <w:p w:rsidR="17A36E7B" w:rsidP="17A36E7B" w:rsidRDefault="17A36E7B" w14:paraId="2447DDE7" w14:textId="2A9394B2">
      <w:pPr>
        <w:spacing w:beforeAutospacing="1" w:afterAutospacing="1" w:line="240" w:lineRule="auto"/>
        <w:rPr>
          <w:rFonts w:ascii="Times New Roman" w:hAnsi="Times New Roman" w:eastAsia="Times New Roman" w:cs="Times New Roman"/>
        </w:rPr>
      </w:pPr>
    </w:p>
    <w:p w:rsidRPr="00AB4CD9" w:rsidR="00AB4CD9" w:rsidP="00AB4CD9" w:rsidRDefault="00AB4CD9" w14:paraId="1AB74A78"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AB4CD9">
        <w:rPr>
          <w:rFonts w:ascii="Times New Roman" w:hAnsi="Times New Roman" w:eastAsia="Times New Roman" w:cs="Times New Roman"/>
          <w:b/>
          <w:bCs/>
          <w:kern w:val="0"/>
          <w:sz w:val="27"/>
          <w:szCs w:val="27"/>
          <w14:ligatures w14:val="none"/>
        </w:rPr>
        <w:t>Unified multi-engine inference</w:t>
      </w:r>
    </w:p>
    <w:p w:rsidR="00AB4CD9" w:rsidP="17A36E7B" w:rsidRDefault="00AB4CD9" w14:paraId="04B0A4EE" w14:textId="172CD409">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RMPAI supports multiple inference runtimes such as </w:t>
      </w:r>
      <w:proofErr w:type="spellStart"/>
      <w:r w:rsidRPr="00AB4CD9">
        <w:rPr>
          <w:rFonts w:ascii="Times New Roman" w:hAnsi="Times New Roman" w:eastAsia="Times New Roman" w:cs="Times New Roman"/>
          <w:kern w:val="0"/>
          <w14:ligatures w14:val="none"/>
        </w:rPr>
        <w:t>vLLM</w:t>
      </w:r>
      <w:proofErr w:type="spellEnd"/>
      <w:r w:rsidRPr="00AB4CD9">
        <w:rPr>
          <w:rFonts w:ascii="Times New Roman" w:hAnsi="Times New Roman" w:eastAsia="Times New Roman" w:cs="Times New Roman"/>
          <w:kern w:val="0"/>
          <w14:ligatures w14:val="none"/>
        </w:rPr>
        <w:t xml:space="preserve">, </w:t>
      </w:r>
      <w:proofErr w:type="spellStart"/>
      <w:r w:rsidRPr="00AB4CD9">
        <w:rPr>
          <w:rFonts w:ascii="Times New Roman" w:hAnsi="Times New Roman" w:eastAsia="Times New Roman" w:cs="Times New Roman"/>
          <w:kern w:val="0"/>
          <w14:ligatures w14:val="none"/>
        </w:rPr>
        <w:t>TensorRT</w:t>
      </w:r>
      <w:proofErr w:type="spellEnd"/>
      <w:r w:rsidRPr="00AB4CD9">
        <w:rPr>
          <w:rFonts w:ascii="Times New Roman" w:hAnsi="Times New Roman" w:eastAsia="Times New Roman" w:cs="Times New Roman"/>
          <w:kern w:val="0"/>
          <w14:ligatures w14:val="none"/>
        </w:rPr>
        <w:t xml:space="preserve">-LLM, </w:t>
      </w:r>
      <w:proofErr w:type="spellStart"/>
      <w:r w:rsidRPr="00AB4CD9">
        <w:rPr>
          <w:rFonts w:ascii="Times New Roman" w:hAnsi="Times New Roman" w:eastAsia="Times New Roman" w:cs="Times New Roman"/>
          <w:kern w:val="0"/>
          <w14:ligatures w14:val="none"/>
        </w:rPr>
        <w:t>SGLang</w:t>
      </w:r>
      <w:proofErr w:type="spellEnd"/>
      <w:r w:rsidRPr="00AB4CD9">
        <w:rPr>
          <w:rFonts w:ascii="Times New Roman" w:hAnsi="Times New Roman" w:eastAsia="Times New Roman" w:cs="Times New Roman"/>
          <w:kern w:val="0"/>
          <w14:ligatures w14:val="none"/>
        </w:rPr>
        <w:t xml:space="preserve">, and NVIDIA NIM </w:t>
      </w:r>
      <w:r w:rsidRPr="00AB4CD9" w:rsidR="00671415">
        <w:rPr>
          <w:rFonts w:ascii="Times New Roman" w:hAnsi="Times New Roman" w:eastAsia="Times New Roman" w:cs="Times New Roman"/>
          <w:kern w:val="0"/>
          <w14:ligatures w14:val="none"/>
        </w:rPr>
        <w:t>(</w:t>
      </w:r>
      <w:proofErr w:type="spellStart"/>
      <w:r w:rsidRPr="00AB4CD9" w:rsidR="00671415">
        <w:rPr>
          <w:rFonts w:ascii="Times New Roman" w:hAnsi="Times New Roman" w:eastAsia="Times New Roman" w:cs="Times New Roman"/>
          <w:kern w:val="0"/>
          <w14:ligatures w14:val="none"/>
        </w:rPr>
        <w:t>vLLM</w:t>
      </w:r>
      <w:proofErr w:type="spellEnd"/>
      <w:r w:rsidRPr="00AB4CD9" w:rsidR="00671415">
        <w:rPr>
          <w:rFonts w:ascii="Times New Roman" w:hAnsi="Times New Roman" w:eastAsia="Times New Roman" w:cs="Times New Roman"/>
          <w:kern w:val="0"/>
          <w14:ligatures w14:val="none"/>
        </w:rPr>
        <w:t xml:space="preserve">) </w:t>
      </w:r>
      <w:r w:rsidRPr="00AB4CD9">
        <w:rPr>
          <w:rFonts w:ascii="Times New Roman" w:hAnsi="Times New Roman" w:eastAsia="Times New Roman" w:cs="Times New Roman"/>
          <w:kern w:val="0"/>
          <w14:ligatures w14:val="none"/>
        </w:rPr>
        <w:t>through a unified abstraction layer, allowing customers to optimize for performance, compatibility, and hardware support without changing application code.</w:t>
      </w:r>
    </w:p>
    <w:p w:rsidR="17A36E7B" w:rsidP="17A36E7B" w:rsidRDefault="17A36E7B" w14:paraId="282E4C41" w14:textId="6761CD75">
      <w:pPr>
        <w:spacing w:beforeAutospacing="1" w:afterAutospacing="1" w:line="240" w:lineRule="auto"/>
        <w:rPr>
          <w:rFonts w:ascii="Times New Roman" w:hAnsi="Times New Roman" w:eastAsia="Times New Roman" w:cs="Times New Roman"/>
        </w:rPr>
      </w:pPr>
    </w:p>
    <w:p w:rsidR="00901A4B" w:rsidP="17A36E7B" w:rsidRDefault="00901A4B" w14:paraId="369F8362" w14:textId="21852F56">
      <w:pPr>
        <w:pStyle w:val="NormalWeb"/>
        <w:rPr>
          <w:rStyle w:val="Strong"/>
          <w:rFonts w:eastAsiaTheme="majorEastAsia"/>
          <w:sz w:val="27"/>
          <w:szCs w:val="27"/>
        </w:rPr>
      </w:pPr>
      <w:r w:rsidRPr="17A36E7B">
        <w:rPr>
          <w:rStyle w:val="Strong"/>
          <w:rFonts w:eastAsiaTheme="majorEastAsia"/>
          <w:sz w:val="27"/>
          <w:szCs w:val="27"/>
        </w:rPr>
        <w:t>Integrated fine-tuning and model adaptation</w:t>
      </w:r>
      <w:r>
        <w:br/>
      </w:r>
      <w:r>
        <w:t xml:space="preserve">RMPAI provides built-in support for model adaptation workflows including supervised fine-tuning, reinforcement learning alignment methods, and parameter-efficient techniques such as </w:t>
      </w:r>
      <w:proofErr w:type="spellStart"/>
      <w:r>
        <w:t>LoRA</w:t>
      </w:r>
      <w:proofErr w:type="spellEnd"/>
      <w:r>
        <w:t xml:space="preserve"> and </w:t>
      </w:r>
      <w:proofErr w:type="spellStart"/>
      <w:r>
        <w:t>QLoRA</w:t>
      </w:r>
      <w:proofErr w:type="spellEnd"/>
      <w:r>
        <w:t>. Fine-tuning pipelines integrate with the model registry, evaluation, and deployment systems so organizations can adapt foundation models to proprietary data while maintaining governance and reproducibility.</w:t>
      </w:r>
    </w:p>
    <w:p w:rsidRPr="00AB4CD9" w:rsidR="00901A4B" w:rsidP="00AB4CD9" w:rsidRDefault="00901A4B" w14:paraId="4A3189CF" w14:textId="77777777">
      <w:pPr>
        <w:spacing w:before="100" w:beforeAutospacing="1" w:after="100" w:afterAutospacing="1" w:line="240" w:lineRule="auto"/>
        <w:rPr>
          <w:rFonts w:ascii="Times New Roman" w:hAnsi="Times New Roman" w:eastAsia="Times New Roman" w:cs="Times New Roman"/>
          <w:kern w:val="0"/>
          <w14:ligatures w14:val="none"/>
        </w:rPr>
      </w:pPr>
    </w:p>
    <w:p w:rsidRPr="00AB4CD9" w:rsidR="00AB4CD9" w:rsidP="00AB4CD9" w:rsidRDefault="00AB4CD9" w14:paraId="07B3EEF1"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AB4CD9">
        <w:rPr>
          <w:rFonts w:ascii="Times New Roman" w:hAnsi="Times New Roman" w:eastAsia="Times New Roman" w:cs="Times New Roman"/>
          <w:b/>
          <w:bCs/>
          <w:kern w:val="0"/>
          <w:sz w:val="27"/>
          <w:szCs w:val="27"/>
          <w14:ligatures w14:val="none"/>
        </w:rPr>
        <w:t>Performance as a product capability</w:t>
      </w:r>
    </w:p>
    <w:p w:rsidR="00901A4B" w:rsidP="17A36E7B" w:rsidRDefault="00AB4CD9" w14:paraId="492E89AE" w14:textId="26BDF631">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Advanced inference optimizations such as dynamic batching, prompt caching, speculative decoding, memory optimization, and routing-aware execution are integrated into the platform rather than treated as isolated runtime concerns.</w:t>
      </w:r>
    </w:p>
    <w:p w:rsidR="17A36E7B" w:rsidP="17A36E7B" w:rsidRDefault="17A36E7B" w14:paraId="714CC651" w14:textId="7DD2A094">
      <w:pPr>
        <w:spacing w:beforeAutospacing="1" w:afterAutospacing="1" w:line="240" w:lineRule="auto"/>
        <w:rPr>
          <w:rFonts w:ascii="Times New Roman" w:hAnsi="Times New Roman" w:eastAsia="Times New Roman" w:cs="Times New Roman"/>
        </w:rPr>
      </w:pPr>
    </w:p>
    <w:p w:rsidR="00901A4B" w:rsidP="17A36E7B" w:rsidRDefault="00901A4B" w14:paraId="799451C1" w14:textId="539CC217">
      <w:pPr>
        <w:pStyle w:val="NormalWeb"/>
        <w:rPr>
          <w:rStyle w:val="Strong"/>
          <w:rFonts w:eastAsiaTheme="majorEastAsia"/>
        </w:rPr>
      </w:pPr>
      <w:r w:rsidRPr="17A36E7B">
        <w:rPr>
          <w:rStyle w:val="Strong"/>
          <w:rFonts w:eastAsiaTheme="majorEastAsia"/>
          <w:sz w:val="27"/>
          <w:szCs w:val="27"/>
        </w:rPr>
        <w:t>Hardware abstraction and accelerator portability</w:t>
      </w:r>
      <w:r>
        <w:br/>
      </w:r>
      <w:r>
        <w:t>RMPAI abstracts underlying hardware differences so workloads can run across NVIDIA, AMD, Intel accelerators, or CPUs without application changes. This allows organizations to optimize for cost, availability, and performance while avoiding dependency on a single hardware ecosystem.</w:t>
      </w:r>
    </w:p>
    <w:p w:rsidR="17A36E7B" w:rsidP="17A36E7B" w:rsidRDefault="17A36E7B" w14:paraId="708B4B85" w14:textId="6936A91F">
      <w:pPr>
        <w:pStyle w:val="NormalWeb"/>
      </w:pPr>
    </w:p>
    <w:p w:rsidRPr="00AB4CD9" w:rsidR="00901A4B" w:rsidP="17A36E7B" w:rsidRDefault="00901A4B" w14:paraId="479F27EE" w14:textId="7B4A6D9D">
      <w:pPr>
        <w:pStyle w:val="NormalWeb"/>
        <w:rPr>
          <w:rStyle w:val="Strong"/>
          <w:rFonts w:eastAsiaTheme="majorEastAsia"/>
        </w:rPr>
      </w:pPr>
      <w:r w:rsidRPr="17A36E7B">
        <w:rPr>
          <w:rStyle w:val="Strong"/>
          <w:rFonts w:eastAsiaTheme="majorEastAsia"/>
          <w:sz w:val="27"/>
          <w:szCs w:val="27"/>
        </w:rPr>
        <w:t>AI workload economics optimization</w:t>
      </w:r>
      <w:r>
        <w:br/>
      </w:r>
      <w:r>
        <w:t xml:space="preserve">The platform continuously optimizes infrastructure utilization through intelligent routing, batching, caching, and workload scheduling to reduce cost per token and improve GPU efficiency. </w:t>
      </w:r>
    </w:p>
    <w:p w:rsidR="17A36E7B" w:rsidP="17A36E7B" w:rsidRDefault="17A36E7B" w14:paraId="2F259B81" w14:textId="7A151C2A">
      <w:pPr>
        <w:pStyle w:val="NormalWeb"/>
      </w:pPr>
    </w:p>
    <w:p w:rsidRPr="00AB4CD9" w:rsidR="00AB4CD9" w:rsidP="00AB4CD9" w:rsidRDefault="00AB4CD9" w14:paraId="32CB26B0"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AB4CD9">
        <w:rPr>
          <w:rFonts w:ascii="Times New Roman" w:hAnsi="Times New Roman" w:eastAsia="Times New Roman" w:cs="Times New Roman"/>
          <w:b/>
          <w:bCs/>
          <w:kern w:val="0"/>
          <w:sz w:val="27"/>
          <w:szCs w:val="27"/>
          <w14:ligatures w14:val="none"/>
        </w:rPr>
        <w:t>Developer-first experience</w:t>
      </w:r>
    </w:p>
    <w:p w:rsidRPr="00AB4CD9" w:rsidR="00901A4B" w:rsidP="17A36E7B" w:rsidRDefault="00AB4CD9" w14:paraId="5B5FEA4C" w14:textId="09AC4320">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OpenAI-compatible APIs, official SDKs, CLI tooling, and interactive playground workflows allow developers to experiment, deploy, and operate workloads using familiar patterns and tools.</w:t>
      </w:r>
    </w:p>
    <w:p w:rsidR="17A36E7B" w:rsidP="17A36E7B" w:rsidRDefault="17A36E7B" w14:paraId="08B81A53" w14:textId="05D3CC99">
      <w:pPr>
        <w:spacing w:beforeAutospacing="1" w:afterAutospacing="1" w:line="240" w:lineRule="auto"/>
        <w:rPr>
          <w:rFonts w:ascii="Times New Roman" w:hAnsi="Times New Roman" w:eastAsia="Times New Roman" w:cs="Times New Roman"/>
        </w:rPr>
      </w:pPr>
    </w:p>
    <w:p w:rsidRPr="00AB4CD9" w:rsidR="00AB4CD9" w:rsidP="00AB4CD9" w:rsidRDefault="00AB4CD9" w14:paraId="7D72BCDF"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AB4CD9">
        <w:rPr>
          <w:rFonts w:ascii="Times New Roman" w:hAnsi="Times New Roman" w:eastAsia="Times New Roman" w:cs="Times New Roman"/>
          <w:b/>
          <w:bCs/>
          <w:kern w:val="0"/>
          <w:sz w:val="27"/>
          <w:szCs w:val="27"/>
          <w14:ligatures w14:val="none"/>
        </w:rPr>
        <w:t>Enterprise governance and cost transparency</w:t>
      </w:r>
    </w:p>
    <w:p w:rsidRPr="00AB4CD9" w:rsidR="00AB4CD9" w:rsidP="00AB4CD9" w:rsidRDefault="00AB4CD9" w14:paraId="35C4BBEF"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Built-in support for multi-tenancy, quotas, billing, policy enforcement, observability, and security enables organizations to operate AI workloads at scale with predictable costs and strong governance.</w:t>
      </w:r>
    </w:p>
    <w:p w:rsidR="00901A4B" w:rsidP="2920C0E7" w:rsidRDefault="00901A4B" w14:paraId="060E0625" w14:textId="5C3E72C1">
      <w:pPr>
        <w:spacing w:after="0" w:line="240" w:lineRule="auto"/>
        <w:rPr>
          <w:rFonts w:ascii="Times New Roman" w:hAnsi="Times New Roman" w:eastAsia="Times New Roman" w:cs="Times New Roman"/>
        </w:rPr>
      </w:pPr>
    </w:p>
    <w:p w:rsidR="17A36E7B" w:rsidP="17A36E7B" w:rsidRDefault="17A36E7B" w14:paraId="44155A2E" w14:textId="5E7D8B6F">
      <w:pPr>
        <w:spacing w:after="0" w:line="240" w:lineRule="auto"/>
        <w:rPr>
          <w:rFonts w:ascii="Times New Roman" w:hAnsi="Times New Roman" w:eastAsia="Times New Roman" w:cs="Times New Roman"/>
        </w:rPr>
      </w:pPr>
    </w:p>
    <w:p w:rsidR="17A36E7B" w:rsidP="17A36E7B" w:rsidRDefault="17A36E7B" w14:paraId="6E85A145" w14:textId="4472BD66">
      <w:pPr>
        <w:spacing w:after="0" w:line="240" w:lineRule="auto"/>
        <w:rPr>
          <w:rFonts w:ascii="Times New Roman" w:hAnsi="Times New Roman" w:eastAsia="Times New Roman" w:cs="Times New Roman"/>
        </w:rPr>
      </w:pPr>
    </w:p>
    <w:p w:rsidR="17A36E7B" w:rsidP="17A36E7B" w:rsidRDefault="17A36E7B" w14:paraId="6F65A3F7" w14:textId="1613A464">
      <w:pPr>
        <w:spacing w:after="0" w:line="240" w:lineRule="auto"/>
        <w:rPr>
          <w:rFonts w:ascii="Times New Roman" w:hAnsi="Times New Roman" w:eastAsia="Times New Roman" w:cs="Times New Roman"/>
        </w:rPr>
      </w:pPr>
    </w:p>
    <w:p w:rsidR="17A36E7B" w:rsidP="17A36E7B" w:rsidRDefault="17A36E7B" w14:paraId="21725AAF" w14:textId="1D0053A1">
      <w:pPr>
        <w:spacing w:after="0" w:line="240" w:lineRule="auto"/>
        <w:rPr>
          <w:rFonts w:ascii="Times New Roman" w:hAnsi="Times New Roman" w:eastAsia="Times New Roman" w:cs="Times New Roman"/>
        </w:rPr>
      </w:pPr>
    </w:p>
    <w:p w:rsidR="17A36E7B" w:rsidP="17A36E7B" w:rsidRDefault="17A36E7B" w14:paraId="2E4BDDF2" w14:textId="3594C7A4">
      <w:pPr>
        <w:spacing w:after="0" w:line="240" w:lineRule="auto"/>
        <w:rPr>
          <w:rFonts w:ascii="Times New Roman" w:hAnsi="Times New Roman" w:eastAsia="Times New Roman" w:cs="Times New Roman"/>
        </w:rPr>
      </w:pPr>
    </w:p>
    <w:p w:rsidR="17A36E7B" w:rsidP="17A36E7B" w:rsidRDefault="17A36E7B" w14:paraId="3250CD46" w14:textId="365D2C3D">
      <w:pPr>
        <w:spacing w:after="0" w:line="240" w:lineRule="auto"/>
        <w:rPr>
          <w:rFonts w:ascii="Times New Roman" w:hAnsi="Times New Roman" w:eastAsia="Times New Roman" w:cs="Times New Roman"/>
        </w:rPr>
      </w:pPr>
    </w:p>
    <w:p w:rsidR="17A36E7B" w:rsidP="17A36E7B" w:rsidRDefault="17A36E7B" w14:paraId="1A693CDC" w14:textId="54C35DB3">
      <w:pPr>
        <w:spacing w:after="0" w:line="240" w:lineRule="auto"/>
        <w:rPr>
          <w:rFonts w:ascii="Times New Roman" w:hAnsi="Times New Roman" w:eastAsia="Times New Roman" w:cs="Times New Roman"/>
        </w:rPr>
      </w:pPr>
    </w:p>
    <w:p w:rsidR="17A36E7B" w:rsidP="17A36E7B" w:rsidRDefault="17A36E7B" w14:paraId="7EA0CDB3" w14:textId="34DFA895">
      <w:pPr>
        <w:spacing w:after="0" w:line="240" w:lineRule="auto"/>
        <w:rPr>
          <w:rFonts w:ascii="Times New Roman" w:hAnsi="Times New Roman" w:eastAsia="Times New Roman" w:cs="Times New Roman"/>
        </w:rPr>
      </w:pPr>
    </w:p>
    <w:p w:rsidR="17A36E7B" w:rsidP="17A36E7B" w:rsidRDefault="17A36E7B" w14:paraId="47F084D0" w14:textId="42D87AF3">
      <w:pPr>
        <w:spacing w:after="0" w:line="240" w:lineRule="auto"/>
        <w:rPr>
          <w:rFonts w:ascii="Times New Roman" w:hAnsi="Times New Roman" w:eastAsia="Times New Roman" w:cs="Times New Roman"/>
        </w:rPr>
      </w:pPr>
    </w:p>
    <w:p w:rsidR="17A36E7B" w:rsidP="17A36E7B" w:rsidRDefault="17A36E7B" w14:paraId="28E7F48A" w14:textId="1DE24AE8">
      <w:pPr>
        <w:spacing w:after="0" w:line="240" w:lineRule="auto"/>
        <w:rPr>
          <w:rFonts w:ascii="Times New Roman" w:hAnsi="Times New Roman" w:eastAsia="Times New Roman" w:cs="Times New Roman"/>
        </w:rPr>
      </w:pPr>
    </w:p>
    <w:p w:rsidR="17A36E7B" w:rsidP="17A36E7B" w:rsidRDefault="17A36E7B" w14:paraId="7292655B" w14:textId="4C093481">
      <w:pPr>
        <w:spacing w:after="0" w:line="240" w:lineRule="auto"/>
        <w:rPr>
          <w:rFonts w:ascii="Times New Roman" w:hAnsi="Times New Roman" w:eastAsia="Times New Roman" w:cs="Times New Roman"/>
        </w:rPr>
      </w:pPr>
    </w:p>
    <w:p w:rsidR="00901A4B" w:rsidP="00901A4B" w:rsidRDefault="00901A4B" w14:paraId="630E771B" w14:textId="77777777">
      <w:pPr>
        <w:pStyle w:val="Heading1"/>
      </w:pPr>
      <w:r>
        <w:t>7. Scope</w:t>
      </w:r>
    </w:p>
    <w:p w:rsidR="00901A4B" w:rsidP="00901A4B" w:rsidRDefault="00901A4B" w14:paraId="3CFC3375" w14:textId="77777777">
      <w:pPr>
        <w:pStyle w:val="NormalWeb"/>
      </w:pPr>
      <w:r>
        <w:t>RMPAI has progressed beyond its initial platform foundation and is now focused on delivering the capabilities required to support partner and customer deployments.</w:t>
      </w:r>
    </w:p>
    <w:p w:rsidR="00901A4B" w:rsidP="00901A4B" w:rsidRDefault="00901A4B" w14:paraId="324ED184" w14:textId="77777777">
      <w:pPr>
        <w:pStyle w:val="NormalWeb"/>
      </w:pPr>
      <w:r>
        <w:t xml:space="preserve">The immediate scope of development is aligned with the requirements of the </w:t>
      </w:r>
      <w:proofErr w:type="spellStart"/>
      <w:r w:rsidRPr="17A36E7B">
        <w:rPr>
          <w:rStyle w:val="Strong"/>
          <w:rFonts w:eastAsiaTheme="majorEastAsia"/>
        </w:rPr>
        <w:t>Uniphore</w:t>
      </w:r>
      <w:proofErr w:type="spellEnd"/>
      <w:r w:rsidRPr="17A36E7B">
        <w:rPr>
          <w:rStyle w:val="Strong"/>
          <w:rFonts w:eastAsiaTheme="majorEastAsia"/>
        </w:rPr>
        <w:t xml:space="preserve"> partnership</w:t>
      </w:r>
      <w:r>
        <w:t>, with priority placed on delivering high-performance inference, inference optimization, and integrated fine-tuning capabilities that allow AI workloads to run efficiently on private infrastructure.</w:t>
      </w:r>
    </w:p>
    <w:p w:rsidR="17A36E7B" w:rsidP="17A36E7B" w:rsidRDefault="17A36E7B" w14:paraId="54BDE374" w14:textId="1B7CF05F">
      <w:pPr>
        <w:pStyle w:val="NormalWeb"/>
      </w:pPr>
    </w:p>
    <w:p w:rsidR="00606578" w:rsidP="17A36E7B" w:rsidRDefault="00901A4B" w14:paraId="06DA9407" w14:textId="1DC07FD4">
      <w:pPr>
        <w:pStyle w:val="NormalWeb"/>
      </w:pPr>
      <w:r>
        <w:t>These capabilities form the near-term delivery focus while continuing to strengthen the broader enterprise AI platform.</w:t>
      </w:r>
    </w:p>
    <w:p w:rsidR="00606578" w:rsidP="00606578" w:rsidRDefault="00606578" w14:paraId="0A6D8E23" w14:textId="77777777">
      <w:pPr>
        <w:pStyle w:val="Heading2"/>
      </w:pPr>
      <w:r>
        <w:t>7.1 Immediate Delivery Priorities</w:t>
      </w:r>
    </w:p>
    <w:p w:rsidR="00606578" w:rsidP="00606578" w:rsidRDefault="00606578" w14:paraId="27F29408" w14:textId="69992BF8">
      <w:pPr>
        <w:pStyle w:val="NormalWeb"/>
      </w:pPr>
      <w:r>
        <w:t xml:space="preserve">The immediate development scope for RMPAI is focused on three core capabilities required to support </w:t>
      </w:r>
      <w:proofErr w:type="spellStart"/>
      <w:r>
        <w:t>Uniphore’s</w:t>
      </w:r>
      <w:proofErr w:type="spellEnd"/>
      <w:r>
        <w:t xml:space="preserve"> production AI workloads.</w:t>
      </w:r>
    </w:p>
    <w:p w:rsidR="17A36E7B" w:rsidP="17A36E7B" w:rsidRDefault="17A36E7B" w14:paraId="4BFFD46B" w14:textId="0DAD21D2">
      <w:pPr>
        <w:pStyle w:val="NormalWeb"/>
      </w:pPr>
    </w:p>
    <w:p w:rsidR="00606578" w:rsidP="00606578" w:rsidRDefault="00606578" w14:paraId="2025BD0B" w14:textId="568EADA4">
      <w:pPr>
        <w:pStyle w:val="NormalWeb"/>
      </w:pPr>
      <w:r w:rsidRPr="17A36E7B">
        <w:rPr>
          <w:rStyle w:val="Strong"/>
          <w:rFonts w:eastAsiaTheme="majorEastAsia"/>
        </w:rPr>
        <w:t>High-performance inference serving</w:t>
      </w:r>
      <w:r>
        <w:br/>
      </w:r>
      <w:r>
        <w:t>Provide production-grade model serving through OpenAI-compatible APIs using optimized inference runtimes capable of supporting high concurrency, low-latency responses, and efficient GPU utilization across enterprise workloads.</w:t>
      </w:r>
    </w:p>
    <w:p w:rsidR="17A36E7B" w:rsidP="17A36E7B" w:rsidRDefault="17A36E7B" w14:paraId="726C041D" w14:textId="49A583F4">
      <w:pPr>
        <w:pStyle w:val="NormalWeb"/>
      </w:pPr>
    </w:p>
    <w:p w:rsidR="00606578" w:rsidP="00606578" w:rsidRDefault="00606578" w14:paraId="62D20312" w14:textId="77777777">
      <w:pPr>
        <w:pStyle w:val="NormalWeb"/>
      </w:pPr>
      <w:r w:rsidRPr="17A36E7B">
        <w:rPr>
          <w:rStyle w:val="Strong"/>
          <w:rFonts w:eastAsiaTheme="majorEastAsia"/>
        </w:rPr>
        <w:t>Inference optimization capabilities</w:t>
      </w:r>
      <w:r>
        <w:br/>
      </w:r>
      <w:r>
        <w:t>Implement platform-level performance optimizations including dynamic batching, prompt caching, request scheduling improvements, and memory optimization to maximize throughput, reduce latency, and improve overall infrastructure efficiency.</w:t>
      </w:r>
    </w:p>
    <w:p w:rsidR="17A36E7B" w:rsidP="17A36E7B" w:rsidRDefault="17A36E7B" w14:paraId="270BD2D4" w14:textId="00D78E25">
      <w:pPr>
        <w:pStyle w:val="NormalWeb"/>
      </w:pPr>
    </w:p>
    <w:p w:rsidR="00606578" w:rsidP="00606578" w:rsidRDefault="00606578" w14:paraId="2DCCAC98" w14:textId="77777777">
      <w:pPr>
        <w:pStyle w:val="NormalWeb"/>
      </w:pPr>
      <w:r>
        <w:rPr>
          <w:rStyle w:val="Strong"/>
          <w:rFonts w:eastAsiaTheme="majorEastAsia"/>
        </w:rPr>
        <w:t>Integrated fine-tuning workflows</w:t>
      </w:r>
      <w:r>
        <w:br/>
      </w:r>
      <w:r>
        <w:t xml:space="preserve">Deliver built-in fine-tuning capabilities including supervised fine-tuning and parameter-efficient techniques such as </w:t>
      </w:r>
      <w:proofErr w:type="spellStart"/>
      <w:r>
        <w:t>LoRA</w:t>
      </w:r>
      <w:proofErr w:type="spellEnd"/>
      <w:r>
        <w:t xml:space="preserve"> and </w:t>
      </w:r>
      <w:proofErr w:type="spellStart"/>
      <w:r>
        <w:t>QLoRA</w:t>
      </w:r>
      <w:proofErr w:type="spellEnd"/>
      <w:r>
        <w:t xml:space="preserve">. Fine-tuning pipelines must integrate with the model </w:t>
      </w:r>
      <w:r>
        <w:t>registry, training workflows, and inference deployment path to enable rapid model adaptation and production deployment.</w:t>
      </w:r>
    </w:p>
    <w:p w:rsidR="00606578" w:rsidP="00606578" w:rsidRDefault="00606578" w14:paraId="4692FE8E" w14:textId="3BCE96B0"/>
    <w:p w:rsidR="00606578" w:rsidP="00606578" w:rsidRDefault="00606578" w14:paraId="103C69AD" w14:textId="77777777">
      <w:pPr>
        <w:pStyle w:val="Heading2"/>
      </w:pPr>
      <w:r>
        <w:t>7.2 Subsequent Platform Expansion</w:t>
      </w:r>
    </w:p>
    <w:p w:rsidR="00606578" w:rsidP="00606578" w:rsidRDefault="00606578" w14:paraId="78AECE63" w14:textId="77777777">
      <w:pPr>
        <w:pStyle w:val="NormalWeb"/>
      </w:pPr>
      <w:r>
        <w:t xml:space="preserve">Following the delivery of the immediate capabilities required for </w:t>
      </w:r>
      <w:proofErr w:type="spellStart"/>
      <w:r>
        <w:t>Uniphore</w:t>
      </w:r>
      <w:proofErr w:type="spellEnd"/>
      <w:r>
        <w:t xml:space="preserve"> workloads, RMPAI will expand the platform to strengthen performance, infrastructure flexibility, and developer experience.</w:t>
      </w:r>
    </w:p>
    <w:p w:rsidR="17A36E7B" w:rsidP="17A36E7B" w:rsidRDefault="17A36E7B" w14:paraId="37CE187A" w14:textId="0CF67F11">
      <w:pPr>
        <w:pStyle w:val="NormalWeb"/>
      </w:pPr>
    </w:p>
    <w:p w:rsidR="00606578" w:rsidP="00606578" w:rsidRDefault="00606578" w14:paraId="6530A32C" w14:textId="77777777">
      <w:pPr>
        <w:pStyle w:val="NormalWeb"/>
      </w:pPr>
      <w:r>
        <w:t>These enhancements will extend the core platform pillars of inference, optimization, and model adaptation while evolving RMPAI into a broader enterprise AI platform.</w:t>
      </w:r>
    </w:p>
    <w:p w:rsidR="17A36E7B" w:rsidP="17A36E7B" w:rsidRDefault="17A36E7B" w14:paraId="035DECEB" w14:textId="761DCEFB">
      <w:pPr>
        <w:pStyle w:val="NormalWeb"/>
      </w:pPr>
    </w:p>
    <w:p w:rsidR="17A36E7B" w:rsidP="17A36E7B" w:rsidRDefault="17A36E7B" w14:paraId="54836A8E" w14:textId="7B7A05BF">
      <w:pPr>
        <w:pStyle w:val="NormalWeb"/>
      </w:pPr>
    </w:p>
    <w:p w:rsidR="00606578" w:rsidP="00606578" w:rsidRDefault="00606578" w14:paraId="15F0CEE4" w14:textId="77777777">
      <w:pPr>
        <w:pStyle w:val="NormalWeb"/>
      </w:pPr>
      <w:r>
        <w:t>Planned platform expansions include:</w:t>
      </w:r>
    </w:p>
    <w:p w:rsidR="17A36E7B" w:rsidP="17A36E7B" w:rsidRDefault="17A36E7B" w14:paraId="5262B7AC" w14:textId="05363FA7">
      <w:pPr>
        <w:pStyle w:val="NormalWeb"/>
      </w:pPr>
    </w:p>
    <w:p w:rsidR="00606578" w:rsidP="17A36E7B" w:rsidRDefault="00606578" w14:paraId="523DB6A0" w14:textId="2FAF20AF">
      <w:pPr>
        <w:pStyle w:val="NormalWeb"/>
        <w:rPr>
          <w:rStyle w:val="Strong"/>
          <w:rFonts w:eastAsiaTheme="majorEastAsia"/>
        </w:rPr>
      </w:pPr>
      <w:r w:rsidRPr="17A36E7B">
        <w:rPr>
          <w:rStyle w:val="Strong"/>
          <w:rFonts w:eastAsiaTheme="majorEastAsia"/>
        </w:rPr>
        <w:t>Multi-engine inference support</w:t>
      </w:r>
      <w:r>
        <w:br/>
      </w:r>
      <w:r>
        <w:t xml:space="preserve">Extend inference serving to support multiple runtimes through the Unified Engine Interface, enabling optimized execution across engines such as </w:t>
      </w:r>
      <w:proofErr w:type="spellStart"/>
      <w:r>
        <w:t>vLLM</w:t>
      </w:r>
      <w:proofErr w:type="spellEnd"/>
      <w:r>
        <w:t xml:space="preserve">, </w:t>
      </w:r>
      <w:proofErr w:type="spellStart"/>
      <w:r>
        <w:t>TensorRT</w:t>
      </w:r>
      <w:proofErr w:type="spellEnd"/>
      <w:r>
        <w:t xml:space="preserve">-LLM, </w:t>
      </w:r>
      <w:proofErr w:type="spellStart"/>
      <w:r>
        <w:t>SGLang</w:t>
      </w:r>
      <w:proofErr w:type="spellEnd"/>
      <w:r>
        <w:t>, and NVIDIA NIM</w:t>
      </w:r>
      <w:r w:rsidR="34E1620D">
        <w:t xml:space="preserve"> (</w:t>
      </w:r>
      <w:proofErr w:type="spellStart"/>
      <w:r w:rsidR="34E1620D">
        <w:t>vLLM</w:t>
      </w:r>
      <w:proofErr w:type="spellEnd"/>
      <w:r w:rsidR="34E1620D">
        <w:t>)</w:t>
      </w:r>
    </w:p>
    <w:p w:rsidR="17A36E7B" w:rsidP="17A36E7B" w:rsidRDefault="17A36E7B" w14:paraId="2B28B9C2" w14:textId="46F542A6">
      <w:pPr>
        <w:pStyle w:val="NormalWeb"/>
      </w:pPr>
    </w:p>
    <w:p w:rsidR="00606578" w:rsidP="17A36E7B" w:rsidRDefault="00606578" w14:paraId="24940200" w14:textId="08FE6946">
      <w:pPr>
        <w:pStyle w:val="NormalWeb"/>
        <w:rPr>
          <w:rStyle w:val="Strong"/>
          <w:rFonts w:eastAsiaTheme="majorEastAsia"/>
        </w:rPr>
      </w:pPr>
      <w:r w:rsidRPr="17A36E7B">
        <w:rPr>
          <w:rStyle w:val="Strong"/>
          <w:rFonts w:eastAsiaTheme="majorEastAsia"/>
        </w:rPr>
        <w:t>Advanced inference optimization and routing</w:t>
      </w:r>
      <w:r>
        <w:br/>
      </w:r>
      <w:r>
        <w:t>Introduce intelligent routing, advanced caching strategies, and workload-aware scheduling to further improve latency, throughput, and infrastructure efficiency.</w:t>
      </w:r>
    </w:p>
    <w:p w:rsidR="17A36E7B" w:rsidP="17A36E7B" w:rsidRDefault="17A36E7B" w14:paraId="0838ABB9" w14:textId="7ADA37C9">
      <w:pPr>
        <w:pStyle w:val="NormalWeb"/>
      </w:pPr>
    </w:p>
    <w:p w:rsidR="00606578" w:rsidP="17A36E7B" w:rsidRDefault="00606578" w14:paraId="5D1D86BA" w14:textId="59604AB8">
      <w:pPr>
        <w:pStyle w:val="NormalWeb"/>
        <w:rPr>
          <w:rStyle w:val="Strong"/>
          <w:rFonts w:eastAsiaTheme="majorEastAsia"/>
        </w:rPr>
      </w:pPr>
      <w:r w:rsidRPr="17A36E7B">
        <w:rPr>
          <w:rStyle w:val="Strong"/>
          <w:rFonts w:eastAsiaTheme="majorEastAsia"/>
        </w:rPr>
        <w:t>Expanded hardware support</w:t>
      </w:r>
      <w:r>
        <w:br/>
      </w:r>
      <w:r>
        <w:t>Extend platform compatibility across heterogeneous accelerator environments including AMD GPUs, Intel Gaudi accelerators, and CPU-based inference.</w:t>
      </w:r>
    </w:p>
    <w:p w:rsidR="17A36E7B" w:rsidP="17A36E7B" w:rsidRDefault="17A36E7B" w14:paraId="7BD0D6EE" w14:textId="7F92E120">
      <w:pPr>
        <w:pStyle w:val="NormalWeb"/>
      </w:pPr>
    </w:p>
    <w:p w:rsidR="00606578" w:rsidP="17A36E7B" w:rsidRDefault="00606578" w14:paraId="50C66769" w14:textId="54FDDBD7">
      <w:pPr>
        <w:pStyle w:val="NormalWeb"/>
        <w:rPr>
          <w:rStyle w:val="Strong"/>
          <w:rFonts w:eastAsiaTheme="majorEastAsia"/>
        </w:rPr>
      </w:pPr>
      <w:r w:rsidRPr="17A36E7B">
        <w:rPr>
          <w:rStyle w:val="Strong"/>
          <w:rFonts w:eastAsiaTheme="majorEastAsia"/>
        </w:rPr>
        <w:t>Enhanced developer experience</w:t>
      </w:r>
      <w:r>
        <w:br/>
      </w:r>
      <w:r>
        <w:t xml:space="preserve">Expand developer tooling with a full-featured model playground, richer platform UI workflows, </w:t>
      </w:r>
      <w:r>
        <w:t>and improved SDK and CLI capabilities for experimentation, deployment, and platform operations.</w:t>
      </w:r>
    </w:p>
    <w:p w:rsidR="17A36E7B" w:rsidP="17A36E7B" w:rsidRDefault="17A36E7B" w14:paraId="03B828C3" w14:textId="772C0D50">
      <w:pPr>
        <w:pStyle w:val="NormalWeb"/>
      </w:pPr>
    </w:p>
    <w:p w:rsidR="00606578" w:rsidP="17A36E7B" w:rsidRDefault="00606578" w14:paraId="6679F8D0" w14:textId="61DA46E6">
      <w:pPr>
        <w:pStyle w:val="NormalWeb"/>
        <w:rPr>
          <w:rStyle w:val="Strong"/>
          <w:rFonts w:eastAsiaTheme="majorEastAsia"/>
        </w:rPr>
      </w:pPr>
      <w:r w:rsidRPr="17A36E7B">
        <w:rPr>
          <w:rStyle w:val="Strong"/>
          <w:rFonts w:eastAsiaTheme="majorEastAsia"/>
        </w:rPr>
        <w:t>Expanded usage governance and cost visibility</w:t>
      </w:r>
      <w:r>
        <w:br/>
      </w:r>
      <w:r>
        <w:t>Enhance usage metering, billing integrations, and cost governance capabilities to provide stronger operational visibility and economic control for enterprise deployments.</w:t>
      </w:r>
    </w:p>
    <w:p w:rsidR="17A36E7B" w:rsidP="17A36E7B" w:rsidRDefault="17A36E7B" w14:paraId="751FD42F" w14:textId="76256A62">
      <w:pPr>
        <w:pStyle w:val="NormalWeb"/>
      </w:pPr>
    </w:p>
    <w:p w:rsidR="00606578" w:rsidP="00606578" w:rsidRDefault="00606578" w14:paraId="704B4350" w14:textId="77777777">
      <w:pPr>
        <w:pStyle w:val="NormalWeb"/>
      </w:pPr>
      <w:r>
        <w:t xml:space="preserve">These expansions build on the capabilities delivered for the </w:t>
      </w:r>
      <w:proofErr w:type="spellStart"/>
      <w:r>
        <w:t>Uniphore</w:t>
      </w:r>
      <w:proofErr w:type="spellEnd"/>
      <w:r>
        <w:t xml:space="preserve"> deployment while continuing to evolve RMPAI into a flexible, high-performance enterprise AI platform.</w:t>
      </w:r>
    </w:p>
    <w:p w:rsidR="00606578" w:rsidP="00606578" w:rsidRDefault="00606578" w14:paraId="126248A7" w14:textId="06EDB783"/>
    <w:p w:rsidRPr="00AB4CD9" w:rsidR="00AB4CD9" w:rsidP="00AB4CD9" w:rsidRDefault="00AB4CD9" w14:paraId="268F8AAB" w14:textId="77777777">
      <w:pPr>
        <w:pStyle w:val="Heading2"/>
        <w:rPr>
          <w:rFonts w:eastAsia="Times New Roman"/>
        </w:rPr>
      </w:pPr>
      <w:r w:rsidRPr="00AB4CD9">
        <w:rPr>
          <w:rFonts w:eastAsia="Times New Roman"/>
        </w:rPr>
        <w:t>8. Architecture Overview</w:t>
      </w:r>
    </w:p>
    <w:p w:rsidRPr="00AB4CD9" w:rsidR="00AB4CD9" w:rsidP="00AB4CD9" w:rsidRDefault="00AB4CD9" w14:paraId="6BC777EB"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RMPAI follows a layered architecture that separates the control plane, data plane, inference gateway, and developer experience layer so that infrastructure components and developer-facing APIs can evolve independently.</w:t>
      </w:r>
    </w:p>
    <w:p w:rsidRPr="00AB4CD9" w:rsidR="00AB4CD9" w:rsidP="00606578" w:rsidRDefault="00AB4CD9" w14:paraId="5E505C3E" w14:textId="77777777">
      <w:pPr>
        <w:pStyle w:val="Heading3"/>
        <w:rPr>
          <w:rFonts w:eastAsia="Times New Roman"/>
        </w:rPr>
      </w:pPr>
      <w:r w:rsidRPr="00AB4CD9">
        <w:rPr>
          <w:rFonts w:eastAsia="Times New Roman"/>
        </w:rPr>
        <w:t>8.1 Control Plane</w:t>
      </w:r>
    </w:p>
    <w:p w:rsidRPr="00AB4CD9" w:rsidR="00AB4CD9" w:rsidP="00AB4CD9" w:rsidRDefault="00AB4CD9" w14:paraId="4BEFA9B0"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control plane manages tenant isolation, authentication, policy enforcement, quotas, billing integration, model registry, deployment orchestration, and lifecycle operations for models, endpoints, and training jobs.</w:t>
      </w:r>
    </w:p>
    <w:p w:rsidRPr="00AB4CD9" w:rsidR="00AB4CD9" w:rsidP="00606578" w:rsidRDefault="00AB4CD9" w14:paraId="444DA5BF" w14:textId="77777777">
      <w:pPr>
        <w:pStyle w:val="Heading3"/>
        <w:rPr>
          <w:rFonts w:eastAsia="Times New Roman"/>
        </w:rPr>
      </w:pPr>
      <w:r w:rsidRPr="00AB4CD9">
        <w:rPr>
          <w:rFonts w:eastAsia="Times New Roman"/>
        </w:rPr>
        <w:t>8.2 Data Plane</w:t>
      </w:r>
    </w:p>
    <w:p w:rsidRPr="00AB4CD9" w:rsidR="00AB4CD9" w:rsidP="00AB4CD9" w:rsidRDefault="00AB4CD9" w14:paraId="71DC5DEF"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data plane executes AI workloads including inference serving and fine-tuning jobs across Kubernetes-based environments and heterogeneous compute infrastructure.</w:t>
      </w:r>
    </w:p>
    <w:p w:rsidRPr="00AB4CD9" w:rsidR="00AB4CD9" w:rsidP="00606578" w:rsidRDefault="00AB4CD9" w14:paraId="2E0C99F4" w14:textId="77777777">
      <w:pPr>
        <w:pStyle w:val="Heading3"/>
        <w:rPr>
          <w:rFonts w:eastAsia="Times New Roman"/>
        </w:rPr>
      </w:pPr>
      <w:r w:rsidRPr="00AB4CD9">
        <w:rPr>
          <w:rFonts w:eastAsia="Times New Roman"/>
        </w:rPr>
        <w:t>8.3 Inference Gateway</w:t>
      </w:r>
    </w:p>
    <w:p w:rsidRPr="00AB4CD9" w:rsidR="00AB4CD9" w:rsidP="00AB4CD9" w:rsidRDefault="00AB4CD9" w14:paraId="347AF058"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inference gateway serves as the primary entry point for inference traffic and routes requests to the optimal engine and hardware target based on compatibility, capacity, policy, latency, and cost requirements.</w:t>
      </w:r>
    </w:p>
    <w:p w:rsidRPr="00AB4CD9" w:rsidR="00AB4CD9" w:rsidP="00606578" w:rsidRDefault="00AB4CD9" w14:paraId="6B633D7A" w14:textId="77777777">
      <w:pPr>
        <w:pStyle w:val="Heading3"/>
        <w:rPr>
          <w:rFonts w:eastAsia="Times New Roman"/>
        </w:rPr>
      </w:pPr>
      <w:r w:rsidRPr="00AB4CD9">
        <w:rPr>
          <w:rFonts w:eastAsia="Times New Roman"/>
        </w:rPr>
        <w:t>8.4 Developer Experience Layer</w:t>
      </w:r>
    </w:p>
    <w:p w:rsidRPr="00AB4CD9" w:rsidR="00AB4CD9" w:rsidP="00AB4CD9" w:rsidRDefault="00AB4CD9" w14:paraId="593A6588"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This layer exposes APIs, SDKs, CLI tooling, templates, and user interface workflows for developers and platform operators.</w:t>
      </w:r>
    </w:p>
    <w:p w:rsidRPr="00AB4CD9" w:rsidR="00AB4CD9" w:rsidP="00606578" w:rsidRDefault="00AB4CD9" w14:paraId="3056081F" w14:textId="77777777">
      <w:pPr>
        <w:pStyle w:val="Heading3"/>
        <w:rPr>
          <w:rFonts w:eastAsia="Times New Roman"/>
        </w:rPr>
      </w:pPr>
      <w:r w:rsidRPr="00AB4CD9">
        <w:rPr>
          <w:rFonts w:eastAsia="Times New Roman"/>
        </w:rPr>
        <w:t>8.5 Observability and Governance Layer</w:t>
      </w:r>
    </w:p>
    <w:p w:rsidRPr="00AB4CD9" w:rsidR="00AB4CD9" w:rsidP="00AB4CD9" w:rsidRDefault="00AB4CD9" w14:paraId="6F824E72"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This layer provides centralized telemetry, logging, tracing, auditability, policy visibility, and cost transparency across the platform lifecycle.</w:t>
      </w:r>
    </w:p>
    <w:p w:rsidRPr="00AB4CD9" w:rsidR="00AB4CD9" w:rsidP="00AB4CD9" w:rsidRDefault="00AB4CD9" w14:paraId="75086CAA"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 key architectural requirement is the separation between the external API contract and the internal execution stack. RMPAI must be able to add or replace runtimes, fine-tuning methods, and hardware backends without breaking the external developer-facing interface.</w:t>
      </w:r>
    </w:p>
    <w:p w:rsidRPr="00AB4CD9" w:rsidR="00AB4CD9" w:rsidP="00AB4CD9" w:rsidRDefault="00AB4CD9" w14:paraId="5F3D9C55" w14:textId="60284204">
      <w:pPr>
        <w:spacing w:after="0" w:line="240" w:lineRule="auto"/>
        <w:rPr>
          <w:rFonts w:ascii="Times New Roman" w:hAnsi="Times New Roman" w:eastAsia="Times New Roman" w:cs="Times New Roman"/>
          <w:kern w:val="0"/>
          <w14:ligatures w14:val="none"/>
        </w:rPr>
      </w:pPr>
    </w:p>
    <w:p w:rsidRPr="00AB4CD9" w:rsidR="00AB4CD9" w:rsidP="00AB4CD9" w:rsidRDefault="00AB4CD9" w14:paraId="59A35C58" w14:textId="77777777">
      <w:pPr>
        <w:pStyle w:val="Heading2"/>
        <w:rPr>
          <w:rFonts w:eastAsia="Times New Roman"/>
        </w:rPr>
      </w:pPr>
      <w:r w:rsidRPr="00AB4CD9">
        <w:rPr>
          <w:rFonts w:eastAsia="Times New Roman"/>
        </w:rPr>
        <w:t>9. Platform Capabilities</w:t>
      </w:r>
    </w:p>
    <w:p w:rsidRPr="00AB4CD9" w:rsidR="00AB4CD9" w:rsidP="00AB4CD9" w:rsidRDefault="00AB4CD9" w14:paraId="6B1A7249"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RMPAI must provide a comprehensive set of capabilities required to operate enterprise AI infrastructure at scale.</w:t>
      </w:r>
    </w:p>
    <w:p w:rsidRPr="00AB4CD9" w:rsidR="00AB4CD9" w:rsidP="00606578" w:rsidRDefault="00AB4CD9" w14:paraId="709F3DF2" w14:textId="77777777">
      <w:pPr>
        <w:pStyle w:val="Heading3"/>
        <w:rPr>
          <w:rFonts w:eastAsia="Times New Roman"/>
        </w:rPr>
      </w:pPr>
      <w:r w:rsidRPr="00AB4CD9">
        <w:rPr>
          <w:rFonts w:eastAsia="Times New Roman"/>
        </w:rPr>
        <w:t>9.1 Self-Service Workspace Management</w:t>
      </w:r>
    </w:p>
    <w:p w:rsidRPr="00AB4CD9" w:rsidR="00AB4CD9" w:rsidP="00AB4CD9" w:rsidRDefault="00AB4CD9" w14:paraId="28186E9E"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Organizations can provision isolated workspaces with quotas, RBAC, network isolation, and tenant-scoped resource boundaries without administrative ticketing.</w:t>
      </w:r>
    </w:p>
    <w:p w:rsidRPr="00AB4CD9" w:rsidR="00AB4CD9" w:rsidP="00606578" w:rsidRDefault="00AB4CD9" w14:paraId="4C58670F" w14:textId="77777777">
      <w:pPr>
        <w:pStyle w:val="Heading3"/>
        <w:rPr>
          <w:rFonts w:eastAsia="Times New Roman"/>
        </w:rPr>
      </w:pPr>
      <w:r w:rsidRPr="00AB4CD9">
        <w:rPr>
          <w:rFonts w:eastAsia="Times New Roman"/>
        </w:rPr>
        <w:t>9.2 Standards-Based API Integration</w:t>
      </w:r>
    </w:p>
    <w:p w:rsidRPr="00AB4CD9" w:rsidR="00AB4CD9" w:rsidP="00AB4CD9" w:rsidRDefault="00AB4CD9" w14:paraId="7676851C" w14:textId="4A45453E">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The platform must expose OpenAI-compatible APIs for chat, completions, embeddings, and </w:t>
      </w:r>
      <w:r w:rsidR="004637AA">
        <w:rPr>
          <w:rFonts w:ascii="Times New Roman" w:hAnsi="Times New Roman" w:eastAsia="Times New Roman" w:cs="Times New Roman"/>
          <w:kern w:val="0"/>
          <w14:ligatures w14:val="none"/>
        </w:rPr>
        <w:t xml:space="preserve">batch </w:t>
      </w:r>
      <w:proofErr w:type="gramStart"/>
      <w:r w:rsidR="004637AA">
        <w:rPr>
          <w:rFonts w:ascii="Times New Roman" w:hAnsi="Times New Roman" w:eastAsia="Times New Roman" w:cs="Times New Roman"/>
          <w:kern w:val="0"/>
          <w14:ligatures w14:val="none"/>
        </w:rPr>
        <w:t xml:space="preserve">inference </w:t>
      </w:r>
      <w:r w:rsidRPr="00AB4CD9">
        <w:rPr>
          <w:rFonts w:ascii="Times New Roman" w:hAnsi="Times New Roman" w:eastAsia="Times New Roman" w:cs="Times New Roman"/>
          <w:kern w:val="0"/>
          <w14:ligatures w14:val="none"/>
        </w:rPr>
        <w:t xml:space="preserve"> model</w:t>
      </w:r>
      <w:proofErr w:type="gramEnd"/>
      <w:r w:rsidRPr="00AB4CD9">
        <w:rPr>
          <w:rFonts w:ascii="Times New Roman" w:hAnsi="Times New Roman" w:eastAsia="Times New Roman" w:cs="Times New Roman"/>
          <w:kern w:val="0"/>
          <w14:ligatures w14:val="none"/>
        </w:rPr>
        <w:t xml:space="preserve"> operations, with REST and optional </w:t>
      </w:r>
      <w:proofErr w:type="spellStart"/>
      <w:r w:rsidRPr="00AB4CD9">
        <w:rPr>
          <w:rFonts w:ascii="Times New Roman" w:hAnsi="Times New Roman" w:eastAsia="Times New Roman" w:cs="Times New Roman"/>
          <w:kern w:val="0"/>
          <w14:ligatures w14:val="none"/>
        </w:rPr>
        <w:t>gRPC</w:t>
      </w:r>
      <w:proofErr w:type="spellEnd"/>
      <w:r w:rsidRPr="00AB4CD9">
        <w:rPr>
          <w:rFonts w:ascii="Times New Roman" w:hAnsi="Times New Roman" w:eastAsia="Times New Roman" w:cs="Times New Roman"/>
          <w:kern w:val="0"/>
          <w14:ligatures w14:val="none"/>
        </w:rPr>
        <w:t xml:space="preserve"> interfaces where appropriate.</w:t>
      </w:r>
    </w:p>
    <w:p w:rsidRPr="00AB4CD9" w:rsidR="00AB4CD9" w:rsidP="004637AA" w:rsidRDefault="00AB4CD9" w14:paraId="3BDD7B22" w14:textId="77777777">
      <w:pPr>
        <w:pStyle w:val="Heading3"/>
        <w:rPr>
          <w:rFonts w:eastAsia="Times New Roman"/>
        </w:rPr>
      </w:pPr>
      <w:r w:rsidRPr="00AB4CD9">
        <w:rPr>
          <w:rFonts w:eastAsia="Times New Roman"/>
        </w:rPr>
        <w:t>9.3 Resource Management</w:t>
      </w:r>
    </w:p>
    <w:p w:rsidRPr="00AB4CD9" w:rsidR="00AB4CD9" w:rsidP="00AB4CD9" w:rsidRDefault="00AB4CD9" w14:paraId="3AC999D9" w14:textId="27B8F659">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platform must pool GPUs, CPUs</w:t>
      </w:r>
      <w:r w:rsidR="004637AA">
        <w:rPr>
          <w:rFonts w:ascii="Times New Roman" w:hAnsi="Times New Roman" w:eastAsia="Times New Roman" w:cs="Times New Roman"/>
          <w:kern w:val="0"/>
          <w14:ligatures w14:val="none"/>
        </w:rPr>
        <w:t xml:space="preserve">, memory and </w:t>
      </w:r>
      <w:r w:rsidRPr="00AB4CD9">
        <w:rPr>
          <w:rFonts w:ascii="Times New Roman" w:hAnsi="Times New Roman" w:eastAsia="Times New Roman" w:cs="Times New Roman"/>
          <w:kern w:val="0"/>
          <w14:ligatures w14:val="none"/>
        </w:rPr>
        <w:t>storage resources using fair-share scheduling, capacity reservations, and transparent storage tiers.</w:t>
      </w:r>
    </w:p>
    <w:p w:rsidRPr="00AB4CD9" w:rsidR="00AB4CD9" w:rsidP="004637AA" w:rsidRDefault="00AB4CD9" w14:paraId="631FF325" w14:textId="77777777">
      <w:pPr>
        <w:pStyle w:val="Heading3"/>
        <w:rPr>
          <w:rFonts w:eastAsia="Times New Roman"/>
        </w:rPr>
      </w:pPr>
      <w:r w:rsidRPr="00AB4CD9">
        <w:rPr>
          <w:rFonts w:eastAsia="Times New Roman"/>
        </w:rPr>
        <w:t>9.4 Model Catalog and Registry</w:t>
      </w:r>
    </w:p>
    <w:p w:rsidRPr="00AB4CD9" w:rsidR="00AB4CD9" w:rsidP="00AB4CD9" w:rsidRDefault="00AB4CD9" w14:paraId="5BBFC00F"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Users must be able to discover base models, fine-tuned models, and adapter artifacts with rich metadata, lifecycle controls, and deployment readiness information.</w:t>
      </w:r>
    </w:p>
    <w:p w:rsidRPr="00AB4CD9" w:rsidR="00AB4CD9" w:rsidP="004637AA" w:rsidRDefault="00AB4CD9" w14:paraId="258E8E8A" w14:textId="18344F98">
      <w:pPr>
        <w:pStyle w:val="Heading3"/>
        <w:rPr>
          <w:rFonts w:eastAsia="Times New Roman"/>
        </w:rPr>
      </w:pPr>
      <w:r w:rsidRPr="17A36E7B">
        <w:rPr>
          <w:rFonts w:eastAsia="Times New Roman"/>
        </w:rPr>
        <w:t>9.</w:t>
      </w:r>
      <w:r w:rsidRPr="17A36E7B" w:rsidR="11364A01">
        <w:rPr>
          <w:rFonts w:eastAsia="Times New Roman"/>
        </w:rPr>
        <w:t>5</w:t>
      </w:r>
      <w:r w:rsidRPr="17A36E7B">
        <w:rPr>
          <w:rFonts w:eastAsia="Times New Roman"/>
        </w:rPr>
        <w:t xml:space="preserve"> Optimized Runtime Environments</w:t>
      </w:r>
    </w:p>
    <w:p w:rsidRPr="00AB4CD9" w:rsidR="00AB4CD9" w:rsidP="00AB4CD9" w:rsidRDefault="00AB4CD9" w14:paraId="68FF06E4"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Curated base images and validated runtime stacks must reduce environment setup friction and improve reproducibility.</w:t>
      </w:r>
    </w:p>
    <w:p w:rsidRPr="00AB4CD9" w:rsidR="00AB4CD9" w:rsidP="004637AA" w:rsidRDefault="00AB4CD9" w14:paraId="1AB852F7" w14:textId="0D8501CB">
      <w:pPr>
        <w:pStyle w:val="Heading3"/>
        <w:rPr>
          <w:rFonts w:eastAsia="Times New Roman"/>
        </w:rPr>
      </w:pPr>
      <w:r w:rsidRPr="17A36E7B">
        <w:rPr>
          <w:rFonts w:eastAsia="Times New Roman"/>
        </w:rPr>
        <w:t>9.</w:t>
      </w:r>
      <w:r w:rsidRPr="17A36E7B" w:rsidR="65C24654">
        <w:rPr>
          <w:rFonts w:eastAsia="Times New Roman"/>
        </w:rPr>
        <w:t>6</w:t>
      </w:r>
      <w:r w:rsidRPr="17A36E7B">
        <w:rPr>
          <w:rFonts w:eastAsia="Times New Roman"/>
        </w:rPr>
        <w:t xml:space="preserve"> Financial Transparency and Controls</w:t>
      </w:r>
    </w:p>
    <w:p w:rsidRPr="00AB4CD9" w:rsidR="00AB4CD9" w:rsidP="00AB4CD9" w:rsidRDefault="00AB4CD9" w14:paraId="2C53840E"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Workspace and tenant dashboards must provide real-time consumption visibility, budget thresholds, spend controls, and cost attribution.</w:t>
      </w:r>
    </w:p>
    <w:p w:rsidRPr="00AB4CD9" w:rsidR="00AB4CD9" w:rsidP="004637AA" w:rsidRDefault="00AB4CD9" w14:paraId="1AFDDB04" w14:textId="1AA6AF5E">
      <w:pPr>
        <w:pStyle w:val="Heading3"/>
        <w:rPr>
          <w:rFonts w:eastAsia="Times New Roman"/>
        </w:rPr>
      </w:pPr>
      <w:r w:rsidRPr="17A36E7B">
        <w:rPr>
          <w:rFonts w:eastAsia="Times New Roman"/>
        </w:rPr>
        <w:t>9.</w:t>
      </w:r>
      <w:r w:rsidRPr="17A36E7B" w:rsidR="1CF6A6CE">
        <w:rPr>
          <w:rFonts w:eastAsia="Times New Roman"/>
        </w:rPr>
        <w:t>7</w:t>
      </w:r>
      <w:r w:rsidRPr="17A36E7B">
        <w:rPr>
          <w:rFonts w:eastAsia="Times New Roman"/>
        </w:rPr>
        <w:t xml:space="preserve"> Production-Grade Observability</w:t>
      </w:r>
    </w:p>
    <w:p w:rsidRPr="00AB4CD9" w:rsidR="00AB4CD9" w:rsidP="00AB4CD9" w:rsidRDefault="00AB4CD9" w14:paraId="17C7D856"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Metrics, logs, traces, dashboards, and audit records must cover both platform infrastructure and AI workload behavior.</w:t>
      </w:r>
    </w:p>
    <w:p w:rsidRPr="00AB4CD9" w:rsidR="00AB4CD9" w:rsidP="004637AA" w:rsidRDefault="00AB4CD9" w14:paraId="68C31157" w14:textId="03F619CC">
      <w:pPr>
        <w:pStyle w:val="Heading3"/>
        <w:rPr>
          <w:rFonts w:eastAsia="Times New Roman"/>
        </w:rPr>
      </w:pPr>
      <w:r w:rsidRPr="17A36E7B">
        <w:rPr>
          <w:rFonts w:eastAsia="Times New Roman"/>
        </w:rPr>
        <w:t>9.</w:t>
      </w:r>
      <w:r w:rsidRPr="17A36E7B" w:rsidR="2A39379A">
        <w:rPr>
          <w:rFonts w:eastAsia="Times New Roman"/>
        </w:rPr>
        <w:t>8</w:t>
      </w:r>
      <w:r w:rsidRPr="17A36E7B">
        <w:rPr>
          <w:rFonts w:eastAsia="Times New Roman"/>
        </w:rPr>
        <w:t xml:space="preserve"> Enterprise Security and Compliance</w:t>
      </w:r>
    </w:p>
    <w:p w:rsidRPr="00AB4CD9" w:rsidR="00AB4CD9" w:rsidP="00AB4CD9" w:rsidRDefault="00AB4CD9" w14:paraId="1E7D15FE"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platform must deliver OIDC, RBAC, encryption, secrets management, network isolation, and auditability aligned with enterprise compliance expectations.</w:t>
      </w:r>
    </w:p>
    <w:p w:rsidRPr="00AB4CD9" w:rsidR="00AB4CD9" w:rsidP="004637AA" w:rsidRDefault="00AB4CD9" w14:paraId="3FC16D84" w14:textId="74977F98">
      <w:pPr>
        <w:pStyle w:val="Heading3"/>
        <w:rPr>
          <w:rFonts w:eastAsia="Times New Roman"/>
        </w:rPr>
      </w:pPr>
      <w:r w:rsidRPr="17A36E7B">
        <w:rPr>
          <w:rFonts w:eastAsia="Times New Roman"/>
        </w:rPr>
        <w:t>9.</w:t>
      </w:r>
      <w:r w:rsidRPr="17A36E7B" w:rsidR="719FBC15">
        <w:rPr>
          <w:rFonts w:eastAsia="Times New Roman"/>
        </w:rPr>
        <w:t>9</w:t>
      </w:r>
      <w:r w:rsidRPr="17A36E7B">
        <w:rPr>
          <w:rFonts w:eastAsia="Times New Roman"/>
        </w:rPr>
        <w:t xml:space="preserve"> API-First Automation</w:t>
      </w:r>
    </w:p>
    <w:p w:rsidRPr="00AB4CD9" w:rsidR="00AB4CD9" w:rsidP="00AB4CD9" w:rsidRDefault="00AB4CD9" w14:paraId="7A933C4A"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All key workflows must be available programmatically, including job submission, deployment, routing policies, metrics queries, and quota operations.</w:t>
      </w:r>
    </w:p>
    <w:p w:rsidRPr="00AB4CD9" w:rsidR="00AB4CD9" w:rsidP="004637AA" w:rsidRDefault="00AB4CD9" w14:paraId="7D7CCCD4" w14:textId="03B7FFFA">
      <w:pPr>
        <w:pStyle w:val="Heading3"/>
        <w:rPr>
          <w:rFonts w:eastAsia="Times New Roman"/>
        </w:rPr>
      </w:pPr>
      <w:r w:rsidRPr="17A36E7B">
        <w:rPr>
          <w:rFonts w:eastAsia="Times New Roman"/>
        </w:rPr>
        <w:t>9.1</w:t>
      </w:r>
      <w:r w:rsidRPr="17A36E7B" w:rsidR="4476B66A">
        <w:rPr>
          <w:rFonts w:eastAsia="Times New Roman"/>
        </w:rPr>
        <w:t>0</w:t>
      </w:r>
      <w:r w:rsidRPr="17A36E7B">
        <w:rPr>
          <w:rFonts w:eastAsia="Times New Roman"/>
        </w:rPr>
        <w:t xml:space="preserve"> Accelerated Onboarding</w:t>
      </w:r>
    </w:p>
    <w:p w:rsidRPr="00AB4CD9" w:rsidR="00AB4CD9" w:rsidP="00AB4CD9" w:rsidRDefault="00AB4CD9" w14:paraId="37CADB13"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Reference templates, example repositories, and opinionated defaults must reduce time-to-</w:t>
      </w:r>
      <w:proofErr w:type="gramStart"/>
      <w:r w:rsidRPr="00AB4CD9">
        <w:rPr>
          <w:rFonts w:ascii="Times New Roman" w:hAnsi="Times New Roman" w:eastAsia="Times New Roman" w:cs="Times New Roman"/>
          <w:kern w:val="0"/>
          <w14:ligatures w14:val="none"/>
        </w:rPr>
        <w:t>first-success</w:t>
      </w:r>
      <w:proofErr w:type="gramEnd"/>
      <w:r w:rsidRPr="00AB4CD9">
        <w:rPr>
          <w:rFonts w:ascii="Times New Roman" w:hAnsi="Times New Roman" w:eastAsia="Times New Roman" w:cs="Times New Roman"/>
          <w:kern w:val="0"/>
          <w14:ligatures w14:val="none"/>
        </w:rPr>
        <w:t xml:space="preserve"> for common patterns such as RAG, </w:t>
      </w:r>
      <w:proofErr w:type="spellStart"/>
      <w:r w:rsidRPr="00AB4CD9">
        <w:rPr>
          <w:rFonts w:ascii="Times New Roman" w:hAnsi="Times New Roman" w:eastAsia="Times New Roman" w:cs="Times New Roman"/>
          <w:kern w:val="0"/>
          <w14:ligatures w14:val="none"/>
        </w:rPr>
        <w:t>autoscaled</w:t>
      </w:r>
      <w:proofErr w:type="spellEnd"/>
      <w:r w:rsidRPr="00AB4CD9">
        <w:rPr>
          <w:rFonts w:ascii="Times New Roman" w:hAnsi="Times New Roman" w:eastAsia="Times New Roman" w:cs="Times New Roman"/>
          <w:kern w:val="0"/>
          <w14:ligatures w14:val="none"/>
        </w:rPr>
        <w:t xml:space="preserve"> LLM serving, and fine-tuning.</w:t>
      </w:r>
    </w:p>
    <w:p w:rsidRPr="00AB4CD9" w:rsidR="00AB4CD9" w:rsidP="004637AA" w:rsidRDefault="00AB4CD9" w14:paraId="0E141AF6" w14:textId="2C792EDA">
      <w:pPr>
        <w:pStyle w:val="Heading3"/>
        <w:rPr>
          <w:rFonts w:eastAsia="Times New Roman"/>
        </w:rPr>
      </w:pPr>
      <w:r w:rsidRPr="17A36E7B">
        <w:rPr>
          <w:rFonts w:eastAsia="Times New Roman"/>
        </w:rPr>
        <w:t>9.1</w:t>
      </w:r>
      <w:r w:rsidRPr="17A36E7B" w:rsidR="5481B919">
        <w:rPr>
          <w:rFonts w:eastAsia="Times New Roman"/>
        </w:rPr>
        <w:t>1</w:t>
      </w:r>
      <w:r w:rsidRPr="17A36E7B">
        <w:rPr>
          <w:rFonts w:eastAsia="Times New Roman"/>
        </w:rPr>
        <w:t xml:space="preserve"> Smart Routing and Performance Optimization</w:t>
      </w:r>
    </w:p>
    <w:p w:rsidRPr="00AB4CD9" w:rsidR="00AB4CD9" w:rsidP="00AB4CD9" w:rsidRDefault="00AB4CD9" w14:paraId="345B095D"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inference gateway must select the best execution path based on compatibility, latency, utilization, policy, and cost, while applying caching and scheduling optimizations where appropriate.</w:t>
      </w:r>
    </w:p>
    <w:p w:rsidRPr="00AB4CD9" w:rsidR="00AB4CD9" w:rsidP="004637AA" w:rsidRDefault="00AB4CD9" w14:paraId="2382FEE4" w14:textId="06017419">
      <w:pPr>
        <w:pStyle w:val="Heading3"/>
        <w:rPr>
          <w:rFonts w:eastAsia="Times New Roman"/>
        </w:rPr>
      </w:pPr>
      <w:r w:rsidRPr="17A36E7B">
        <w:rPr>
          <w:rFonts w:eastAsia="Times New Roman"/>
        </w:rPr>
        <w:t>9.1</w:t>
      </w:r>
      <w:r w:rsidRPr="17A36E7B" w:rsidR="330F1BF7">
        <w:rPr>
          <w:rFonts w:eastAsia="Times New Roman"/>
        </w:rPr>
        <w:t>2</w:t>
      </w:r>
      <w:r w:rsidRPr="17A36E7B">
        <w:rPr>
          <w:rFonts w:eastAsia="Times New Roman"/>
        </w:rPr>
        <w:t xml:space="preserve"> Developer Experience and Operational UI</w:t>
      </w:r>
    </w:p>
    <w:p w:rsidRPr="00AB4CD9" w:rsidR="00AB4CD9" w:rsidP="00AB4CD9" w:rsidRDefault="00AB4CD9" w14:paraId="0D244B77" w14:textId="6545BDB3">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product must include an interactive playground, platform UI, SDKs, and CLI tooling for discovery, experimentation, management, and automation.</w:t>
      </w:r>
    </w:p>
    <w:p w:rsidRPr="004637AA" w:rsidR="00AB4CD9" w:rsidP="004637AA" w:rsidRDefault="00AB4CD9" w14:paraId="446FBA38" w14:textId="77777777">
      <w:pPr>
        <w:pStyle w:val="Heading2"/>
      </w:pPr>
      <w:r w:rsidRPr="004637AA">
        <w:t>10. Unified Inference Layer</w:t>
      </w:r>
    </w:p>
    <w:p w:rsidRPr="00AB4CD9" w:rsidR="00AB4CD9" w:rsidP="00AB4CD9" w:rsidRDefault="00AB4CD9" w14:paraId="0D47D3B5"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platform must support multiple inference runtimes under a unified serving layer to maximize compatibility across model formats, GPU architectures, and workload patterns.</w:t>
      </w:r>
    </w:p>
    <w:p w:rsidRPr="00AB4CD9" w:rsidR="00AB4CD9" w:rsidP="00AB4CD9" w:rsidRDefault="00AB4CD9" w14:paraId="179186AC"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Initial required runtimes are:</w:t>
      </w:r>
    </w:p>
    <w:p w:rsidRPr="004637AA" w:rsidR="004637AA" w:rsidP="004637AA" w:rsidRDefault="004637AA" w14:paraId="30204240" w14:textId="22580B2D">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NVIDIA NIM</w:t>
      </w:r>
      <w:r>
        <w:rPr>
          <w:rFonts w:ascii="Times New Roman" w:hAnsi="Times New Roman" w:eastAsia="Times New Roman" w:cs="Times New Roman"/>
          <w:kern w:val="0"/>
          <w14:ligatures w14:val="none"/>
        </w:rPr>
        <w:t xml:space="preserve"> (Models only)</w:t>
      </w:r>
    </w:p>
    <w:p w:rsidRPr="00AB4CD9" w:rsidR="00AB4CD9" w:rsidP="00AB4CD9" w:rsidRDefault="004637AA" w14:paraId="44E825A3" w14:textId="609A4F70">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14:ligatures w14:val="none"/>
        </w:rPr>
        <w:t>v</w:t>
      </w:r>
      <w:r w:rsidRPr="00AB4CD9" w:rsidR="00AB4CD9">
        <w:rPr>
          <w:rFonts w:ascii="Times New Roman" w:hAnsi="Times New Roman" w:eastAsia="Times New Roman" w:cs="Times New Roman"/>
          <w:kern w:val="0"/>
          <w14:ligatures w14:val="none"/>
        </w:rPr>
        <w:t>LLM</w:t>
      </w:r>
      <w:proofErr w:type="spellEnd"/>
    </w:p>
    <w:p w:rsidRPr="00AB4CD9" w:rsidR="00AB4CD9" w:rsidP="00AB4CD9" w:rsidRDefault="00AB4CD9" w14:paraId="18F8BE0D" w14:textId="77777777">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proofErr w:type="spellStart"/>
      <w:r w:rsidRPr="00AB4CD9">
        <w:rPr>
          <w:rFonts w:ascii="Times New Roman" w:hAnsi="Times New Roman" w:eastAsia="Times New Roman" w:cs="Times New Roman"/>
          <w:kern w:val="0"/>
          <w14:ligatures w14:val="none"/>
        </w:rPr>
        <w:t>TensorRT</w:t>
      </w:r>
      <w:proofErr w:type="spellEnd"/>
      <w:r w:rsidRPr="00AB4CD9">
        <w:rPr>
          <w:rFonts w:ascii="Times New Roman" w:hAnsi="Times New Roman" w:eastAsia="Times New Roman" w:cs="Times New Roman"/>
          <w:kern w:val="0"/>
          <w14:ligatures w14:val="none"/>
        </w:rPr>
        <w:t>-LLM</w:t>
      </w:r>
    </w:p>
    <w:p w:rsidRPr="00AB4CD9" w:rsidR="00AB4CD9" w:rsidP="00AB4CD9" w:rsidRDefault="00AB4CD9" w14:paraId="199FB86A" w14:textId="77777777">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proofErr w:type="spellStart"/>
      <w:r w:rsidRPr="00AB4CD9">
        <w:rPr>
          <w:rFonts w:ascii="Times New Roman" w:hAnsi="Times New Roman" w:eastAsia="Times New Roman" w:cs="Times New Roman"/>
          <w:kern w:val="0"/>
          <w14:ligatures w14:val="none"/>
        </w:rPr>
        <w:t>SGLang</w:t>
      </w:r>
      <w:proofErr w:type="spellEnd"/>
    </w:p>
    <w:p w:rsidRPr="00AB4CD9" w:rsidR="00AB4CD9" w:rsidP="00AB4CD9" w:rsidRDefault="00AB4CD9" w14:paraId="0636D419"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Runtime diversity is necessary because no single engine provides the best balance of model coverage, latency, throughput, memory efficiency, and vendor support across all deployment environments.</w:t>
      </w:r>
    </w:p>
    <w:p w:rsidRPr="00AB4CD9" w:rsidR="00AB4CD9" w:rsidP="00AB4CD9" w:rsidRDefault="00AB4CD9" w14:paraId="007381A7"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All engines must integrate through a </w:t>
      </w:r>
      <w:r w:rsidRPr="00AB4CD9">
        <w:rPr>
          <w:rFonts w:ascii="Times New Roman" w:hAnsi="Times New Roman" w:eastAsia="Times New Roman" w:cs="Times New Roman"/>
          <w:b/>
          <w:bCs/>
          <w:kern w:val="0"/>
          <w14:ligatures w14:val="none"/>
        </w:rPr>
        <w:t>Unified Engine Interface (UEI)</w:t>
      </w:r>
      <w:r w:rsidRPr="00AB4CD9">
        <w:rPr>
          <w:rFonts w:ascii="Times New Roman" w:hAnsi="Times New Roman" w:eastAsia="Times New Roman" w:cs="Times New Roman"/>
          <w:kern w:val="0"/>
          <w14:ligatures w14:val="none"/>
        </w:rPr>
        <w:t xml:space="preserve">. The UEI standardizes model loading and unloading, inference execution, adapter and </w:t>
      </w:r>
      <w:proofErr w:type="spellStart"/>
      <w:r w:rsidRPr="00AB4CD9">
        <w:rPr>
          <w:rFonts w:ascii="Times New Roman" w:hAnsi="Times New Roman" w:eastAsia="Times New Roman" w:cs="Times New Roman"/>
          <w:kern w:val="0"/>
          <w14:ligatures w14:val="none"/>
        </w:rPr>
        <w:t>LoRA</w:t>
      </w:r>
      <w:proofErr w:type="spellEnd"/>
      <w:r w:rsidRPr="00AB4CD9">
        <w:rPr>
          <w:rFonts w:ascii="Times New Roman" w:hAnsi="Times New Roman" w:eastAsia="Times New Roman" w:cs="Times New Roman"/>
          <w:kern w:val="0"/>
          <w14:ligatures w14:val="none"/>
        </w:rPr>
        <w:t xml:space="preserve"> lifecycle operations, health checks, capability discovery, telemetry, and runtime metadata.</w:t>
      </w:r>
    </w:p>
    <w:p w:rsidRPr="00AB4CD9" w:rsidR="00AB4CD9" w:rsidP="00AB4CD9" w:rsidRDefault="00AB4CD9" w14:paraId="6A418A7B"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This abstraction protects the platform API from engine-specific behavior and allows routing, observability, and control-plane features to operate consistently regardless of backend choice.</w:t>
      </w:r>
    </w:p>
    <w:p w:rsidRPr="00AB4CD9" w:rsidR="00AB4CD9" w:rsidP="004637AA" w:rsidRDefault="00AB4CD9" w14:paraId="6F6A6DF8" w14:textId="77777777">
      <w:pPr>
        <w:pStyle w:val="Heading3"/>
        <w:rPr>
          <w:rFonts w:eastAsia="Times New Roman"/>
        </w:rPr>
      </w:pPr>
      <w:r w:rsidRPr="00AB4CD9">
        <w:rPr>
          <w:rFonts w:eastAsia="Times New Roman"/>
        </w:rPr>
        <w:t>10.1 Unified Engine Interface Requirements</w:t>
      </w:r>
    </w:p>
    <w:p w:rsidRPr="00AB4CD9" w:rsidR="00AB4CD9" w:rsidP="00AB4CD9" w:rsidRDefault="00AB4CD9" w14:paraId="6109ADDD" w14:textId="77777777">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Consistent lifecycle operations for model load, unload, warmup, pause, and drain</w:t>
      </w:r>
    </w:p>
    <w:p w:rsidRPr="00AB4CD9" w:rsidR="00AB4CD9" w:rsidP="00AB4CD9" w:rsidRDefault="00AB4CD9" w14:paraId="4B5FF158" w14:textId="77777777">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Uniform inference contract for streaming and non-streaming requests, token usage reporting, and structured error handling</w:t>
      </w:r>
    </w:p>
    <w:p w:rsidRPr="00AB4CD9" w:rsidR="00AB4CD9" w:rsidP="00AB4CD9" w:rsidRDefault="00AB4CD9" w14:paraId="3ABA92B0" w14:textId="77777777">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proofErr w:type="spellStart"/>
      <w:r w:rsidRPr="00AB4CD9">
        <w:rPr>
          <w:rFonts w:ascii="Times New Roman" w:hAnsi="Times New Roman" w:eastAsia="Times New Roman" w:cs="Times New Roman"/>
          <w:kern w:val="0"/>
          <w14:ligatures w14:val="none"/>
        </w:rPr>
        <w:t>LoRA</w:t>
      </w:r>
      <w:proofErr w:type="spellEnd"/>
      <w:r w:rsidRPr="00AB4CD9">
        <w:rPr>
          <w:rFonts w:ascii="Times New Roman" w:hAnsi="Times New Roman" w:eastAsia="Times New Roman" w:cs="Times New Roman"/>
          <w:kern w:val="0"/>
          <w14:ligatures w14:val="none"/>
        </w:rPr>
        <w:t xml:space="preserve"> and adapter management APIs, including attach, detach, validate, and capability discovery</w:t>
      </w:r>
    </w:p>
    <w:p w:rsidRPr="00AB4CD9" w:rsidR="00AB4CD9" w:rsidP="00AB4CD9" w:rsidRDefault="00AB4CD9" w14:paraId="229A3BFC" w14:textId="77777777">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Health check endpoints for readiness, liveness, dependency validation, and degraded-state reporting</w:t>
      </w:r>
    </w:p>
    <w:p w:rsidRPr="00AB4CD9" w:rsidR="00AB4CD9" w:rsidP="00AB4CD9" w:rsidRDefault="00AB4CD9" w14:paraId="11FC086B" w14:textId="77777777">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Metrics exposure covering TTFT, ITL, tokens per second, queue depth, batch size, cache utilization, GPU memory pressure, and engine-specific counters</w:t>
      </w:r>
    </w:p>
    <w:p w:rsidRPr="00AB4CD9" w:rsidR="00AB4CD9" w:rsidP="00AB4CD9" w:rsidRDefault="00AB4CD9" w14:paraId="0CDBAA7F" w14:textId="77777777">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Capability discovery covering quantization modes, context length, </w:t>
      </w:r>
      <w:proofErr w:type="spellStart"/>
      <w:r w:rsidRPr="00AB4CD9">
        <w:rPr>
          <w:rFonts w:ascii="Times New Roman" w:hAnsi="Times New Roman" w:eastAsia="Times New Roman" w:cs="Times New Roman"/>
          <w:kern w:val="0"/>
          <w14:ligatures w14:val="none"/>
        </w:rPr>
        <w:t>LoRA</w:t>
      </w:r>
      <w:proofErr w:type="spellEnd"/>
      <w:r w:rsidRPr="00AB4CD9">
        <w:rPr>
          <w:rFonts w:ascii="Times New Roman" w:hAnsi="Times New Roman" w:eastAsia="Times New Roman" w:cs="Times New Roman"/>
          <w:kern w:val="0"/>
          <w14:ligatures w14:val="none"/>
        </w:rPr>
        <w:t xml:space="preserve"> support, hardware compatibility, and optimization features</w:t>
      </w:r>
    </w:p>
    <w:p w:rsidRPr="00AB4CD9" w:rsidR="00AB4CD9" w:rsidP="004637AA" w:rsidRDefault="00AB4CD9" w14:paraId="62287166" w14:textId="77777777">
      <w:pPr>
        <w:pStyle w:val="Heading3"/>
        <w:rPr>
          <w:rFonts w:eastAsia="Times New Roman"/>
        </w:rPr>
      </w:pPr>
      <w:r w:rsidRPr="00AB4CD9">
        <w:rPr>
          <w:rFonts w:eastAsia="Times New Roman"/>
        </w:rPr>
        <w:t>10.2 Dynamic Model Management</w:t>
      </w:r>
    </w:p>
    <w:p w:rsidRPr="00AB4CD9" w:rsidR="00AB4CD9" w:rsidP="00AB4CD9" w:rsidRDefault="00AB4CD9" w14:paraId="449336CA"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The serving layer must support dynamic model loading and unloading across engines </w:t>
      </w:r>
      <w:proofErr w:type="gramStart"/>
      <w:r w:rsidRPr="00AB4CD9">
        <w:rPr>
          <w:rFonts w:ascii="Times New Roman" w:hAnsi="Times New Roman" w:eastAsia="Times New Roman" w:cs="Times New Roman"/>
          <w:kern w:val="0"/>
          <w14:ligatures w14:val="none"/>
        </w:rPr>
        <w:t>in order to</w:t>
      </w:r>
      <w:proofErr w:type="gramEnd"/>
      <w:r w:rsidRPr="00AB4CD9">
        <w:rPr>
          <w:rFonts w:ascii="Times New Roman" w:hAnsi="Times New Roman" w:eastAsia="Times New Roman" w:cs="Times New Roman"/>
          <w:kern w:val="0"/>
          <w14:ligatures w14:val="none"/>
        </w:rPr>
        <w:t xml:space="preserve"> balance memory constraints, demand bursts, and tenant isolation requirements.</w:t>
      </w:r>
    </w:p>
    <w:p w:rsidRPr="00AB4CD9" w:rsidR="00AB4CD9" w:rsidP="00AB4CD9" w:rsidRDefault="00AB4CD9" w14:paraId="2DEA469E" w14:textId="2991137F">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control plane should be able to stage models proactively, reclaim resources from idle deployments, and coordinate warm pools for high-priority models. Dynamic management is essential for multi-tenant economics and broad catalog support.</w:t>
      </w:r>
    </w:p>
    <w:p w:rsidRPr="00AB4CD9" w:rsidR="00AB4CD9" w:rsidP="00037ECC" w:rsidRDefault="00AB4CD9" w14:paraId="0FA3E5BB" w14:textId="77777777">
      <w:pPr>
        <w:pStyle w:val="Heading2"/>
        <w:rPr>
          <w:rFonts w:eastAsia="Times New Roman"/>
        </w:rPr>
      </w:pPr>
      <w:r w:rsidRPr="00AB4CD9">
        <w:rPr>
          <w:rFonts w:eastAsia="Times New Roman"/>
        </w:rPr>
        <w:t>11. Inference Optimization and Performance Engineering</w:t>
      </w:r>
    </w:p>
    <w:p w:rsidRPr="00AB4CD9" w:rsidR="00AB4CD9" w:rsidP="00AB4CD9" w:rsidRDefault="00AB4CD9" w14:paraId="1DB0F19B"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Inference optimization is a platform capability, not only a runtime concern. The optimization layer must work with the routing system and supported engines to reduce latency, improve throughput, and lower cost per request across both steady-state and bursty traffic patterns.</w:t>
      </w:r>
    </w:p>
    <w:p w:rsidRPr="00AB4CD9" w:rsidR="00AB4CD9" w:rsidP="004637AA" w:rsidRDefault="00AB4CD9" w14:paraId="28318367" w14:textId="77777777">
      <w:pPr>
        <w:pStyle w:val="Heading3"/>
        <w:rPr>
          <w:rFonts w:eastAsia="Times New Roman"/>
        </w:rPr>
      </w:pPr>
      <w:r w:rsidRPr="00AB4CD9">
        <w:rPr>
          <w:rFonts w:eastAsia="Times New Roman"/>
        </w:rPr>
        <w:t>11.1 Required Optimization Capabilities</w:t>
      </w:r>
    </w:p>
    <w:p w:rsidRPr="00AB4CD9" w:rsidR="00AB4CD9" w:rsidP="00AB4CD9" w:rsidRDefault="00AB4CD9" w14:paraId="0E8AD3D2" w14:textId="77777777">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Prompt caching, retrieval caching, and reuse mechanisms</w:t>
      </w:r>
    </w:p>
    <w:p w:rsidRPr="00AB4CD9" w:rsidR="00AB4CD9" w:rsidP="00AB4CD9" w:rsidRDefault="00AB4CD9" w14:paraId="7EECEB1D" w14:textId="77777777">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Speculative decoding and related acceleration techniques where supported</w:t>
      </w:r>
    </w:p>
    <w:p w:rsidRPr="00AB4CD9" w:rsidR="00AB4CD9" w:rsidP="00AB4CD9" w:rsidRDefault="00AB4CD9" w14:paraId="6204B0D8" w14:textId="77777777">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REFRAG-style context compression, KV memory reuse, and long-context optimization</w:t>
      </w:r>
    </w:p>
    <w:p w:rsidRPr="00AB4CD9" w:rsidR="00AB4CD9" w:rsidP="00AB4CD9" w:rsidRDefault="00AB4CD9" w14:paraId="69012B4D" w14:textId="77777777">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Continuous batching and scheduling improvements for high concurrency</w:t>
      </w:r>
    </w:p>
    <w:p w:rsidRPr="00AB4CD9" w:rsidR="00AB4CD9" w:rsidP="00AB4CD9" w:rsidRDefault="00AB4CD9" w14:paraId="6CE72B32" w14:textId="77777777">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Paged KV cache and memory management techniques to reduce fragmentation</w:t>
      </w:r>
    </w:p>
    <w:p w:rsidRPr="00AB4CD9" w:rsidR="00AB4CD9" w:rsidP="00AB4CD9" w:rsidRDefault="00AB4CD9" w14:paraId="7B711186" w14:textId="77777777">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CUDA-level optimizations such as </w:t>
      </w:r>
      <w:proofErr w:type="spellStart"/>
      <w:r w:rsidRPr="00AB4CD9">
        <w:rPr>
          <w:rFonts w:ascii="Times New Roman" w:hAnsi="Times New Roman" w:eastAsia="Times New Roman" w:cs="Times New Roman"/>
          <w:kern w:val="0"/>
          <w14:ligatures w14:val="none"/>
        </w:rPr>
        <w:t>FlashAttention</w:t>
      </w:r>
      <w:proofErr w:type="spellEnd"/>
      <w:r w:rsidRPr="00AB4CD9">
        <w:rPr>
          <w:rFonts w:ascii="Times New Roman" w:hAnsi="Times New Roman" w:eastAsia="Times New Roman" w:cs="Times New Roman"/>
          <w:kern w:val="0"/>
          <w14:ligatures w14:val="none"/>
        </w:rPr>
        <w:t>, fused kernels, and vendor-specific acceleration paths</w:t>
      </w:r>
    </w:p>
    <w:p w:rsidRPr="00AB4CD9" w:rsidR="00AB4CD9" w:rsidP="00AB4CD9" w:rsidRDefault="00AB4CD9" w14:paraId="3BBA4554" w14:textId="77777777">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Benchmarking harnesses and regression tests to validate impact on real platform outcomes</w:t>
      </w:r>
    </w:p>
    <w:p w:rsidRPr="00AB4CD9" w:rsidR="00AB4CD9" w:rsidP="004637AA" w:rsidRDefault="00AB4CD9" w14:paraId="740286E6" w14:textId="77777777">
      <w:pPr>
        <w:pStyle w:val="Heading3"/>
        <w:rPr>
          <w:rFonts w:eastAsia="Times New Roman"/>
        </w:rPr>
      </w:pPr>
      <w:r w:rsidRPr="00AB4CD9">
        <w:rPr>
          <w:rFonts w:eastAsia="Times New Roman"/>
        </w:rPr>
        <w:t>11.2 Platform Performance Targets</w:t>
      </w:r>
    </w:p>
    <w:tbl>
      <w:tblPr>
        <w:tblStyle w:val="PlainTable4"/>
        <w:tblW w:w="0" w:type="auto"/>
        <w:tblLook w:val="04A0" w:firstRow="1" w:lastRow="0" w:firstColumn="1" w:lastColumn="0" w:noHBand="0" w:noVBand="1"/>
      </w:tblPr>
      <w:tblGrid>
        <w:gridCol w:w="2381"/>
        <w:gridCol w:w="2259"/>
        <w:gridCol w:w="4720"/>
      </w:tblGrid>
      <w:tr w:rsidRPr="00AB4CD9" w:rsidR="00AB4CD9" w:rsidTr="00921DBE" w14:paraId="23C9C84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CD9" w:rsidR="00AB4CD9" w:rsidP="00AB4CD9" w:rsidRDefault="00AB4CD9" w14:paraId="1FFE082A" w14:textId="77777777">
            <w:pPr>
              <w:jc w:val="center"/>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Metric</w:t>
            </w:r>
          </w:p>
        </w:tc>
        <w:tc>
          <w:tcPr>
            <w:tcW w:w="0" w:type="auto"/>
            <w:hideMark/>
          </w:tcPr>
          <w:p w:rsidRPr="00AB4CD9" w:rsidR="00AB4CD9" w:rsidP="00AB4CD9" w:rsidRDefault="00AB4CD9" w14:paraId="6F8BE83B" w14:textId="77777777">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Target</w:t>
            </w:r>
          </w:p>
        </w:tc>
        <w:tc>
          <w:tcPr>
            <w:tcW w:w="0" w:type="auto"/>
            <w:hideMark/>
          </w:tcPr>
          <w:p w:rsidRPr="00AB4CD9" w:rsidR="00AB4CD9" w:rsidP="00AB4CD9" w:rsidRDefault="00AB4CD9" w14:paraId="65590961"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Notes</w:t>
            </w:r>
          </w:p>
        </w:tc>
      </w:tr>
      <w:tr w:rsidRPr="00AB4CD9" w:rsidR="00AB4CD9" w:rsidTr="00921DBE" w14:paraId="094053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CD9" w:rsidR="00AB4CD9" w:rsidP="00AB4CD9" w:rsidRDefault="00AB4CD9" w14:paraId="0F15E155" w14:textId="77777777">
            <w:pPr>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Time to First Token (P95)</w:t>
            </w:r>
          </w:p>
        </w:tc>
        <w:tc>
          <w:tcPr>
            <w:tcW w:w="0" w:type="auto"/>
            <w:hideMark/>
          </w:tcPr>
          <w:p w:rsidRPr="00AB4CD9" w:rsidR="00AB4CD9" w:rsidP="00AB4CD9" w:rsidRDefault="00AB4CD9" w14:paraId="55722590" w14:textId="7777777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&lt; 200 </w:t>
            </w:r>
            <w:proofErr w:type="spellStart"/>
            <w:r w:rsidRPr="00AB4CD9">
              <w:rPr>
                <w:rFonts w:ascii="Times New Roman" w:hAnsi="Times New Roman" w:eastAsia="Times New Roman" w:cs="Times New Roman"/>
                <w:kern w:val="0"/>
                <w14:ligatures w14:val="none"/>
              </w:rPr>
              <w:t>ms</w:t>
            </w:r>
            <w:proofErr w:type="spellEnd"/>
          </w:p>
        </w:tc>
        <w:tc>
          <w:tcPr>
            <w:tcW w:w="0" w:type="auto"/>
            <w:hideMark/>
          </w:tcPr>
          <w:p w:rsidRPr="00AB4CD9" w:rsidR="00AB4CD9" w:rsidP="00AB4CD9" w:rsidRDefault="00AB4CD9" w14:paraId="1717DB2F"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For cached and warmed models under standard serving conditions</w:t>
            </w:r>
          </w:p>
        </w:tc>
      </w:tr>
      <w:tr w:rsidRPr="00AB4CD9" w:rsidR="00AB4CD9" w:rsidTr="00921DBE" w14:paraId="5CAC561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CD9" w:rsidR="00AB4CD9" w:rsidP="00AB4CD9" w:rsidRDefault="00AB4CD9" w14:paraId="03D7A14B" w14:textId="77777777">
            <w:pPr>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Inter-Token Latency (P95)</w:t>
            </w:r>
          </w:p>
        </w:tc>
        <w:tc>
          <w:tcPr>
            <w:tcW w:w="0" w:type="auto"/>
            <w:hideMark/>
          </w:tcPr>
          <w:p w:rsidRPr="00AB4CD9" w:rsidR="00AB4CD9" w:rsidP="00AB4CD9" w:rsidRDefault="00AB4CD9" w14:paraId="0253749F"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&lt; 30 </w:t>
            </w:r>
            <w:proofErr w:type="spellStart"/>
            <w:r w:rsidRPr="00AB4CD9">
              <w:rPr>
                <w:rFonts w:ascii="Times New Roman" w:hAnsi="Times New Roman" w:eastAsia="Times New Roman" w:cs="Times New Roman"/>
                <w:kern w:val="0"/>
                <w14:ligatures w14:val="none"/>
              </w:rPr>
              <w:t>ms</w:t>
            </w:r>
            <w:proofErr w:type="spellEnd"/>
          </w:p>
        </w:tc>
        <w:tc>
          <w:tcPr>
            <w:tcW w:w="0" w:type="auto"/>
            <w:hideMark/>
          </w:tcPr>
          <w:p w:rsidRPr="00AB4CD9" w:rsidR="00AB4CD9" w:rsidP="00AB4CD9" w:rsidRDefault="00AB4CD9" w14:paraId="56AD97F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Measured on supported production runtimes</w:t>
            </w:r>
          </w:p>
        </w:tc>
      </w:tr>
      <w:tr w:rsidRPr="00AB4CD9" w:rsidR="00AB4CD9" w:rsidTr="00921DBE" w14:paraId="4C354B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CD9" w:rsidR="00AB4CD9" w:rsidP="00AB4CD9" w:rsidRDefault="00AB4CD9" w14:paraId="5A6ED1DF" w14:textId="77777777">
            <w:pPr>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Sustained throughput</w:t>
            </w:r>
          </w:p>
        </w:tc>
        <w:tc>
          <w:tcPr>
            <w:tcW w:w="0" w:type="auto"/>
            <w:hideMark/>
          </w:tcPr>
          <w:p w:rsidRPr="00AB4CD9" w:rsidR="00AB4CD9" w:rsidP="00AB4CD9" w:rsidRDefault="00AB4CD9" w14:paraId="68762FFA" w14:textId="7777777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&gt; 1,000 tokens/sec/GPU</w:t>
            </w:r>
          </w:p>
        </w:tc>
        <w:tc>
          <w:tcPr>
            <w:tcW w:w="0" w:type="auto"/>
            <w:hideMark/>
          </w:tcPr>
          <w:p w:rsidRPr="00AB4CD9" w:rsidR="00AB4CD9" w:rsidP="00AB4CD9" w:rsidRDefault="00AB4CD9" w14:paraId="191B6D1A"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Representative target for supported model classes</w:t>
            </w:r>
          </w:p>
        </w:tc>
      </w:tr>
      <w:tr w:rsidRPr="00AB4CD9" w:rsidR="00AB4CD9" w:rsidTr="00921DBE" w14:paraId="011A42A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CD9" w:rsidR="00AB4CD9" w:rsidP="00AB4CD9" w:rsidRDefault="00AB4CD9" w14:paraId="33A8AFCA" w14:textId="77777777">
            <w:pPr>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Concurrent requests</w:t>
            </w:r>
          </w:p>
        </w:tc>
        <w:tc>
          <w:tcPr>
            <w:tcW w:w="0" w:type="auto"/>
            <w:hideMark/>
          </w:tcPr>
          <w:p w:rsidRPr="00AB4CD9" w:rsidR="00AB4CD9" w:rsidP="00AB4CD9" w:rsidRDefault="00AB4CD9" w14:paraId="696CAF73"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24+ per GPU</w:t>
            </w:r>
          </w:p>
        </w:tc>
        <w:tc>
          <w:tcPr>
            <w:tcW w:w="0" w:type="auto"/>
            <w:hideMark/>
          </w:tcPr>
          <w:p w:rsidRPr="00AB4CD9" w:rsidR="00AB4CD9" w:rsidP="00AB4CD9" w:rsidRDefault="00AB4CD9" w14:paraId="0993AB2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Dependent on batching efficiency and model footprint</w:t>
            </w:r>
          </w:p>
        </w:tc>
      </w:tr>
      <w:tr w:rsidRPr="00AB4CD9" w:rsidR="00AB4CD9" w:rsidTr="00921DBE" w14:paraId="0393C6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CD9" w:rsidR="00AB4CD9" w:rsidP="00AB4CD9" w:rsidRDefault="00AB4CD9" w14:paraId="677CA735" w14:textId="77777777">
            <w:pPr>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GPU memory utilization</w:t>
            </w:r>
          </w:p>
        </w:tc>
        <w:tc>
          <w:tcPr>
            <w:tcW w:w="0" w:type="auto"/>
            <w:hideMark/>
          </w:tcPr>
          <w:p w:rsidRPr="00AB4CD9" w:rsidR="00AB4CD9" w:rsidP="00AB4CD9" w:rsidRDefault="00AB4CD9" w14:paraId="34279D95" w14:textId="7777777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&gt; 95%</w:t>
            </w:r>
          </w:p>
        </w:tc>
        <w:tc>
          <w:tcPr>
            <w:tcW w:w="0" w:type="auto"/>
            <w:hideMark/>
          </w:tcPr>
          <w:p w:rsidRPr="00AB4CD9" w:rsidR="00AB4CD9" w:rsidP="00AB4CD9" w:rsidRDefault="00AB4CD9" w14:paraId="6ED52FB3"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Achieved through scheduling and memory optimization</w:t>
            </w:r>
          </w:p>
        </w:tc>
      </w:tr>
      <w:tr w:rsidRPr="00AB4CD9" w:rsidR="00AB4CD9" w:rsidTr="00921DBE" w14:paraId="763AEEE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CD9" w:rsidR="00AB4CD9" w:rsidP="00AB4CD9" w:rsidRDefault="00AB4CD9" w14:paraId="572BAE46" w14:textId="77777777">
            <w:pPr>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Routing overhead (P99)</w:t>
            </w:r>
          </w:p>
        </w:tc>
        <w:tc>
          <w:tcPr>
            <w:tcW w:w="0" w:type="auto"/>
            <w:hideMark/>
          </w:tcPr>
          <w:p w:rsidRPr="00AB4CD9" w:rsidR="00AB4CD9" w:rsidP="00AB4CD9" w:rsidRDefault="00AB4CD9" w14:paraId="41C98AA5"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&lt; 10 </w:t>
            </w:r>
            <w:proofErr w:type="spellStart"/>
            <w:r w:rsidRPr="00AB4CD9">
              <w:rPr>
                <w:rFonts w:ascii="Times New Roman" w:hAnsi="Times New Roman" w:eastAsia="Times New Roman" w:cs="Times New Roman"/>
                <w:kern w:val="0"/>
                <w14:ligatures w14:val="none"/>
              </w:rPr>
              <w:t>ms</w:t>
            </w:r>
            <w:proofErr w:type="spellEnd"/>
          </w:p>
        </w:tc>
        <w:tc>
          <w:tcPr>
            <w:tcW w:w="0" w:type="auto"/>
            <w:hideMark/>
          </w:tcPr>
          <w:p w:rsidRPr="00AB4CD9" w:rsidR="00AB4CD9" w:rsidP="00AB4CD9" w:rsidRDefault="00AB4CD9" w14:paraId="6BD8C64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End-to-end gateway decision overhead</w:t>
            </w:r>
          </w:p>
        </w:tc>
      </w:tr>
    </w:tbl>
    <w:p w:rsidRPr="00AB4CD9" w:rsidR="00AB4CD9" w:rsidP="00AB4CD9" w:rsidRDefault="00AB4CD9" w14:paraId="4DEAEEDA" w14:textId="0AE59E8E">
      <w:pPr>
        <w:spacing w:after="0" w:line="240" w:lineRule="auto"/>
        <w:rPr>
          <w:rFonts w:ascii="Times New Roman" w:hAnsi="Times New Roman" w:eastAsia="Times New Roman" w:cs="Times New Roman"/>
          <w:kern w:val="0"/>
          <w14:ligatures w14:val="none"/>
        </w:rPr>
      </w:pPr>
    </w:p>
    <w:p w:rsidRPr="00AB4CD9" w:rsidR="00AB4CD9" w:rsidP="00037ECC" w:rsidRDefault="00AB4CD9" w14:paraId="48D9F531" w14:textId="77777777">
      <w:pPr>
        <w:pStyle w:val="Heading2"/>
        <w:rPr>
          <w:rFonts w:eastAsia="Times New Roman"/>
        </w:rPr>
      </w:pPr>
      <w:r w:rsidRPr="00AB4CD9">
        <w:rPr>
          <w:rFonts w:eastAsia="Times New Roman"/>
        </w:rPr>
        <w:t>12. Inference Gateway and Smart Routing</w:t>
      </w:r>
    </w:p>
    <w:p w:rsidRPr="00AB4CD9" w:rsidR="00AB4CD9" w:rsidP="00AB4CD9" w:rsidRDefault="00AB4CD9" w14:paraId="6CA02407"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Inference Gateway is responsible for directing incoming traffic to the optimal model, engine, and compute target.</w:t>
      </w:r>
    </w:p>
    <w:p w:rsidRPr="00AB4CD9" w:rsidR="00AB4CD9" w:rsidP="00AB4CD9" w:rsidRDefault="00AB4CD9" w14:paraId="56930878"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Routing decisions must account for:</w:t>
      </w:r>
    </w:p>
    <w:p w:rsidRPr="00AB4CD9" w:rsidR="00AB4CD9" w:rsidP="00AB4CD9" w:rsidRDefault="00AB4CD9" w14:paraId="61B8BB09" w14:textId="77777777">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compatibility,</w:t>
      </w:r>
    </w:p>
    <w:p w:rsidRPr="00AB4CD9" w:rsidR="00AB4CD9" w:rsidP="00AB4CD9" w:rsidRDefault="00AB4CD9" w14:paraId="06EC2123" w14:textId="77777777">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tenant policy,</w:t>
      </w:r>
    </w:p>
    <w:p w:rsidRPr="00AB4CD9" w:rsidR="00AB4CD9" w:rsidP="00AB4CD9" w:rsidRDefault="00AB4CD9" w14:paraId="2BBFFF87" w14:textId="77777777">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latency objectives,</w:t>
      </w:r>
    </w:p>
    <w:p w:rsidRPr="00AB4CD9" w:rsidR="00AB4CD9" w:rsidP="00AB4CD9" w:rsidRDefault="00AB4CD9" w14:paraId="7FBAA047" w14:textId="77777777">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model quality requirements,</w:t>
      </w:r>
    </w:p>
    <w:p w:rsidRPr="00AB4CD9" w:rsidR="00AB4CD9" w:rsidP="00AB4CD9" w:rsidRDefault="00AB4CD9" w14:paraId="35A3B383" w14:textId="77777777">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hardware availability,</w:t>
      </w:r>
    </w:p>
    <w:p w:rsidRPr="00AB4CD9" w:rsidR="00AB4CD9" w:rsidP="00AB4CD9" w:rsidRDefault="00AB4CD9" w14:paraId="642A7BD5" w14:textId="77777777">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and execution cost.</w:t>
      </w:r>
    </w:p>
    <w:p w:rsidRPr="00AB4CD9" w:rsidR="00AB4CD9" w:rsidP="00AB4CD9" w:rsidRDefault="00AB4CD9" w14:paraId="4CDD9303"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router should support explicit policies as well as intelligent defaults, enabling tenants to prioritize quality, cost, geography, latency, or hardware affinity depending on the use case.</w:t>
      </w:r>
    </w:p>
    <w:p w:rsidRPr="00AB4CD9" w:rsidR="00AB4CD9" w:rsidP="00AB4CD9" w:rsidRDefault="00AB4CD9" w14:paraId="6B5DC4DC"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Routing decisions must incorporate runtime capabilities discovered through the UEI, real-time capacity signals, and policy rules defined by platform operators or tenants. The gateway must also support fallback chains and failover behavior so requests can move to alternate engines or hardware pools when the preferred path is unavailable or degraded.</w:t>
      </w:r>
    </w:p>
    <w:p w:rsidRPr="00AB4CD9" w:rsidR="00AB4CD9" w:rsidP="004637AA" w:rsidRDefault="00AB4CD9" w14:paraId="075625E9" w14:textId="77777777">
      <w:pPr>
        <w:pStyle w:val="Heading3"/>
        <w:rPr>
          <w:rFonts w:eastAsia="Times New Roman"/>
        </w:rPr>
      </w:pPr>
      <w:r w:rsidRPr="00AB4CD9">
        <w:rPr>
          <w:rFonts w:eastAsia="Times New Roman"/>
        </w:rPr>
        <w:t>12.1 Routing Requirements</w:t>
      </w:r>
    </w:p>
    <w:p w:rsidRPr="00AB4CD9" w:rsidR="00AB4CD9" w:rsidP="00AB4CD9" w:rsidRDefault="00AB4CD9" w14:paraId="0EF90409" w14:textId="7418E06D">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Intelligent routing across </w:t>
      </w:r>
      <w:r w:rsidR="004637AA">
        <w:rPr>
          <w:rFonts w:ascii="Times New Roman" w:hAnsi="Times New Roman" w:eastAsia="Times New Roman" w:cs="Times New Roman"/>
          <w:kern w:val="0"/>
          <w14:ligatures w14:val="none"/>
        </w:rPr>
        <w:t xml:space="preserve">NIM, </w:t>
      </w:r>
      <w:proofErr w:type="spellStart"/>
      <w:r w:rsidRPr="00AB4CD9">
        <w:rPr>
          <w:rFonts w:ascii="Times New Roman" w:hAnsi="Times New Roman" w:eastAsia="Times New Roman" w:cs="Times New Roman"/>
          <w:kern w:val="0"/>
          <w14:ligatures w14:val="none"/>
        </w:rPr>
        <w:t>vLLM</w:t>
      </w:r>
      <w:proofErr w:type="spellEnd"/>
      <w:r w:rsidRPr="00AB4CD9">
        <w:rPr>
          <w:rFonts w:ascii="Times New Roman" w:hAnsi="Times New Roman" w:eastAsia="Times New Roman" w:cs="Times New Roman"/>
          <w:kern w:val="0"/>
          <w14:ligatures w14:val="none"/>
        </w:rPr>
        <w:t xml:space="preserve">, </w:t>
      </w:r>
      <w:proofErr w:type="spellStart"/>
      <w:r w:rsidRPr="00AB4CD9">
        <w:rPr>
          <w:rFonts w:ascii="Times New Roman" w:hAnsi="Times New Roman" w:eastAsia="Times New Roman" w:cs="Times New Roman"/>
          <w:kern w:val="0"/>
          <w14:ligatures w14:val="none"/>
        </w:rPr>
        <w:t>TensorRT</w:t>
      </w:r>
      <w:proofErr w:type="spellEnd"/>
      <w:r w:rsidRPr="00AB4CD9">
        <w:rPr>
          <w:rFonts w:ascii="Times New Roman" w:hAnsi="Times New Roman" w:eastAsia="Times New Roman" w:cs="Times New Roman"/>
          <w:kern w:val="0"/>
          <w14:ligatures w14:val="none"/>
        </w:rPr>
        <w:t xml:space="preserve">-LLM, </w:t>
      </w:r>
      <w:proofErr w:type="spellStart"/>
      <w:r w:rsidRPr="00AB4CD9">
        <w:rPr>
          <w:rFonts w:ascii="Times New Roman" w:hAnsi="Times New Roman" w:eastAsia="Times New Roman" w:cs="Times New Roman"/>
          <w:kern w:val="0"/>
          <w14:ligatures w14:val="none"/>
        </w:rPr>
        <w:t>SGLang</w:t>
      </w:r>
      <w:proofErr w:type="spellEnd"/>
      <w:r w:rsidRPr="00AB4CD9">
        <w:rPr>
          <w:rFonts w:ascii="Times New Roman" w:hAnsi="Times New Roman" w:eastAsia="Times New Roman" w:cs="Times New Roman"/>
          <w:kern w:val="0"/>
          <w14:ligatures w14:val="none"/>
        </w:rPr>
        <w:t>, and future UEI-integrated engines</w:t>
      </w:r>
    </w:p>
    <w:p w:rsidRPr="00AB4CD9" w:rsidR="00AB4CD9" w:rsidP="00AB4CD9" w:rsidRDefault="00AB4CD9" w14:paraId="021C7D14" w14:textId="77777777">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GPU-aware scheduling across NVIDIA, AMD, and Intel accelerator pools</w:t>
      </w:r>
    </w:p>
    <w:p w:rsidRPr="00AB4CD9" w:rsidR="00AB4CD9" w:rsidP="00AB4CD9" w:rsidRDefault="00AB4CD9" w14:paraId="19F71766" w14:textId="77777777">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CPU fallback for lightweight or cost-sensitive workloads where appropriate</w:t>
      </w:r>
    </w:p>
    <w:p w:rsidRPr="00AB4CD9" w:rsidR="00AB4CD9" w:rsidP="00AB4CD9" w:rsidRDefault="00AB4CD9" w14:paraId="37496133" w14:textId="77777777">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Tenant routing policies and SLA-aware controls for premium or dedicated workloads</w:t>
      </w:r>
    </w:p>
    <w:p w:rsidRPr="00AB4CD9" w:rsidR="00AB4CD9" w:rsidP="00AB4CD9" w:rsidRDefault="00AB4CD9" w14:paraId="1522B467" w14:textId="77777777">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Automatic fallback chains and graceful failover</w:t>
      </w:r>
    </w:p>
    <w:p w:rsidRPr="00AB4CD9" w:rsidR="00AB4CD9" w:rsidP="00AB4CD9" w:rsidRDefault="00AB4CD9" w14:paraId="6F6F82D8" w14:textId="77777777">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Minimal routing overhead with strong observability for decisions, failures, and policy hits</w:t>
      </w:r>
    </w:p>
    <w:p w:rsidRPr="00AB4CD9" w:rsidR="00AB4CD9" w:rsidP="00AB4CD9" w:rsidRDefault="00AB4CD9" w14:paraId="23FB97D9" w14:textId="26006303">
      <w:pPr>
        <w:spacing w:after="0" w:line="240" w:lineRule="auto"/>
        <w:rPr>
          <w:rFonts w:ascii="Times New Roman" w:hAnsi="Times New Roman" w:eastAsia="Times New Roman" w:cs="Times New Roman"/>
          <w:kern w:val="0"/>
          <w14:ligatures w14:val="none"/>
        </w:rPr>
      </w:pPr>
    </w:p>
    <w:p w:rsidRPr="00AB4CD9" w:rsidR="00AB4CD9" w:rsidP="00037ECC" w:rsidRDefault="00AB4CD9" w14:paraId="05FD3195" w14:textId="77777777">
      <w:pPr>
        <w:pStyle w:val="Heading2"/>
        <w:rPr>
          <w:rFonts w:eastAsia="Times New Roman"/>
        </w:rPr>
      </w:pPr>
      <w:r w:rsidRPr="00AB4CD9">
        <w:rPr>
          <w:rFonts w:eastAsia="Times New Roman"/>
        </w:rPr>
        <w:t>13. Fine-Tuning and Model Adaptation</w:t>
      </w:r>
    </w:p>
    <w:p w:rsidRPr="00AB4CD9" w:rsidR="00AB4CD9" w:rsidP="00AB4CD9" w:rsidRDefault="00AB4CD9" w14:paraId="5D63DB1F"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platform must provide a comprehensive fine-tuning framework so tenants can adapt foundation models to domain-specific tasks and data sets without leaving the platform.</w:t>
      </w:r>
    </w:p>
    <w:p w:rsidRPr="00AB4CD9" w:rsidR="00AB4CD9" w:rsidP="00AB4CD9" w:rsidRDefault="00AB4CD9" w14:paraId="5ADA24BA"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Fine-tuning workflows should integrate directly with the model registry, evaluation pipelines, governance controls, and deployment path.</w:t>
      </w:r>
    </w:p>
    <w:p w:rsidRPr="00AB4CD9" w:rsidR="00AB4CD9" w:rsidP="00AB4CD9" w:rsidRDefault="00AB4CD9" w14:paraId="7DBFE60F" w14:textId="1CEC7D08">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Supported methods </w:t>
      </w:r>
      <w:r w:rsidR="004637AA">
        <w:rPr>
          <w:rFonts w:ascii="Times New Roman" w:hAnsi="Times New Roman" w:eastAsia="Times New Roman" w:cs="Times New Roman"/>
          <w:kern w:val="0"/>
          <w14:ligatures w14:val="none"/>
        </w:rPr>
        <w:t>can</w:t>
      </w:r>
      <w:r w:rsidRPr="00AB4CD9">
        <w:rPr>
          <w:rFonts w:ascii="Times New Roman" w:hAnsi="Times New Roman" w:eastAsia="Times New Roman" w:cs="Times New Roman"/>
          <w:kern w:val="0"/>
          <w14:ligatures w14:val="none"/>
        </w:rPr>
        <w:t xml:space="preserve"> include:</w:t>
      </w:r>
    </w:p>
    <w:p w:rsidRPr="00AB4CD9" w:rsidR="00AB4CD9" w:rsidP="00AB4CD9" w:rsidRDefault="00AB4CD9" w14:paraId="45E9BC45"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SFT</w:t>
      </w:r>
    </w:p>
    <w:p w:rsidRPr="00AB4CD9" w:rsidR="00AB4CD9" w:rsidP="00AB4CD9" w:rsidRDefault="00AB4CD9" w14:paraId="32E86F6B"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DPO</w:t>
      </w:r>
    </w:p>
    <w:p w:rsidRPr="00AB4CD9" w:rsidR="00AB4CD9" w:rsidP="00AB4CD9" w:rsidRDefault="00AB4CD9" w14:paraId="1A07393C"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GRPO</w:t>
      </w:r>
    </w:p>
    <w:p w:rsidRPr="00AB4CD9" w:rsidR="00AB4CD9" w:rsidP="00AB4CD9" w:rsidRDefault="00AB4CD9" w14:paraId="222B72B6"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ORPO</w:t>
      </w:r>
    </w:p>
    <w:p w:rsidRPr="00AB4CD9" w:rsidR="00AB4CD9" w:rsidP="00AB4CD9" w:rsidRDefault="00AB4CD9" w14:paraId="77DC87A1"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KTO</w:t>
      </w:r>
    </w:p>
    <w:p w:rsidRPr="00AB4CD9" w:rsidR="00AB4CD9" w:rsidP="00AB4CD9" w:rsidRDefault="00AB4CD9" w14:paraId="624C31AF"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proofErr w:type="spellStart"/>
      <w:r w:rsidRPr="00AB4CD9">
        <w:rPr>
          <w:rFonts w:ascii="Times New Roman" w:hAnsi="Times New Roman" w:eastAsia="Times New Roman" w:cs="Times New Roman"/>
          <w:kern w:val="0"/>
          <w14:ligatures w14:val="none"/>
        </w:rPr>
        <w:t>SimPO</w:t>
      </w:r>
      <w:proofErr w:type="spellEnd"/>
    </w:p>
    <w:p w:rsidRPr="00AB4CD9" w:rsidR="00AB4CD9" w:rsidP="00AB4CD9" w:rsidRDefault="00AB4CD9" w14:paraId="201AECB4"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PPO</w:t>
      </w:r>
    </w:p>
    <w:p w:rsidRPr="00AB4CD9" w:rsidR="00AB4CD9" w:rsidP="00AB4CD9" w:rsidRDefault="00AB4CD9" w14:paraId="43F77EF8"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proofErr w:type="spellStart"/>
      <w:r w:rsidRPr="00AB4CD9">
        <w:rPr>
          <w:rFonts w:ascii="Times New Roman" w:hAnsi="Times New Roman" w:eastAsia="Times New Roman" w:cs="Times New Roman"/>
          <w:kern w:val="0"/>
          <w14:ligatures w14:val="none"/>
        </w:rPr>
        <w:t>LoRA</w:t>
      </w:r>
      <w:proofErr w:type="spellEnd"/>
    </w:p>
    <w:p w:rsidRPr="00AB4CD9" w:rsidR="00AB4CD9" w:rsidP="00AB4CD9" w:rsidRDefault="00AB4CD9" w14:paraId="08CED82C"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proofErr w:type="spellStart"/>
      <w:r w:rsidRPr="00AB4CD9">
        <w:rPr>
          <w:rFonts w:ascii="Times New Roman" w:hAnsi="Times New Roman" w:eastAsia="Times New Roman" w:cs="Times New Roman"/>
          <w:kern w:val="0"/>
          <w14:ligatures w14:val="none"/>
        </w:rPr>
        <w:t>QLoRA</w:t>
      </w:r>
      <w:proofErr w:type="spellEnd"/>
    </w:p>
    <w:p w:rsidRPr="00AB4CD9" w:rsidR="00AB4CD9" w:rsidP="00AB4CD9" w:rsidRDefault="00AB4CD9" w14:paraId="0247CEEE"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The system should support both parameter-efficient adaptation and heavier-weight training options where infrastructure permits. Training must operate across single-node and distributed configurations using frameworks such as </w:t>
      </w:r>
      <w:proofErr w:type="spellStart"/>
      <w:r w:rsidRPr="00AB4CD9">
        <w:rPr>
          <w:rFonts w:ascii="Times New Roman" w:hAnsi="Times New Roman" w:eastAsia="Times New Roman" w:cs="Times New Roman"/>
          <w:kern w:val="0"/>
          <w14:ligatures w14:val="none"/>
        </w:rPr>
        <w:t>DeepSpeed</w:t>
      </w:r>
      <w:proofErr w:type="spellEnd"/>
      <w:r w:rsidRPr="00AB4CD9">
        <w:rPr>
          <w:rFonts w:ascii="Times New Roman" w:hAnsi="Times New Roman" w:eastAsia="Times New Roman" w:cs="Times New Roman"/>
          <w:kern w:val="0"/>
          <w14:ligatures w14:val="none"/>
        </w:rPr>
        <w:t>, with appropriate controls for checkpointing, reproducibility, and promotion to production.</w:t>
      </w:r>
    </w:p>
    <w:p w:rsidRPr="00AB4CD9" w:rsidR="00AB4CD9" w:rsidP="00AB4CD9" w:rsidRDefault="00AB4CD9" w14:paraId="17DA23C1" w14:textId="2F71F80E">
      <w:pPr>
        <w:spacing w:after="0" w:line="240" w:lineRule="auto"/>
        <w:rPr>
          <w:rFonts w:ascii="Times New Roman" w:hAnsi="Times New Roman" w:eastAsia="Times New Roman" w:cs="Times New Roman"/>
          <w:kern w:val="0"/>
          <w14:ligatures w14:val="none"/>
        </w:rPr>
      </w:pPr>
    </w:p>
    <w:p w:rsidRPr="00AB4CD9" w:rsidR="00AB4CD9" w:rsidP="00037ECC" w:rsidRDefault="00AB4CD9" w14:paraId="269A6BCC" w14:textId="77777777">
      <w:pPr>
        <w:pStyle w:val="Heading2"/>
        <w:rPr>
          <w:rFonts w:eastAsia="Times New Roman"/>
        </w:rPr>
      </w:pPr>
      <w:r w:rsidRPr="00AB4CD9">
        <w:rPr>
          <w:rFonts w:eastAsia="Times New Roman"/>
        </w:rPr>
        <w:t>14. Developer Experience: APIs, SDKs, CLI, and Playground</w:t>
      </w:r>
    </w:p>
    <w:p w:rsidRPr="00AB4CD9" w:rsidR="00AB4CD9" w:rsidP="00AB4CD9" w:rsidRDefault="00AB4CD9" w14:paraId="0D2642EF"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Developer usability is central to adoption.</w:t>
      </w:r>
    </w:p>
    <w:p w:rsidRPr="00AB4CD9" w:rsidR="00AB4CD9" w:rsidP="00AB4CD9" w:rsidRDefault="00AB4CD9" w14:paraId="0FE28BCA"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platform must provide:</w:t>
      </w:r>
    </w:p>
    <w:p w:rsidRPr="00AB4CD9" w:rsidR="00AB4CD9" w:rsidP="00AB4CD9" w:rsidRDefault="00AB4CD9" w14:paraId="01198A5F" w14:textId="77777777">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an official Python SDK,</w:t>
      </w:r>
    </w:p>
    <w:p w:rsidRPr="00AB4CD9" w:rsidR="00AB4CD9" w:rsidP="00AB4CD9" w:rsidRDefault="00AB4CD9" w14:paraId="4BDE04A6" w14:textId="77777777">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 JavaScript/TypeScript SDK,</w:t>
      </w:r>
    </w:p>
    <w:p w:rsidRPr="00AB4CD9" w:rsidR="00AB4CD9" w:rsidP="00AB4CD9" w:rsidRDefault="00AB4CD9" w14:paraId="1F653F9B" w14:textId="77777777">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 CLI,</w:t>
      </w:r>
    </w:p>
    <w:p w:rsidRPr="00AB4CD9" w:rsidR="00AB4CD9" w:rsidP="00AB4CD9" w:rsidRDefault="00AB4CD9" w14:paraId="0A45E073" w14:textId="77777777">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and an interactive model playground.</w:t>
      </w:r>
    </w:p>
    <w:p w:rsidRPr="00AB4CD9" w:rsidR="00AB4CD9" w:rsidP="00AB4CD9" w:rsidRDefault="00AB4CD9" w14:paraId="35C045AA"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These interfaces must wrap the platform APIs consistently, including authentication, tenant context, streaming responses, retries, and typed request/response handling.</w:t>
      </w:r>
    </w:p>
    <w:p w:rsidRPr="00AB4CD9" w:rsidR="00AB4CD9" w:rsidP="00AB4CD9" w:rsidRDefault="00AB4CD9" w14:paraId="2C3D52D7"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 CLI must expose common workflows such as:</w:t>
      </w:r>
    </w:p>
    <w:p w:rsidRPr="00AB4CD9" w:rsidR="00AB4CD9" w:rsidP="00AB4CD9" w:rsidRDefault="00AB4CD9" w14:paraId="479FD1E7" w14:textId="77777777">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inference requests,</w:t>
      </w:r>
    </w:p>
    <w:p w:rsidRPr="00AB4CD9" w:rsidR="00AB4CD9" w:rsidP="00AB4CD9" w:rsidRDefault="00AB4CD9" w14:paraId="594475EA" w14:textId="77777777">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model deployment,</w:t>
      </w:r>
    </w:p>
    <w:p w:rsidRPr="00AB4CD9" w:rsidR="00AB4CD9" w:rsidP="00AB4CD9" w:rsidRDefault="00AB4CD9" w14:paraId="326C7A89" w14:textId="77777777">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training job management,</w:t>
      </w:r>
    </w:p>
    <w:p w:rsidRPr="00AB4CD9" w:rsidR="00AB4CD9" w:rsidP="00AB4CD9" w:rsidRDefault="00AB4CD9" w14:paraId="06A59C29" w14:textId="77777777">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adapter promotion,</w:t>
      </w:r>
    </w:p>
    <w:p w:rsidRPr="00AB4CD9" w:rsidR="00AB4CD9" w:rsidP="00AB4CD9" w:rsidRDefault="00AB4CD9" w14:paraId="1A6481D3" w14:textId="77777777">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routing policy inspection,</w:t>
      </w:r>
    </w:p>
    <w:p w:rsidRPr="00AB4CD9" w:rsidR="00AB4CD9" w:rsidP="00AB4CD9" w:rsidRDefault="00AB4CD9" w14:paraId="1CD54695" w14:textId="77777777">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and environment configuration.</w:t>
      </w:r>
    </w:p>
    <w:p w:rsidRPr="00AB4CD9" w:rsidR="00AB4CD9" w:rsidP="00AB4CD9" w:rsidRDefault="00AB4CD9" w14:paraId="3D018E2E"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An interactive model playground should provide a Fireworks-style experimentation experience. Users must be able to select models, configure inference parameters, test prompts, stream responses, compare outputs, and inspect latency and token metrics in real time.</w:t>
      </w:r>
    </w:p>
    <w:p w:rsidRPr="00AB4CD9" w:rsidR="00AB4CD9" w:rsidP="004637AA" w:rsidRDefault="00AB4CD9" w14:paraId="7FB8628F" w14:textId="77777777">
      <w:pPr>
        <w:pStyle w:val="Heading3"/>
        <w:rPr>
          <w:rFonts w:eastAsia="Times New Roman"/>
        </w:rPr>
      </w:pPr>
      <w:r w:rsidRPr="00AB4CD9">
        <w:rPr>
          <w:rFonts w:eastAsia="Times New Roman"/>
        </w:rPr>
        <w:t>14.1 API Surface Requirements</w:t>
      </w:r>
    </w:p>
    <w:p w:rsidRPr="00AB4CD9" w:rsidR="00AB4CD9" w:rsidP="00AB4CD9" w:rsidRDefault="00AB4CD9" w14:paraId="5FA9FEB5" w14:textId="77777777">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OpenAI-compatible REST endpoints for core inference workflows</w:t>
      </w:r>
    </w:p>
    <w:p w:rsidRPr="00AB4CD9" w:rsidR="00AB4CD9" w:rsidP="00AB4CD9" w:rsidRDefault="00AB4CD9" w14:paraId="179D6236" w14:textId="77777777">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Optional </w:t>
      </w:r>
      <w:proofErr w:type="spellStart"/>
      <w:r w:rsidRPr="00AB4CD9">
        <w:rPr>
          <w:rFonts w:ascii="Times New Roman" w:hAnsi="Times New Roman" w:eastAsia="Times New Roman" w:cs="Times New Roman"/>
          <w:kern w:val="0"/>
          <w14:ligatures w14:val="none"/>
        </w:rPr>
        <w:t>gRPC</w:t>
      </w:r>
      <w:proofErr w:type="spellEnd"/>
      <w:r w:rsidRPr="00AB4CD9">
        <w:rPr>
          <w:rFonts w:ascii="Times New Roman" w:hAnsi="Times New Roman" w:eastAsia="Times New Roman" w:cs="Times New Roman"/>
          <w:kern w:val="0"/>
          <w14:ligatures w14:val="none"/>
        </w:rPr>
        <w:t xml:space="preserve"> surfaces for high-performance internal or enterprise integrations</w:t>
      </w:r>
    </w:p>
    <w:p w:rsidRPr="00AB4CD9" w:rsidR="00AB4CD9" w:rsidP="00AB4CD9" w:rsidRDefault="00AB4CD9" w14:paraId="0BCD8025" w14:textId="77777777">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Request validation, schema enforcement, and consistent error semantics across runtimes</w:t>
      </w:r>
    </w:p>
    <w:p w:rsidRPr="00AB4CD9" w:rsidR="00AB4CD9" w:rsidP="00AB4CD9" w:rsidRDefault="00AB4CD9" w14:paraId="65B9CCB4" w14:textId="77777777">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Support for streaming and non-streaming responses</w:t>
      </w:r>
    </w:p>
    <w:p w:rsidRPr="00AB4CD9" w:rsidR="00AB4CD9" w:rsidP="00AB4CD9" w:rsidRDefault="00AB4CD9" w14:paraId="23EEF740" w14:textId="77777777">
      <w:pPr>
        <w:numPr>
          <w:ilvl w:val="0"/>
          <w:numId w:val="11"/>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Full compatibility across APIs, SDKs, CLI tooling, and platform UI</w:t>
      </w:r>
    </w:p>
    <w:p w:rsidRPr="00AB4CD9" w:rsidR="00AB4CD9" w:rsidP="00AB4CD9" w:rsidRDefault="00AB4CD9" w14:paraId="21900E45" w14:textId="7C3899DC">
      <w:pPr>
        <w:spacing w:after="0" w:line="240" w:lineRule="auto"/>
        <w:rPr>
          <w:rFonts w:ascii="Times New Roman" w:hAnsi="Times New Roman" w:eastAsia="Times New Roman" w:cs="Times New Roman"/>
          <w:kern w:val="0"/>
          <w14:ligatures w14:val="none"/>
        </w:rPr>
      </w:pPr>
    </w:p>
    <w:p w:rsidRPr="00AB4CD9" w:rsidR="00AB4CD9" w:rsidP="00037ECC" w:rsidRDefault="00AB4CD9" w14:paraId="2E803380" w14:textId="77777777">
      <w:pPr>
        <w:pStyle w:val="Heading2"/>
        <w:rPr>
          <w:rFonts w:eastAsia="Times New Roman"/>
        </w:rPr>
      </w:pPr>
      <w:r w:rsidRPr="00AB4CD9">
        <w:rPr>
          <w:rFonts w:eastAsia="Times New Roman"/>
        </w:rPr>
        <w:t>15. Multi-Tenancy, Quotas, Billing, and Governance</w:t>
      </w:r>
    </w:p>
    <w:p w:rsidRPr="00AB4CD9" w:rsidR="00AB4CD9" w:rsidP="00AB4CD9" w:rsidRDefault="00AB4CD9" w14:paraId="07448574"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RMPAI must operate securely and predictably in a multi-tenant environment. Tenants may represent separate companies, business units, or application teams with distinct governance, budget, and compliance requirements.</w:t>
      </w:r>
    </w:p>
    <w:p w:rsidRPr="00AB4CD9" w:rsidR="00AB4CD9" w:rsidP="00AB4CD9" w:rsidRDefault="00AB4CD9" w14:paraId="6AC05F59"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platform therefore needs both strong isolation controls and transparent usage governance.</w:t>
      </w:r>
    </w:p>
    <w:p w:rsidRPr="00AB4CD9" w:rsidR="00AB4CD9" w:rsidP="004637AA" w:rsidRDefault="00AB4CD9" w14:paraId="7116B99D" w14:textId="77777777">
      <w:pPr>
        <w:pStyle w:val="Heading3"/>
        <w:rPr>
          <w:rFonts w:eastAsia="Times New Roman"/>
        </w:rPr>
      </w:pPr>
      <w:r w:rsidRPr="00AB4CD9">
        <w:rPr>
          <w:rFonts w:eastAsia="Times New Roman"/>
        </w:rPr>
        <w:t>15.1 Isolation and Tenant Models</w:t>
      </w:r>
    </w:p>
    <w:p w:rsidRPr="00AB4CD9" w:rsidR="00AB4CD9" w:rsidP="00AB4CD9" w:rsidRDefault="00AB4CD9" w14:paraId="0FDBA58A" w14:textId="36E16935">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Support multiple isolation tiers including namespace isolation</w:t>
      </w:r>
      <w:r w:rsidR="003D45B8">
        <w:rPr>
          <w:rFonts w:ascii="Times New Roman" w:hAnsi="Times New Roman" w:eastAsia="Times New Roman" w:cs="Times New Roman"/>
          <w:kern w:val="0"/>
          <w14:ligatures w14:val="none"/>
        </w:rPr>
        <w:t xml:space="preserve">, networking, storage identity isolation and </w:t>
      </w:r>
      <w:r w:rsidRPr="00AB4CD9">
        <w:rPr>
          <w:rFonts w:ascii="Times New Roman" w:hAnsi="Times New Roman" w:eastAsia="Times New Roman" w:cs="Times New Roman"/>
          <w:kern w:val="0"/>
          <w14:ligatures w14:val="none"/>
        </w:rPr>
        <w:t>dedicated cluster deployments</w:t>
      </w:r>
    </w:p>
    <w:p w:rsidRPr="00AB4CD9" w:rsidR="00AB4CD9" w:rsidP="00AB4CD9" w:rsidRDefault="00AB4CD9" w14:paraId="786A4904" w14:textId="77777777">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Strict separation of tenant workloads, data, models, adapters, secrets, and network paths</w:t>
      </w:r>
    </w:p>
    <w:p w:rsidRPr="00AB4CD9" w:rsidR="00AB4CD9" w:rsidP="00AB4CD9" w:rsidRDefault="00AB4CD9" w14:paraId="20800CE6" w14:textId="77777777">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Tenant-scoped access control, authentication policies, storage, and secret management</w:t>
      </w:r>
    </w:p>
    <w:p w:rsidRPr="00AB4CD9" w:rsidR="00AB4CD9" w:rsidP="00AB4CD9" w:rsidRDefault="00AB4CD9" w14:paraId="6B7BA35A" w14:textId="77777777">
      <w:pPr>
        <w:numPr>
          <w:ilvl w:val="0"/>
          <w:numId w:val="12"/>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Consistent integration between tenant boundaries, routing policies, quotas, billing, and monitoring</w:t>
      </w:r>
    </w:p>
    <w:p w:rsidRPr="00AB4CD9" w:rsidR="00AB4CD9" w:rsidP="004637AA" w:rsidRDefault="00AB4CD9" w14:paraId="01369EB2" w14:textId="77777777">
      <w:pPr>
        <w:pStyle w:val="Heading3"/>
        <w:rPr>
          <w:rFonts w:eastAsia="Times New Roman"/>
        </w:rPr>
      </w:pPr>
      <w:r w:rsidRPr="00AB4CD9">
        <w:rPr>
          <w:rFonts w:eastAsia="Times New Roman"/>
        </w:rPr>
        <w:t>15.2 Quotas and Rate Limits</w:t>
      </w:r>
    </w:p>
    <w:p w:rsidRPr="00AB4CD9" w:rsidR="00AB4CD9" w:rsidP="00AB4CD9" w:rsidRDefault="00AB4CD9" w14:paraId="2772D4D4" w14:textId="77777777">
      <w:pPr>
        <w:numPr>
          <w:ilvl w:val="0"/>
          <w:numId w:val="13"/>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GPU quotas by vendor and accelerator class per tenant</w:t>
      </w:r>
    </w:p>
    <w:p w:rsidRPr="00AB4CD9" w:rsidR="00AB4CD9" w:rsidP="00AB4CD9" w:rsidRDefault="00AB4CD9" w14:paraId="7B5B8B66" w14:textId="77777777">
      <w:pPr>
        <w:numPr>
          <w:ilvl w:val="0"/>
          <w:numId w:val="13"/>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API rate limits by tenant tier such as Free, Standard, and Enterprise</w:t>
      </w:r>
    </w:p>
    <w:p w:rsidRPr="00AB4CD9" w:rsidR="00AB4CD9" w:rsidP="00AB4CD9" w:rsidRDefault="00AB4CD9" w14:paraId="01FFD137" w14:textId="77777777">
      <w:pPr>
        <w:numPr>
          <w:ilvl w:val="0"/>
          <w:numId w:val="13"/>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Kubernetes </w:t>
      </w:r>
      <w:proofErr w:type="spellStart"/>
      <w:r w:rsidRPr="00AB4CD9">
        <w:rPr>
          <w:rFonts w:ascii="Times New Roman" w:hAnsi="Times New Roman" w:eastAsia="Times New Roman" w:cs="Times New Roman"/>
          <w:kern w:val="0"/>
          <w14:ligatures w14:val="none"/>
        </w:rPr>
        <w:t>ResourceQuota</w:t>
      </w:r>
      <w:proofErr w:type="spellEnd"/>
      <w:r w:rsidRPr="00AB4CD9">
        <w:rPr>
          <w:rFonts w:ascii="Times New Roman" w:hAnsi="Times New Roman" w:eastAsia="Times New Roman" w:cs="Times New Roman"/>
          <w:kern w:val="0"/>
          <w14:ligatures w14:val="none"/>
        </w:rPr>
        <w:t>, admission control, and policy-driven enforcement for compute, storage, and model resources</w:t>
      </w:r>
    </w:p>
    <w:p w:rsidRPr="00AB4CD9" w:rsidR="00AB4CD9" w:rsidP="00AB4CD9" w:rsidRDefault="00AB4CD9" w14:paraId="4E09DE28" w14:textId="77777777">
      <w:pPr>
        <w:numPr>
          <w:ilvl w:val="0"/>
          <w:numId w:val="13"/>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Dashboard visibility into current quota utilization, reservation status, and limit breaches</w:t>
      </w:r>
    </w:p>
    <w:p w:rsidRPr="00AB4CD9" w:rsidR="00AB4CD9" w:rsidP="004637AA" w:rsidRDefault="00AB4CD9" w14:paraId="6B9C80B1" w14:textId="77777777">
      <w:pPr>
        <w:pStyle w:val="Heading3"/>
        <w:rPr>
          <w:rFonts w:eastAsia="Times New Roman"/>
        </w:rPr>
      </w:pPr>
      <w:r w:rsidRPr="00AB4CD9">
        <w:rPr>
          <w:rFonts w:eastAsia="Times New Roman"/>
        </w:rPr>
        <w:t>15.3 Usage Metering and Billing</w:t>
      </w:r>
    </w:p>
    <w:p w:rsidRPr="00AB4CD9" w:rsidR="00AB4CD9" w:rsidP="00AB4CD9" w:rsidRDefault="00AB4CD9" w14:paraId="6E02072D"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billing framework must track GPU, CPU, storage, network, and token-level usage with tenant-level attribution.</w:t>
      </w:r>
    </w:p>
    <w:p w:rsidRPr="00AB4CD9" w:rsidR="00AB4CD9" w:rsidP="00AB4CD9" w:rsidRDefault="00AB4CD9" w14:paraId="5EDA335F"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Metering should support:</w:t>
      </w:r>
    </w:p>
    <w:p w:rsidRPr="00AB4CD9" w:rsidR="00AB4CD9" w:rsidP="00AB4CD9" w:rsidRDefault="00AB4CD9" w14:paraId="73F19E3F" w14:textId="77777777">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internal chargeback,</w:t>
      </w:r>
    </w:p>
    <w:p w:rsidRPr="00AB4CD9" w:rsidR="00AB4CD9" w:rsidP="00AB4CD9" w:rsidRDefault="00AB4CD9" w14:paraId="1750D5D1" w14:textId="77777777">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external billing workflows,</w:t>
      </w:r>
    </w:p>
    <w:p w:rsidRPr="00AB4CD9" w:rsidR="00AB4CD9" w:rsidP="00AB4CD9" w:rsidRDefault="00AB4CD9" w14:paraId="1327813B" w14:textId="77777777">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real-time usage dashboards,</w:t>
      </w:r>
    </w:p>
    <w:p w:rsidRPr="00AB4CD9" w:rsidR="00AB4CD9" w:rsidP="00AB4CD9" w:rsidRDefault="00AB4CD9" w14:paraId="6D9560CA" w14:textId="77777777">
      <w:pPr>
        <w:numPr>
          <w:ilvl w:val="0"/>
          <w:numId w:val="14"/>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and historical cost reporting for optimization and capacity planning.</w:t>
      </w:r>
    </w:p>
    <w:p w:rsidRPr="00AB4CD9" w:rsidR="00AB4CD9" w:rsidP="00AB4CD9" w:rsidRDefault="00AB4CD9" w14:paraId="16AF139B"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Token-level inference metering is especially important for LLM-as-a-service scenarios where customer transparency and margin management are critical.</w:t>
      </w:r>
    </w:p>
    <w:p w:rsidRPr="00AB4CD9" w:rsidR="00AB4CD9" w:rsidP="00AB4CD9" w:rsidRDefault="00AB4CD9" w14:paraId="558FDC47" w14:textId="072391B2">
      <w:pPr>
        <w:spacing w:after="0" w:line="240" w:lineRule="auto"/>
        <w:rPr>
          <w:rFonts w:ascii="Times New Roman" w:hAnsi="Times New Roman" w:eastAsia="Times New Roman" w:cs="Times New Roman"/>
          <w:kern w:val="0"/>
          <w14:ligatures w14:val="none"/>
        </w:rPr>
      </w:pPr>
    </w:p>
    <w:p w:rsidRPr="00AB4CD9" w:rsidR="00AB4CD9" w:rsidP="00037ECC" w:rsidRDefault="00AB4CD9" w14:paraId="0B0267C3" w14:textId="77777777">
      <w:pPr>
        <w:pStyle w:val="Heading2"/>
        <w:rPr>
          <w:rFonts w:eastAsia="Times New Roman"/>
        </w:rPr>
      </w:pPr>
      <w:r w:rsidRPr="00AB4CD9">
        <w:rPr>
          <w:rFonts w:eastAsia="Times New Roman"/>
        </w:rPr>
        <w:t>16. Security, Compliance, and Observability</w:t>
      </w:r>
    </w:p>
    <w:p w:rsidRPr="00AB4CD9" w:rsidR="00AB4CD9" w:rsidP="00AB4CD9" w:rsidRDefault="00AB4CD9" w14:paraId="765360C1"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Security and observability are foundational platform requirements.</w:t>
      </w:r>
    </w:p>
    <w:p w:rsidRPr="00AB4CD9" w:rsidR="00AB4CD9" w:rsidP="00AB4CD9" w:rsidRDefault="00AB4CD9" w14:paraId="77B3BFCD"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platform must implement:</w:t>
      </w:r>
    </w:p>
    <w:p w:rsidRPr="00AB4CD9" w:rsidR="00AB4CD9" w:rsidP="00AB4CD9" w:rsidRDefault="00AB4CD9" w14:paraId="45D206B2" w14:textId="77777777">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OIDC-based authentication</w:t>
      </w:r>
    </w:p>
    <w:p w:rsidRPr="00AB4CD9" w:rsidR="00AB4CD9" w:rsidP="00AB4CD9" w:rsidRDefault="00AB4CD9" w14:paraId="2557B1CF" w14:textId="77777777">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RBAC</w:t>
      </w:r>
    </w:p>
    <w:p w:rsidRPr="00AB4CD9" w:rsidR="00AB4CD9" w:rsidP="00AB4CD9" w:rsidRDefault="00AB4CD9" w14:paraId="304D0F31" w14:textId="77777777">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network policies</w:t>
      </w:r>
    </w:p>
    <w:p w:rsidRPr="00AB4CD9" w:rsidR="00AB4CD9" w:rsidP="00AB4CD9" w:rsidRDefault="00AB4CD9" w14:paraId="174C9F19" w14:textId="77777777">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proofErr w:type="spellStart"/>
      <w:r w:rsidRPr="00AB4CD9">
        <w:rPr>
          <w:rFonts w:ascii="Times New Roman" w:hAnsi="Times New Roman" w:eastAsia="Times New Roman" w:cs="Times New Roman"/>
          <w:kern w:val="0"/>
          <w14:ligatures w14:val="none"/>
        </w:rPr>
        <w:t>mTLS</w:t>
      </w:r>
      <w:proofErr w:type="spellEnd"/>
      <w:r w:rsidRPr="00AB4CD9">
        <w:rPr>
          <w:rFonts w:ascii="Times New Roman" w:hAnsi="Times New Roman" w:eastAsia="Times New Roman" w:cs="Times New Roman"/>
          <w:kern w:val="0"/>
          <w14:ligatures w14:val="none"/>
        </w:rPr>
        <w:t xml:space="preserve"> for service-to-service communication</w:t>
      </w:r>
    </w:p>
    <w:p w:rsidRPr="00AB4CD9" w:rsidR="00AB4CD9" w:rsidP="00AB4CD9" w:rsidRDefault="00AB4CD9" w14:paraId="718042D1" w14:textId="77777777">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centralized secrets management</w:t>
      </w:r>
    </w:p>
    <w:p w:rsidRPr="00AB4CD9" w:rsidR="00AB4CD9" w:rsidP="00AB4CD9" w:rsidRDefault="00AB4CD9" w14:paraId="609049BB" w14:textId="77777777">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encryption at rest and in transit</w:t>
      </w:r>
    </w:p>
    <w:p w:rsidRPr="00AB4CD9" w:rsidR="00AB4CD9" w:rsidP="00AB4CD9" w:rsidRDefault="00AB4CD9" w14:paraId="1A6963E0" w14:textId="77777777">
      <w:pPr>
        <w:numPr>
          <w:ilvl w:val="0"/>
          <w:numId w:val="15"/>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immutable audit logging</w:t>
      </w:r>
    </w:p>
    <w:p w:rsidRPr="00AB4CD9" w:rsidR="00AB4CD9" w:rsidP="00AB4CD9" w:rsidRDefault="00AB4CD9" w14:paraId="58295327"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These controls are required to support enterprise buyers and regulated industries.</w:t>
      </w:r>
    </w:p>
    <w:p w:rsidRPr="00AB4CD9" w:rsidR="00AB4CD9" w:rsidP="00AB4CD9" w:rsidRDefault="00AB4CD9" w14:paraId="4467E3A6"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Observability must span both control plane and data plane components. Metrics, logs, and traces should be captured using tools such as </w:t>
      </w:r>
      <w:proofErr w:type="spellStart"/>
      <w:r w:rsidRPr="00AB4CD9">
        <w:rPr>
          <w:rFonts w:ascii="Times New Roman" w:hAnsi="Times New Roman" w:eastAsia="Times New Roman" w:cs="Times New Roman"/>
          <w:kern w:val="0"/>
          <w14:ligatures w14:val="none"/>
        </w:rPr>
        <w:t>OpenTelemetry</w:t>
      </w:r>
      <w:proofErr w:type="spellEnd"/>
      <w:r w:rsidRPr="00AB4CD9">
        <w:rPr>
          <w:rFonts w:ascii="Times New Roman" w:hAnsi="Times New Roman" w:eastAsia="Times New Roman" w:cs="Times New Roman"/>
          <w:kern w:val="0"/>
          <w14:ligatures w14:val="none"/>
        </w:rPr>
        <w:t>, Prometheus, and Grafana, with dedicated dashboards for:</w:t>
      </w:r>
    </w:p>
    <w:p w:rsidRPr="00AB4CD9" w:rsidR="00AB4CD9" w:rsidP="00AB4CD9" w:rsidRDefault="00AB4CD9" w14:paraId="60952108" w14:textId="77777777">
      <w:pPr>
        <w:numPr>
          <w:ilvl w:val="0"/>
          <w:numId w:val="16"/>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inference latency,</w:t>
      </w:r>
    </w:p>
    <w:p w:rsidRPr="00AB4CD9" w:rsidR="00AB4CD9" w:rsidP="00AB4CD9" w:rsidRDefault="00AB4CD9" w14:paraId="542125EB" w14:textId="77777777">
      <w:pPr>
        <w:numPr>
          <w:ilvl w:val="0"/>
          <w:numId w:val="16"/>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throughput,</w:t>
      </w:r>
    </w:p>
    <w:p w:rsidRPr="00AB4CD9" w:rsidR="00AB4CD9" w:rsidP="00AB4CD9" w:rsidRDefault="00AB4CD9" w14:paraId="16B8856F" w14:textId="77777777">
      <w:pPr>
        <w:numPr>
          <w:ilvl w:val="0"/>
          <w:numId w:val="16"/>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request rates,</w:t>
      </w:r>
    </w:p>
    <w:p w:rsidRPr="00AB4CD9" w:rsidR="00AB4CD9" w:rsidP="00AB4CD9" w:rsidRDefault="00AB4CD9" w14:paraId="3FE3BDBA" w14:textId="77777777">
      <w:pPr>
        <w:numPr>
          <w:ilvl w:val="0"/>
          <w:numId w:val="16"/>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GPU utilization,</w:t>
      </w:r>
    </w:p>
    <w:p w:rsidRPr="00AB4CD9" w:rsidR="00AB4CD9" w:rsidP="00AB4CD9" w:rsidRDefault="00AB4CD9" w14:paraId="1EF27093" w14:textId="77777777">
      <w:pPr>
        <w:numPr>
          <w:ilvl w:val="0"/>
          <w:numId w:val="16"/>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memory pressure,</w:t>
      </w:r>
    </w:p>
    <w:p w:rsidRPr="00AB4CD9" w:rsidR="00AB4CD9" w:rsidP="00AB4CD9" w:rsidRDefault="00AB4CD9" w14:paraId="55D56F5F" w14:textId="77777777">
      <w:pPr>
        <w:numPr>
          <w:ilvl w:val="0"/>
          <w:numId w:val="16"/>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queue depth,</w:t>
      </w:r>
    </w:p>
    <w:p w:rsidRPr="00AB4CD9" w:rsidR="00AB4CD9" w:rsidP="00AB4CD9" w:rsidRDefault="00AB4CD9" w14:paraId="781E83A6" w14:textId="77777777">
      <w:pPr>
        <w:numPr>
          <w:ilvl w:val="0"/>
          <w:numId w:val="16"/>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engine health,</w:t>
      </w:r>
    </w:p>
    <w:p w:rsidRPr="00AB4CD9" w:rsidR="00AB4CD9" w:rsidP="00AB4CD9" w:rsidRDefault="00AB4CD9" w14:paraId="45AD65F9" w14:textId="77777777">
      <w:pPr>
        <w:numPr>
          <w:ilvl w:val="0"/>
          <w:numId w:val="16"/>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training job state,</w:t>
      </w:r>
    </w:p>
    <w:p w:rsidRPr="00AB4CD9" w:rsidR="00AB4CD9" w:rsidP="00AB4CD9" w:rsidRDefault="00AB4CD9" w14:paraId="282DE63D" w14:textId="77777777">
      <w:pPr>
        <w:numPr>
          <w:ilvl w:val="0"/>
          <w:numId w:val="16"/>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and tenant cost behavior.</w:t>
      </w:r>
    </w:p>
    <w:p w:rsidRPr="00AB4CD9" w:rsidR="00AB4CD9" w:rsidP="00AB4CD9" w:rsidRDefault="00AB4CD9" w14:paraId="03E67167"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Alerting should support both infrastructure incidents and workload-level anomalies.</w:t>
      </w:r>
    </w:p>
    <w:p w:rsidRPr="00AB4CD9" w:rsidR="00AB4CD9" w:rsidP="00AB4CD9" w:rsidRDefault="00AB4CD9" w14:paraId="3A993B95" w14:textId="33FE09A2">
      <w:pPr>
        <w:spacing w:after="0" w:line="240" w:lineRule="auto"/>
        <w:rPr>
          <w:rFonts w:ascii="Times New Roman" w:hAnsi="Times New Roman" w:eastAsia="Times New Roman" w:cs="Times New Roman"/>
          <w:kern w:val="0"/>
          <w14:ligatures w14:val="none"/>
        </w:rPr>
      </w:pPr>
    </w:p>
    <w:p w:rsidRPr="00AB4CD9" w:rsidR="00AB4CD9" w:rsidP="00037ECC" w:rsidRDefault="00AB4CD9" w14:paraId="238FA1B1" w14:textId="77777777">
      <w:pPr>
        <w:pStyle w:val="Heading2"/>
        <w:rPr>
          <w:rFonts w:eastAsia="Times New Roman"/>
        </w:rPr>
      </w:pPr>
      <w:r w:rsidRPr="00AB4CD9">
        <w:rPr>
          <w:rFonts w:eastAsia="Times New Roman"/>
        </w:rPr>
        <w:t>17. Heterogeneous Hardware Support</w:t>
      </w:r>
    </w:p>
    <w:p w:rsidRPr="00AB4CD9" w:rsidR="00AB4CD9" w:rsidP="00AB4CD9" w:rsidRDefault="00AB4CD9" w14:paraId="583ABF9E"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platform must not be limited to a single accelerator family. Heterogeneous hardware support improves supply resilience, gives operators stronger pricing leverage, and broadens the range of supported customer environments.</w:t>
      </w:r>
    </w:p>
    <w:p w:rsidRPr="00AB4CD9" w:rsidR="00AB4CD9" w:rsidP="004637AA" w:rsidRDefault="00AB4CD9" w14:paraId="60D5F2B4" w14:textId="77777777">
      <w:pPr>
        <w:pStyle w:val="Heading3"/>
        <w:rPr>
          <w:rFonts w:eastAsia="Times New Roman"/>
        </w:rPr>
      </w:pPr>
      <w:r w:rsidRPr="00AB4CD9">
        <w:rPr>
          <w:rFonts w:eastAsia="Times New Roman"/>
        </w:rPr>
        <w:t>17.1 AMD GPU Support</w:t>
      </w:r>
    </w:p>
    <w:p w:rsidRPr="00AB4CD9" w:rsidR="00AB4CD9" w:rsidP="00AB4CD9" w:rsidRDefault="00AB4CD9" w14:paraId="0ACCC939"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Provide first-class AMD GPU support through </w:t>
      </w:r>
      <w:proofErr w:type="spellStart"/>
      <w:r w:rsidRPr="00AB4CD9">
        <w:rPr>
          <w:rFonts w:ascii="Times New Roman" w:hAnsi="Times New Roman" w:eastAsia="Times New Roman" w:cs="Times New Roman"/>
          <w:kern w:val="0"/>
          <w14:ligatures w14:val="none"/>
        </w:rPr>
        <w:t>ROCm</w:t>
      </w:r>
      <w:proofErr w:type="spellEnd"/>
      <w:r w:rsidRPr="00AB4CD9">
        <w:rPr>
          <w:rFonts w:ascii="Times New Roman" w:hAnsi="Times New Roman" w:eastAsia="Times New Roman" w:cs="Times New Roman"/>
          <w:kern w:val="0"/>
          <w14:ligatures w14:val="none"/>
        </w:rPr>
        <w:t xml:space="preserve">-compatible runtimes, primarily </w:t>
      </w:r>
      <w:proofErr w:type="spellStart"/>
      <w:r w:rsidRPr="00AB4CD9">
        <w:rPr>
          <w:rFonts w:ascii="Times New Roman" w:hAnsi="Times New Roman" w:eastAsia="Times New Roman" w:cs="Times New Roman"/>
          <w:kern w:val="0"/>
          <w14:ligatures w14:val="none"/>
        </w:rPr>
        <w:t>vLLM</w:t>
      </w:r>
      <w:proofErr w:type="spellEnd"/>
      <w:r w:rsidRPr="00AB4CD9">
        <w:rPr>
          <w:rFonts w:ascii="Times New Roman" w:hAnsi="Times New Roman" w:eastAsia="Times New Roman" w:cs="Times New Roman"/>
          <w:kern w:val="0"/>
          <w14:ligatures w14:val="none"/>
        </w:rPr>
        <w:t xml:space="preserve"> where practical, along with Kubernetes AMD device plugin integration and utilization metrics.</w:t>
      </w:r>
    </w:p>
    <w:p w:rsidRPr="00AB4CD9" w:rsidR="00AB4CD9" w:rsidP="004637AA" w:rsidRDefault="00AB4CD9" w14:paraId="6D503D69" w14:textId="77777777">
      <w:pPr>
        <w:pStyle w:val="Heading3"/>
        <w:rPr>
          <w:rFonts w:eastAsia="Times New Roman"/>
        </w:rPr>
      </w:pPr>
      <w:r w:rsidRPr="00AB4CD9">
        <w:rPr>
          <w:rFonts w:eastAsia="Times New Roman"/>
        </w:rPr>
        <w:t>17.2 Intel Gaudi Support</w:t>
      </w:r>
    </w:p>
    <w:p w:rsidRPr="00AB4CD9" w:rsidR="00AB4CD9" w:rsidP="00AB4CD9" w:rsidRDefault="00AB4CD9" w14:paraId="3A50DDB4"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Integrate Gaudi 2 and Gaudi 3 accelerators using Intel runtime stacks such as Habana libraries or IPEX-LLM where appropriate. Gaudi resources must participate in the same routing, observability, and scheduling framework as other accelerators.</w:t>
      </w:r>
    </w:p>
    <w:p w:rsidRPr="00AB4CD9" w:rsidR="00AB4CD9" w:rsidP="004637AA" w:rsidRDefault="00AB4CD9" w14:paraId="4B562645" w14:textId="77777777">
      <w:pPr>
        <w:pStyle w:val="Heading3"/>
        <w:rPr>
          <w:rFonts w:eastAsia="Times New Roman"/>
        </w:rPr>
      </w:pPr>
      <w:r w:rsidRPr="00AB4CD9">
        <w:rPr>
          <w:rFonts w:eastAsia="Times New Roman"/>
        </w:rPr>
        <w:t>17.3 CPU Inference</w:t>
      </w:r>
    </w:p>
    <w:p w:rsidRPr="00AB4CD9" w:rsidR="00AB4CD9" w:rsidP="00AB4CD9" w:rsidRDefault="00AB4CD9" w14:paraId="430703C7"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Support CPU-based inference for lightweight models, development environments, fallbacks, and cost-sensitive workloads. CPU execution should use the same API and observability model as GPU-backed runtimes.</w:t>
      </w:r>
    </w:p>
    <w:p w:rsidRPr="00AB4CD9" w:rsidR="00AB4CD9" w:rsidP="00AB4CD9" w:rsidRDefault="00AB4CD9" w14:paraId="7F28B38B" w14:textId="76802023">
      <w:pPr>
        <w:spacing w:after="0" w:line="240" w:lineRule="auto"/>
        <w:rPr>
          <w:rFonts w:ascii="Times New Roman" w:hAnsi="Times New Roman" w:eastAsia="Times New Roman" w:cs="Times New Roman"/>
          <w:kern w:val="0"/>
          <w14:ligatures w14:val="none"/>
        </w:rPr>
      </w:pPr>
    </w:p>
    <w:p w:rsidRPr="00AB4CD9" w:rsidR="00AB4CD9" w:rsidP="00037ECC" w:rsidRDefault="00AB4CD9" w14:paraId="577CDBEC" w14:textId="77777777">
      <w:pPr>
        <w:pStyle w:val="Heading2"/>
        <w:rPr>
          <w:rFonts w:eastAsia="Times New Roman"/>
        </w:rPr>
      </w:pPr>
      <w:r w:rsidRPr="00AB4CD9">
        <w:rPr>
          <w:rFonts w:eastAsia="Times New Roman"/>
        </w:rPr>
        <w:t>18. User Interface and Platform Experience</w:t>
      </w:r>
    </w:p>
    <w:p w:rsidRPr="00AB4CD9" w:rsidR="00AB4CD9" w:rsidP="00AB4CD9" w:rsidRDefault="00AB4CD9" w14:paraId="6C0DD34F"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platform UI must provide a cohesive operational and developer experience across:</w:t>
      </w:r>
    </w:p>
    <w:p w:rsidRPr="00AB4CD9" w:rsidR="00AB4CD9" w:rsidP="00AB4CD9" w:rsidRDefault="00AB4CD9" w14:paraId="69707116" w14:textId="77777777">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model discovery,</w:t>
      </w:r>
    </w:p>
    <w:p w:rsidRPr="00AB4CD9" w:rsidR="00AB4CD9" w:rsidP="00AB4CD9" w:rsidRDefault="00AB4CD9" w14:paraId="19AF4EB5" w14:textId="77777777">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inference testing,</w:t>
      </w:r>
    </w:p>
    <w:p w:rsidRPr="00AB4CD9" w:rsidR="00AB4CD9" w:rsidP="00AB4CD9" w:rsidRDefault="00AB4CD9" w14:paraId="756B36F0" w14:textId="77777777">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fine-tuning workflows,</w:t>
      </w:r>
    </w:p>
    <w:p w:rsidRPr="00AB4CD9" w:rsidR="00AB4CD9" w:rsidP="00AB4CD9" w:rsidRDefault="00AB4CD9" w14:paraId="2D279671" w14:textId="77777777">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workload monitoring,</w:t>
      </w:r>
    </w:p>
    <w:p w:rsidRPr="00AB4CD9" w:rsidR="00AB4CD9" w:rsidP="00AB4CD9" w:rsidRDefault="00AB4CD9" w14:paraId="62C32D43" w14:textId="77777777">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tenant administration,</w:t>
      </w:r>
    </w:p>
    <w:p w:rsidRPr="00AB4CD9" w:rsidR="00AB4CD9" w:rsidP="00AB4CD9" w:rsidRDefault="00AB4CD9" w14:paraId="74AC56BA" w14:textId="77777777">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quota visibility,</w:t>
      </w:r>
    </w:p>
    <w:p w:rsidRPr="00AB4CD9" w:rsidR="00AB4CD9" w:rsidP="00AB4CD9" w:rsidRDefault="00AB4CD9" w14:paraId="12881349" w14:textId="77777777">
      <w:pPr>
        <w:numPr>
          <w:ilvl w:val="0"/>
          <w:numId w:val="17"/>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and billing review.</w:t>
      </w:r>
    </w:p>
    <w:p w:rsidRPr="00AB4CD9" w:rsidR="00AB4CD9" w:rsidP="00AB4CD9" w:rsidRDefault="00AB4CD9" w14:paraId="095898C9"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UI should unify operational dashboards and developer workflows so teams can move from experimentation to production without changing tools or mental models.</w:t>
      </w:r>
    </w:p>
    <w:p w:rsidRPr="00AB4CD9" w:rsidR="00AB4CD9" w:rsidP="00AB4CD9" w:rsidRDefault="00AB4CD9" w14:paraId="26EA1284"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Key UI surfaces include:</w:t>
      </w:r>
    </w:p>
    <w:p w:rsidRPr="00AB4CD9" w:rsidR="00AB4CD9" w:rsidP="00AB4CD9" w:rsidRDefault="00AB4CD9" w14:paraId="7CD50DF8" w14:textId="77777777">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model playground</w:t>
      </w:r>
    </w:p>
    <w:p w:rsidRPr="00AB4CD9" w:rsidR="00AB4CD9" w:rsidP="00AB4CD9" w:rsidRDefault="00AB4CD9" w14:paraId="1485CFE5" w14:textId="77777777">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model registry views</w:t>
      </w:r>
    </w:p>
    <w:p w:rsidRPr="00AB4CD9" w:rsidR="00AB4CD9" w:rsidP="00AB4CD9" w:rsidRDefault="00AB4CD9" w14:paraId="6C852DC6" w14:textId="77777777">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endpoint and runtime management</w:t>
      </w:r>
    </w:p>
    <w:p w:rsidRPr="00AB4CD9" w:rsidR="00AB4CD9" w:rsidP="00AB4CD9" w:rsidRDefault="00AB4CD9" w14:paraId="4C39FDDD" w14:textId="77777777">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training job monitoring</w:t>
      </w:r>
    </w:p>
    <w:p w:rsidRPr="00AB4CD9" w:rsidR="00AB4CD9" w:rsidP="00AB4CD9" w:rsidRDefault="00AB4CD9" w14:paraId="67CCE791" w14:textId="77777777">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observability dashboards</w:t>
      </w:r>
    </w:p>
    <w:p w:rsidRPr="00AB4CD9" w:rsidR="00AB4CD9" w:rsidP="00AB4CD9" w:rsidRDefault="00AB4CD9" w14:paraId="3ADC8F2D" w14:textId="77777777">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quota and billing pages</w:t>
      </w:r>
    </w:p>
    <w:p w:rsidRPr="00AB4CD9" w:rsidR="00AB4CD9" w:rsidP="00AB4CD9" w:rsidRDefault="00AB4CD9" w14:paraId="3A6D8199" w14:textId="77777777">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tenant administration</w:t>
      </w:r>
    </w:p>
    <w:p w:rsidRPr="00AB4CD9" w:rsidR="00AB4CD9" w:rsidP="00AB4CD9" w:rsidRDefault="00AB4CD9" w14:paraId="161192AA" w14:textId="77777777">
      <w:pPr>
        <w:numPr>
          <w:ilvl w:val="0"/>
          <w:numId w:val="18"/>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policy management for routing and deployment controls</w:t>
      </w:r>
    </w:p>
    <w:p w:rsidRPr="00AB4CD9" w:rsidR="00AB4CD9" w:rsidP="00AB4CD9" w:rsidRDefault="00AB4CD9" w14:paraId="3B34538F" w14:textId="68B12108">
      <w:pPr>
        <w:spacing w:after="0" w:line="240" w:lineRule="auto"/>
        <w:rPr>
          <w:rFonts w:ascii="Times New Roman" w:hAnsi="Times New Roman" w:eastAsia="Times New Roman" w:cs="Times New Roman"/>
          <w:kern w:val="0"/>
          <w14:ligatures w14:val="none"/>
        </w:rPr>
      </w:pPr>
    </w:p>
    <w:p w:rsidRPr="00AB4CD9" w:rsidR="00AB4CD9" w:rsidP="00037ECC" w:rsidRDefault="00AB4CD9" w14:paraId="61765995" w14:textId="77777777">
      <w:pPr>
        <w:pStyle w:val="Heading2"/>
        <w:rPr>
          <w:rFonts w:eastAsia="Times New Roman"/>
        </w:rPr>
      </w:pPr>
      <w:r w:rsidRPr="00AB4CD9">
        <w:rPr>
          <w:rFonts w:eastAsia="Times New Roman"/>
        </w:rPr>
        <w:t>19. Success Metrics and Validation</w:t>
      </w:r>
    </w:p>
    <w:p w:rsidRPr="00AB4CD9" w:rsidR="00AB4CD9" w:rsidP="00AB4CD9" w:rsidRDefault="00AB4CD9" w14:paraId="145791A8"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platform will be considered successful when it simultaneously achieves strong developer adoption, reliable production operations, and compelling infrastructure economics.</w:t>
      </w:r>
    </w:p>
    <w:p w:rsidRPr="00AB4CD9" w:rsidR="00AB4CD9" w:rsidP="00AB4CD9" w:rsidRDefault="00AB4CD9" w14:paraId="7E7B9C6A"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Success must be measured across technical, product, and financial dimensions.</w:t>
      </w:r>
    </w:p>
    <w:tbl>
      <w:tblPr>
        <w:tblStyle w:val="PlainTable4"/>
        <w:tblW w:w="0" w:type="auto"/>
        <w:tblLook w:val="04A0" w:firstRow="1" w:lastRow="0" w:firstColumn="1" w:lastColumn="0" w:noHBand="0" w:noVBand="1"/>
      </w:tblPr>
      <w:tblGrid>
        <w:gridCol w:w="1549"/>
        <w:gridCol w:w="4559"/>
        <w:gridCol w:w="3252"/>
      </w:tblGrid>
      <w:tr w:rsidRPr="00AB4CD9" w:rsidR="00AB4CD9" w:rsidTr="00037ECC" w14:paraId="4FAFF82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CD9" w:rsidR="00AB4CD9" w:rsidP="00AB4CD9" w:rsidRDefault="00AB4CD9" w14:paraId="672C8C29" w14:textId="77777777">
            <w:pPr>
              <w:jc w:val="center"/>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Dimension</w:t>
            </w:r>
          </w:p>
        </w:tc>
        <w:tc>
          <w:tcPr>
            <w:tcW w:w="0" w:type="auto"/>
            <w:hideMark/>
          </w:tcPr>
          <w:p w:rsidRPr="00AB4CD9" w:rsidR="00AB4CD9" w:rsidP="00AB4CD9" w:rsidRDefault="00AB4CD9" w14:paraId="3309F243"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Primary Measures</w:t>
            </w:r>
          </w:p>
        </w:tc>
        <w:tc>
          <w:tcPr>
            <w:tcW w:w="0" w:type="auto"/>
            <w:hideMark/>
          </w:tcPr>
          <w:p w:rsidRPr="00AB4CD9" w:rsidR="00AB4CD9" w:rsidP="00AB4CD9" w:rsidRDefault="00AB4CD9" w14:paraId="1F9FC75D"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Validation Method</w:t>
            </w:r>
          </w:p>
        </w:tc>
      </w:tr>
      <w:tr w:rsidRPr="00AB4CD9" w:rsidR="00AB4CD9" w:rsidTr="00037ECC" w14:paraId="14A1D5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CD9" w:rsidR="00AB4CD9" w:rsidP="00AB4CD9" w:rsidRDefault="00AB4CD9" w14:paraId="2CCFC0F1" w14:textId="77777777">
            <w:pPr>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Performance</w:t>
            </w:r>
          </w:p>
        </w:tc>
        <w:tc>
          <w:tcPr>
            <w:tcW w:w="0" w:type="auto"/>
            <w:hideMark/>
          </w:tcPr>
          <w:p w:rsidRPr="00AB4CD9" w:rsidR="00AB4CD9" w:rsidP="00AB4CD9" w:rsidRDefault="00AB4CD9" w14:paraId="3929B00C"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TTFT, ITL, tokens/sec/GPU, routing overhead, concurrency, GPU utilization</w:t>
            </w:r>
          </w:p>
        </w:tc>
        <w:tc>
          <w:tcPr>
            <w:tcW w:w="0" w:type="auto"/>
            <w:hideMark/>
          </w:tcPr>
          <w:p w:rsidRPr="00AB4CD9" w:rsidR="00AB4CD9" w:rsidP="00AB4CD9" w:rsidRDefault="00AB4CD9" w14:paraId="0F5395AD"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Continuous benchmarking and scheduled load tests</w:t>
            </w:r>
          </w:p>
        </w:tc>
      </w:tr>
      <w:tr w:rsidRPr="00AB4CD9" w:rsidR="00AB4CD9" w:rsidTr="00037ECC" w14:paraId="7EE9A1D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CD9" w:rsidR="00AB4CD9" w:rsidP="00AB4CD9" w:rsidRDefault="00AB4CD9" w14:paraId="1F793CAF" w14:textId="77777777">
            <w:pPr>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Adoption</w:t>
            </w:r>
          </w:p>
        </w:tc>
        <w:tc>
          <w:tcPr>
            <w:tcW w:w="0" w:type="auto"/>
            <w:hideMark/>
          </w:tcPr>
          <w:p w:rsidRPr="00AB4CD9" w:rsidR="00AB4CD9" w:rsidP="00AB4CD9" w:rsidRDefault="00AB4CD9" w14:paraId="0919D12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API usage growth, active tenants, SDK adoption, CLI adoption, playground usage</w:t>
            </w:r>
          </w:p>
        </w:tc>
        <w:tc>
          <w:tcPr>
            <w:tcW w:w="0" w:type="auto"/>
            <w:hideMark/>
          </w:tcPr>
          <w:p w:rsidRPr="00AB4CD9" w:rsidR="00AB4CD9" w:rsidP="00AB4CD9" w:rsidRDefault="00AB4CD9" w14:paraId="3E7A8FC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Telemetry dashboards and customer success reporting</w:t>
            </w:r>
          </w:p>
        </w:tc>
      </w:tr>
      <w:tr w:rsidRPr="00AB4CD9" w:rsidR="00AB4CD9" w:rsidTr="00037ECC" w14:paraId="458B5C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CD9" w:rsidR="00AB4CD9" w:rsidP="00AB4CD9" w:rsidRDefault="00AB4CD9" w14:paraId="63F3E225" w14:textId="77777777">
            <w:pPr>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Reliability</w:t>
            </w:r>
          </w:p>
        </w:tc>
        <w:tc>
          <w:tcPr>
            <w:tcW w:w="0" w:type="auto"/>
            <w:hideMark/>
          </w:tcPr>
          <w:p w:rsidRPr="00AB4CD9" w:rsidR="00AB4CD9" w:rsidP="00AB4CD9" w:rsidRDefault="00AB4CD9" w14:paraId="1E378221"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Availability, failover success rate, incident frequency, MTTR</w:t>
            </w:r>
          </w:p>
        </w:tc>
        <w:tc>
          <w:tcPr>
            <w:tcW w:w="0" w:type="auto"/>
            <w:hideMark/>
          </w:tcPr>
          <w:p w:rsidRPr="00AB4CD9" w:rsidR="00AB4CD9" w:rsidP="00AB4CD9" w:rsidRDefault="00AB4CD9" w14:paraId="5287F9EA"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Operational SLO reporting and incident reviews</w:t>
            </w:r>
          </w:p>
        </w:tc>
      </w:tr>
      <w:tr w:rsidRPr="00AB4CD9" w:rsidR="00AB4CD9" w:rsidTr="00037ECC" w14:paraId="7C257C2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CD9" w:rsidR="00AB4CD9" w:rsidP="00AB4CD9" w:rsidRDefault="00AB4CD9" w14:paraId="0E5EDFB7" w14:textId="77777777">
            <w:pPr>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Economics</w:t>
            </w:r>
          </w:p>
        </w:tc>
        <w:tc>
          <w:tcPr>
            <w:tcW w:w="0" w:type="auto"/>
            <w:hideMark/>
          </w:tcPr>
          <w:p w:rsidRPr="00AB4CD9" w:rsidR="00AB4CD9" w:rsidP="00AB4CD9" w:rsidRDefault="00AB4CD9" w14:paraId="68B92880" w14:textId="7F82803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Cost per 1</w:t>
            </w:r>
            <w:r w:rsidR="00853C51">
              <w:rPr>
                <w:rFonts w:ascii="Times New Roman" w:hAnsi="Times New Roman" w:eastAsia="Times New Roman" w:cs="Times New Roman"/>
                <w:kern w:val="0"/>
                <w14:ligatures w14:val="none"/>
              </w:rPr>
              <w:t>M</w:t>
            </w:r>
            <w:r w:rsidRPr="00AB4CD9">
              <w:rPr>
                <w:rFonts w:ascii="Times New Roman" w:hAnsi="Times New Roman" w:eastAsia="Times New Roman" w:cs="Times New Roman"/>
                <w:kern w:val="0"/>
                <w14:ligatures w14:val="none"/>
              </w:rPr>
              <w:t xml:space="preserve"> tokens, GPU idle time, quota efficiency, tenant margin visibility</w:t>
            </w:r>
          </w:p>
        </w:tc>
        <w:tc>
          <w:tcPr>
            <w:tcW w:w="0" w:type="auto"/>
            <w:hideMark/>
          </w:tcPr>
          <w:p w:rsidRPr="00AB4CD9" w:rsidR="00AB4CD9" w:rsidP="00AB4CD9" w:rsidRDefault="00AB4CD9" w14:paraId="2253991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Billing analytics and capacity-planning reviews</w:t>
            </w:r>
          </w:p>
        </w:tc>
      </w:tr>
    </w:tbl>
    <w:p w:rsidRPr="00AB4CD9" w:rsidR="00AB4CD9" w:rsidP="00AB4CD9" w:rsidRDefault="00AB4CD9" w14:paraId="45188164" w14:textId="17337DDE">
      <w:pPr>
        <w:spacing w:after="0" w:line="240" w:lineRule="auto"/>
        <w:rPr>
          <w:rFonts w:ascii="Times New Roman" w:hAnsi="Times New Roman" w:eastAsia="Times New Roman" w:cs="Times New Roman"/>
          <w:kern w:val="0"/>
          <w14:ligatures w14:val="none"/>
        </w:rPr>
      </w:pPr>
    </w:p>
    <w:p w:rsidRPr="00AB4CD9" w:rsidR="00AB4CD9" w:rsidP="00921DBE" w:rsidRDefault="00AB4CD9" w14:paraId="5828AD06" w14:textId="77777777">
      <w:pPr>
        <w:pStyle w:val="Heading2"/>
        <w:rPr>
          <w:rFonts w:eastAsia="Times New Roman"/>
        </w:rPr>
      </w:pPr>
      <w:r w:rsidRPr="00AB4CD9">
        <w:rPr>
          <w:rFonts w:eastAsia="Times New Roman"/>
        </w:rPr>
        <w:t>20. Delivery Roadmap</w:t>
      </w:r>
    </w:p>
    <w:p w:rsidRPr="00AB4CD9" w:rsidR="00AB4CD9" w:rsidP="00AB4CD9" w:rsidRDefault="00AB4CD9" w14:paraId="2B8294E6"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Delivery should be phased so that the platform launches with a credible enterprise foundation and then compounds differentiation through performance, hardware expansion, and developer experience improvements.</w:t>
      </w:r>
    </w:p>
    <w:tbl>
      <w:tblPr>
        <w:tblStyle w:val="PlainTable4"/>
        <w:tblW w:w="0" w:type="auto"/>
        <w:tblLook w:val="04A0" w:firstRow="1" w:lastRow="0" w:firstColumn="1" w:lastColumn="0" w:noHBand="0" w:noVBand="1"/>
      </w:tblPr>
      <w:tblGrid>
        <w:gridCol w:w="1810"/>
        <w:gridCol w:w="1624"/>
        <w:gridCol w:w="3948"/>
        <w:gridCol w:w="1978"/>
      </w:tblGrid>
      <w:tr w:rsidRPr="00AB4CD9" w:rsidR="00AB4CD9" w:rsidTr="00037ECC" w14:paraId="4613CAA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CD9" w:rsidR="00AB4CD9" w:rsidP="00AB4CD9" w:rsidRDefault="00AB4CD9" w14:paraId="4B970D9A" w14:textId="77777777">
            <w:pPr>
              <w:jc w:val="center"/>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Phase</w:t>
            </w:r>
          </w:p>
        </w:tc>
        <w:tc>
          <w:tcPr>
            <w:tcW w:w="0" w:type="auto"/>
            <w:hideMark/>
          </w:tcPr>
          <w:p w:rsidRPr="00AB4CD9" w:rsidR="00AB4CD9" w:rsidP="00AB4CD9" w:rsidRDefault="00AB4CD9" w14:paraId="7CF1A2CF"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Objective</w:t>
            </w:r>
          </w:p>
        </w:tc>
        <w:tc>
          <w:tcPr>
            <w:tcW w:w="0" w:type="auto"/>
            <w:hideMark/>
          </w:tcPr>
          <w:p w:rsidRPr="00AB4CD9" w:rsidR="00AB4CD9" w:rsidP="00AB4CD9" w:rsidRDefault="00AB4CD9" w14:paraId="5CFFE58B"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Representative Scope</w:t>
            </w:r>
          </w:p>
        </w:tc>
        <w:tc>
          <w:tcPr>
            <w:tcW w:w="0" w:type="auto"/>
            <w:hideMark/>
          </w:tcPr>
          <w:p w:rsidRPr="00AB4CD9" w:rsidR="00AB4CD9" w:rsidP="00AB4CD9" w:rsidRDefault="00AB4CD9" w14:paraId="6015F98F"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Outcome</w:t>
            </w:r>
          </w:p>
        </w:tc>
      </w:tr>
      <w:tr w:rsidRPr="00AB4CD9" w:rsidR="00AB4CD9" w:rsidTr="00037ECC" w14:paraId="2B9D75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CD9" w:rsidR="00AB4CD9" w:rsidP="00AB4CD9" w:rsidRDefault="00AB4CD9" w14:paraId="00522B22" w14:textId="77777777">
            <w:pPr>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Priority 0 - Foundation</w:t>
            </w:r>
          </w:p>
        </w:tc>
        <w:tc>
          <w:tcPr>
            <w:tcW w:w="0" w:type="auto"/>
            <w:hideMark/>
          </w:tcPr>
          <w:p w:rsidRPr="00AB4CD9" w:rsidR="00AB4CD9" w:rsidP="00AB4CD9" w:rsidRDefault="00AB4CD9" w14:paraId="6B4D6F3F"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Launch a secure, usable platform baseline</w:t>
            </w:r>
          </w:p>
        </w:tc>
        <w:tc>
          <w:tcPr>
            <w:tcW w:w="0" w:type="auto"/>
            <w:hideMark/>
          </w:tcPr>
          <w:p w:rsidRPr="00AB4CD9" w:rsidR="00AB4CD9" w:rsidP="00AB4CD9" w:rsidRDefault="00AB4CD9" w14:paraId="14B1B110"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Workspaces with RBAC, OpenAI-compatible APIs and core endpoints, NIM-first serving, observability and security fundamentals, model catalog, base images</w:t>
            </w:r>
          </w:p>
        </w:tc>
        <w:tc>
          <w:tcPr>
            <w:tcW w:w="0" w:type="auto"/>
            <w:hideMark/>
          </w:tcPr>
          <w:p w:rsidRPr="00AB4CD9" w:rsidR="00AB4CD9" w:rsidP="00AB4CD9" w:rsidRDefault="00AB4CD9" w14:paraId="7FE2672F"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 production-capable private AI platform with strong enterprise foundations</w:t>
            </w:r>
          </w:p>
        </w:tc>
      </w:tr>
      <w:tr w:rsidRPr="00AB4CD9" w:rsidR="00AB4CD9" w:rsidTr="00037ECC" w14:paraId="7D76275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4CD9" w:rsidR="00AB4CD9" w:rsidP="00AB4CD9" w:rsidRDefault="00AB4CD9" w14:paraId="529E75AA" w14:textId="77777777">
            <w:pPr>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Priority 1 - Differentiation</w:t>
            </w:r>
          </w:p>
        </w:tc>
        <w:tc>
          <w:tcPr>
            <w:tcW w:w="0" w:type="auto"/>
            <w:hideMark/>
          </w:tcPr>
          <w:p w:rsidRPr="00AB4CD9" w:rsidR="00AB4CD9" w:rsidP="00AB4CD9" w:rsidRDefault="00AB4CD9" w14:paraId="2414CD7B"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Win on performance and usability</w:t>
            </w:r>
          </w:p>
        </w:tc>
        <w:tc>
          <w:tcPr>
            <w:tcW w:w="0" w:type="auto"/>
            <w:hideMark/>
          </w:tcPr>
          <w:p w:rsidRPr="00AB4CD9" w:rsidR="00AB4CD9" w:rsidP="00AB4CD9" w:rsidRDefault="00AB4CD9" w14:paraId="4D1BAF8A"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 xml:space="preserve">Unified Engine Interface, </w:t>
            </w:r>
            <w:proofErr w:type="spellStart"/>
            <w:r w:rsidRPr="00AB4CD9">
              <w:rPr>
                <w:rFonts w:ascii="Times New Roman" w:hAnsi="Times New Roman" w:eastAsia="Times New Roman" w:cs="Times New Roman"/>
                <w:kern w:val="0"/>
                <w14:ligatures w14:val="none"/>
              </w:rPr>
              <w:t>TensorRT</w:t>
            </w:r>
            <w:proofErr w:type="spellEnd"/>
            <w:r w:rsidRPr="00AB4CD9">
              <w:rPr>
                <w:rFonts w:ascii="Times New Roman" w:hAnsi="Times New Roman" w:eastAsia="Times New Roman" w:cs="Times New Roman"/>
                <w:kern w:val="0"/>
                <w14:ligatures w14:val="none"/>
              </w:rPr>
              <w:t>-LLM/</w:t>
            </w:r>
            <w:proofErr w:type="spellStart"/>
            <w:r w:rsidRPr="00AB4CD9">
              <w:rPr>
                <w:rFonts w:ascii="Times New Roman" w:hAnsi="Times New Roman" w:eastAsia="Times New Roman" w:cs="Times New Roman"/>
                <w:kern w:val="0"/>
                <w14:ligatures w14:val="none"/>
              </w:rPr>
              <w:t>SGLang</w:t>
            </w:r>
            <w:proofErr w:type="spellEnd"/>
            <w:r w:rsidRPr="00AB4CD9">
              <w:rPr>
                <w:rFonts w:ascii="Times New Roman" w:hAnsi="Times New Roman" w:eastAsia="Times New Roman" w:cs="Times New Roman"/>
                <w:kern w:val="0"/>
                <w14:ligatures w14:val="none"/>
              </w:rPr>
              <w:t>/</w:t>
            </w:r>
            <w:proofErr w:type="spellStart"/>
            <w:r w:rsidRPr="00AB4CD9">
              <w:rPr>
                <w:rFonts w:ascii="Times New Roman" w:hAnsi="Times New Roman" w:eastAsia="Times New Roman" w:cs="Times New Roman"/>
                <w:kern w:val="0"/>
                <w14:ligatures w14:val="none"/>
              </w:rPr>
              <w:t>vLLM</w:t>
            </w:r>
            <w:proofErr w:type="spellEnd"/>
            <w:r w:rsidRPr="00AB4CD9">
              <w:rPr>
                <w:rFonts w:ascii="Times New Roman" w:hAnsi="Times New Roman" w:eastAsia="Times New Roman" w:cs="Times New Roman"/>
                <w:kern w:val="0"/>
                <w14:ligatures w14:val="none"/>
              </w:rPr>
              <w:t>/NIM support, inference gateway, caching and batching optimizations, benchmarking, CLI and SDKs, playground, richer routing policies, fine-tuning workflows</w:t>
            </w:r>
          </w:p>
        </w:tc>
        <w:tc>
          <w:tcPr>
            <w:tcW w:w="0" w:type="auto"/>
            <w:hideMark/>
          </w:tcPr>
          <w:p w:rsidRPr="00AB4CD9" w:rsidR="00AB4CD9" w:rsidP="00AB4CD9" w:rsidRDefault="00AB4CD9" w14:paraId="3A2A226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 differentiated platform with clear latency, flexibility, and developer-experience advantages</w:t>
            </w:r>
          </w:p>
        </w:tc>
      </w:tr>
      <w:tr w:rsidRPr="00AB4CD9" w:rsidR="00AB4CD9" w:rsidTr="00037ECC" w14:paraId="183D49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4CD9" w:rsidR="00AB4CD9" w:rsidP="00AB4CD9" w:rsidRDefault="00AB4CD9" w14:paraId="38CF828E" w14:textId="77777777">
            <w:pPr>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Priority 2 - Expansion</w:t>
            </w:r>
          </w:p>
        </w:tc>
        <w:tc>
          <w:tcPr>
            <w:tcW w:w="0" w:type="auto"/>
            <w:hideMark/>
          </w:tcPr>
          <w:p w:rsidRPr="00AB4CD9" w:rsidR="00AB4CD9" w:rsidP="00AB4CD9" w:rsidRDefault="00AB4CD9" w14:paraId="0BD04E8A"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Scale hardware coverage and enterprise depth</w:t>
            </w:r>
          </w:p>
        </w:tc>
        <w:tc>
          <w:tcPr>
            <w:tcW w:w="0" w:type="auto"/>
            <w:hideMark/>
          </w:tcPr>
          <w:p w:rsidRPr="00AB4CD9" w:rsidR="00AB4CD9" w:rsidP="00AB4CD9" w:rsidRDefault="00AB4CD9" w14:paraId="5161CC83"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AMD and Intel Gaudi support, CPU inference, deeper tenant isolation tiers</w:t>
            </w:r>
          </w:p>
        </w:tc>
        <w:tc>
          <w:tcPr>
            <w:tcW w:w="0" w:type="auto"/>
            <w:hideMark/>
          </w:tcPr>
          <w:p w:rsidRPr="00AB4CD9" w:rsidR="00AB4CD9" w:rsidP="00AB4CD9" w:rsidRDefault="00AB4CD9" w14:paraId="2FEFA943"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Broader infrastructure reach, stronger enterprise fit, and improved resilience and economics</w:t>
            </w:r>
          </w:p>
        </w:tc>
      </w:tr>
    </w:tbl>
    <w:p w:rsidRPr="00AB4CD9" w:rsidR="00AB4CD9" w:rsidP="00AB4CD9" w:rsidRDefault="00AB4CD9" w14:paraId="02471A39" w14:textId="1C3EA32B">
      <w:pPr>
        <w:spacing w:after="0" w:line="240" w:lineRule="auto"/>
        <w:rPr>
          <w:rFonts w:ascii="Times New Roman" w:hAnsi="Times New Roman" w:eastAsia="Times New Roman" w:cs="Times New Roman"/>
          <w:kern w:val="0"/>
          <w14:ligatures w14:val="none"/>
        </w:rPr>
      </w:pPr>
    </w:p>
    <w:p w:rsidRPr="00AB4CD9" w:rsidR="00AB4CD9" w:rsidP="00037ECC" w:rsidRDefault="00AB4CD9" w14:paraId="7CC5B101" w14:textId="77777777">
      <w:pPr>
        <w:pStyle w:val="Heading2"/>
        <w:rPr>
          <w:rFonts w:eastAsia="Times New Roman"/>
        </w:rPr>
      </w:pPr>
      <w:r w:rsidRPr="00AB4CD9">
        <w:rPr>
          <w:rFonts w:eastAsia="Times New Roman"/>
        </w:rPr>
        <w:t>21. Risks and Execution Considerations</w:t>
      </w:r>
    </w:p>
    <w:p w:rsidRPr="00AB4CD9" w:rsidR="00AB4CD9" w:rsidP="00AB4CD9" w:rsidRDefault="00AB4CD9" w14:paraId="47246B53" w14:textId="77777777">
      <w:pPr>
        <w:numPr>
          <w:ilvl w:val="0"/>
          <w:numId w:val="19"/>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Multi-engine serving adds operational complexity; the UEI and benchmarking discipline must prevent fragmentation and one-off integrations.</w:t>
      </w:r>
    </w:p>
    <w:p w:rsidRPr="00AB4CD9" w:rsidR="00AB4CD9" w:rsidP="00AB4CD9" w:rsidRDefault="00AB4CD9" w14:paraId="5B363893" w14:textId="77777777">
      <w:pPr>
        <w:numPr>
          <w:ilvl w:val="0"/>
          <w:numId w:val="19"/>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Heterogeneous hardware support increases validation effort across kernels, drivers, and runtimes; certification matrices and automated tests are required.</w:t>
      </w:r>
    </w:p>
    <w:p w:rsidRPr="00AB4CD9" w:rsidR="00AB4CD9" w:rsidP="00AB4CD9" w:rsidRDefault="00AB4CD9" w14:paraId="4A254F0C" w14:textId="77777777">
      <w:pPr>
        <w:numPr>
          <w:ilvl w:val="0"/>
          <w:numId w:val="19"/>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Billing, quotas, and tenant isolation must be available early enough to avoid expensive retrofits after customer adoption begins.</w:t>
      </w:r>
    </w:p>
    <w:p w:rsidRPr="00AB4CD9" w:rsidR="00AB4CD9" w:rsidP="00AB4CD9" w:rsidRDefault="00AB4CD9" w14:paraId="14564B90" w14:textId="77777777">
      <w:pPr>
        <w:numPr>
          <w:ilvl w:val="0"/>
          <w:numId w:val="19"/>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platform UI, SDKs, and CLI should be designed from the same API contracts to avoid duplicated behavior and inconsistent workflows.</w:t>
      </w:r>
    </w:p>
    <w:p w:rsidR="000B411C" w:rsidP="000B411C" w:rsidRDefault="00AB4CD9" w14:paraId="226FB0E0" w14:textId="77777777">
      <w:pPr>
        <w:numPr>
          <w:ilvl w:val="0"/>
          <w:numId w:val="19"/>
        </w:num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Performance targets should be treated as platform SLOs with explicit ownership, not aspirational numbers buried in documentation.</w:t>
      </w:r>
    </w:p>
    <w:p w:rsidRPr="00AB4CD9" w:rsidR="00AB4CD9" w:rsidP="000B411C" w:rsidRDefault="000B411C" w14:paraId="4254CCB1" w14:textId="31E133E1">
      <w:pPr>
        <w:numPr>
          <w:ilvl w:val="0"/>
          <w:numId w:val="1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w:t>
      </w:r>
      <w:r w:rsidRPr="00AB4CD9" w:rsidR="00AB4CD9">
        <w:rPr>
          <w:rFonts w:ascii="Times New Roman" w:hAnsi="Times New Roman" w:eastAsia="Times New Roman" w:cs="Times New Roman"/>
          <w:kern w:val="0"/>
          <w14:ligatures w14:val="none"/>
        </w:rPr>
        <w:t>cope must be tightly controlled to prevent runtime breadth and UI ambition from delaying the foundational launch.</w:t>
      </w:r>
    </w:p>
    <w:p w:rsidRPr="00AB4CD9" w:rsidR="00AB4CD9" w:rsidP="00037ECC" w:rsidRDefault="00AB4CD9" w14:paraId="4A3D892D" w14:textId="77777777">
      <w:pPr>
        <w:pStyle w:val="Heading2"/>
        <w:rPr>
          <w:rFonts w:eastAsia="Times New Roman"/>
        </w:rPr>
      </w:pPr>
      <w:r w:rsidRPr="00AB4CD9">
        <w:rPr>
          <w:rFonts w:eastAsia="Times New Roman"/>
        </w:rPr>
        <w:t>22. Closing Statement</w:t>
      </w:r>
    </w:p>
    <w:p w:rsidRPr="00AB4CD9" w:rsidR="00AB4CD9" w:rsidP="00AB4CD9" w:rsidRDefault="00AB4CD9" w14:paraId="35C46C40"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RMPAI should be built as an enterprise AI platform, not merely a collection of model-serving components.</w:t>
      </w:r>
    </w:p>
    <w:p w:rsidRPr="00AB4CD9" w:rsidR="00AB4CD9" w:rsidP="00AB4CD9" w:rsidRDefault="00AB4CD9" w14:paraId="4B79921D"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Its strategic value comes from combining private-cloud portability, strong governance, and developer-friendly APIs with a high-performance inference and training substrate that can evolve with changing runtimes, accelerators, and customer requirements.</w:t>
      </w:r>
    </w:p>
    <w:p w:rsidRPr="00AB4CD9" w:rsidR="00AB4CD9" w:rsidP="00AB4CD9" w:rsidRDefault="00AB4CD9" w14:paraId="11E74B96" w14:textId="77777777">
      <w:pPr>
        <w:spacing w:before="100" w:beforeAutospacing="1" w:after="100" w:afterAutospacing="1" w:line="240" w:lineRule="auto"/>
        <w:rPr>
          <w:rFonts w:ascii="Times New Roman" w:hAnsi="Times New Roman" w:eastAsia="Times New Roman" w:cs="Times New Roman"/>
          <w:kern w:val="0"/>
          <w14:ligatures w14:val="none"/>
        </w:rPr>
      </w:pPr>
      <w:r w:rsidRPr="00AB4CD9">
        <w:rPr>
          <w:rFonts w:ascii="Times New Roman" w:hAnsi="Times New Roman" w:eastAsia="Times New Roman" w:cs="Times New Roman"/>
          <w:kern w:val="0"/>
          <w14:ligatures w14:val="none"/>
        </w:rPr>
        <w:t>The product succeeds when developers experience it as simple, fast, and flexible, while operators experience it as governable, cost-transparent, efficient, and resilient.</w:t>
      </w:r>
    </w:p>
    <w:p w:rsidR="00AB4CD9" w:rsidRDefault="00AB4CD9" w14:paraId="0773FA40" w14:textId="77777777"/>
    <w:sectPr w:rsidR="00AB4CD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D213F"/>
    <w:multiLevelType w:val="multilevel"/>
    <w:tmpl w:val="30E405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F747554"/>
    <w:multiLevelType w:val="multilevel"/>
    <w:tmpl w:val="D75EB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20E4AD9"/>
    <w:multiLevelType w:val="multilevel"/>
    <w:tmpl w:val="363A9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D5E99"/>
    <w:multiLevelType w:val="multilevel"/>
    <w:tmpl w:val="C2E212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7725334"/>
    <w:multiLevelType w:val="multilevel"/>
    <w:tmpl w:val="7696CF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A313020"/>
    <w:multiLevelType w:val="multilevel"/>
    <w:tmpl w:val="E39EDC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A8710E9"/>
    <w:multiLevelType w:val="multilevel"/>
    <w:tmpl w:val="CFAA38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BED4555"/>
    <w:multiLevelType w:val="multilevel"/>
    <w:tmpl w:val="2654C6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EF27D8B"/>
    <w:multiLevelType w:val="multilevel"/>
    <w:tmpl w:val="40D217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0971C9D"/>
    <w:multiLevelType w:val="multilevel"/>
    <w:tmpl w:val="E6BE8D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0F37662"/>
    <w:multiLevelType w:val="multilevel"/>
    <w:tmpl w:val="9D86C4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17B5CD1"/>
    <w:multiLevelType w:val="multilevel"/>
    <w:tmpl w:val="2AE042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61148B3"/>
    <w:multiLevelType w:val="multilevel"/>
    <w:tmpl w:val="72F47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EFA057C"/>
    <w:multiLevelType w:val="multilevel"/>
    <w:tmpl w:val="266692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0E6595C"/>
    <w:multiLevelType w:val="multilevel"/>
    <w:tmpl w:val="C8CE02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44D5614"/>
    <w:multiLevelType w:val="multilevel"/>
    <w:tmpl w:val="F9D636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06B3825"/>
    <w:multiLevelType w:val="multilevel"/>
    <w:tmpl w:val="4A504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57F0256"/>
    <w:multiLevelType w:val="multilevel"/>
    <w:tmpl w:val="7F44F3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A74409E"/>
    <w:multiLevelType w:val="multilevel"/>
    <w:tmpl w:val="58D456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F0D089B"/>
    <w:multiLevelType w:val="multilevel"/>
    <w:tmpl w:val="BA3C49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42458D5"/>
    <w:multiLevelType w:val="multilevel"/>
    <w:tmpl w:val="5560A9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7E3226D"/>
    <w:multiLevelType w:val="multilevel"/>
    <w:tmpl w:val="F5C2BA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27100109">
    <w:abstractNumId w:val="5"/>
  </w:num>
  <w:num w:numId="2" w16cid:durableId="1381320557">
    <w:abstractNumId w:val="7"/>
  </w:num>
  <w:num w:numId="3" w16cid:durableId="2064913291">
    <w:abstractNumId w:val="15"/>
  </w:num>
  <w:num w:numId="4" w16cid:durableId="1356886603">
    <w:abstractNumId w:val="21"/>
  </w:num>
  <w:num w:numId="5" w16cid:durableId="1399404813">
    <w:abstractNumId w:val="18"/>
  </w:num>
  <w:num w:numId="6" w16cid:durableId="2037465470">
    <w:abstractNumId w:val="0"/>
  </w:num>
  <w:num w:numId="7" w16cid:durableId="576013824">
    <w:abstractNumId w:val="8"/>
  </w:num>
  <w:num w:numId="8" w16cid:durableId="780993974">
    <w:abstractNumId w:val="11"/>
  </w:num>
  <w:num w:numId="9" w16cid:durableId="366108309">
    <w:abstractNumId w:val="14"/>
  </w:num>
  <w:num w:numId="10" w16cid:durableId="1820999061">
    <w:abstractNumId w:val="6"/>
  </w:num>
  <w:num w:numId="11" w16cid:durableId="901256546">
    <w:abstractNumId w:val="4"/>
  </w:num>
  <w:num w:numId="12" w16cid:durableId="156576925">
    <w:abstractNumId w:val="20"/>
  </w:num>
  <w:num w:numId="13" w16cid:durableId="781651412">
    <w:abstractNumId w:val="3"/>
  </w:num>
  <w:num w:numId="14" w16cid:durableId="1471630180">
    <w:abstractNumId w:val="10"/>
  </w:num>
  <w:num w:numId="15" w16cid:durableId="1860584840">
    <w:abstractNumId w:val="1"/>
  </w:num>
  <w:num w:numId="16" w16cid:durableId="1460416870">
    <w:abstractNumId w:val="12"/>
  </w:num>
  <w:num w:numId="17" w16cid:durableId="104160557">
    <w:abstractNumId w:val="16"/>
  </w:num>
  <w:num w:numId="18" w16cid:durableId="1443841632">
    <w:abstractNumId w:val="13"/>
  </w:num>
  <w:num w:numId="19" w16cid:durableId="265312063">
    <w:abstractNumId w:val="19"/>
  </w:num>
  <w:num w:numId="20" w16cid:durableId="1068304834">
    <w:abstractNumId w:val="17"/>
  </w:num>
  <w:num w:numId="21" w16cid:durableId="1666977050">
    <w:abstractNumId w:val="2"/>
  </w:num>
  <w:num w:numId="22" w16cid:durableId="121384912">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2"/>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CD9"/>
    <w:rsid w:val="00037ECC"/>
    <w:rsid w:val="000B411C"/>
    <w:rsid w:val="001C31C7"/>
    <w:rsid w:val="002B15B5"/>
    <w:rsid w:val="00303778"/>
    <w:rsid w:val="003D45B8"/>
    <w:rsid w:val="004637AA"/>
    <w:rsid w:val="00606578"/>
    <w:rsid w:val="00671415"/>
    <w:rsid w:val="00700AA8"/>
    <w:rsid w:val="007A7E0C"/>
    <w:rsid w:val="00853C51"/>
    <w:rsid w:val="00901A4B"/>
    <w:rsid w:val="00921DBE"/>
    <w:rsid w:val="00945799"/>
    <w:rsid w:val="00A545A6"/>
    <w:rsid w:val="00AB4CD9"/>
    <w:rsid w:val="00AE5326"/>
    <w:rsid w:val="00B41EF5"/>
    <w:rsid w:val="00F61F90"/>
    <w:rsid w:val="046EF69E"/>
    <w:rsid w:val="049EB45A"/>
    <w:rsid w:val="066EF056"/>
    <w:rsid w:val="0E902071"/>
    <w:rsid w:val="0FD85B9B"/>
    <w:rsid w:val="11364A01"/>
    <w:rsid w:val="17A36E7B"/>
    <w:rsid w:val="1B1194D6"/>
    <w:rsid w:val="1CF6A6CE"/>
    <w:rsid w:val="2673C20F"/>
    <w:rsid w:val="2920C0E7"/>
    <w:rsid w:val="2A39379A"/>
    <w:rsid w:val="330F1BF7"/>
    <w:rsid w:val="34E1620D"/>
    <w:rsid w:val="3AE36443"/>
    <w:rsid w:val="4476B66A"/>
    <w:rsid w:val="47020BF2"/>
    <w:rsid w:val="4BA381BD"/>
    <w:rsid w:val="5481B919"/>
    <w:rsid w:val="65C24654"/>
    <w:rsid w:val="67A2C015"/>
    <w:rsid w:val="6D2834B9"/>
    <w:rsid w:val="719FB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88978"/>
  <w15:chartTrackingRefBased/>
  <w15:docId w15:val="{C73AE443-4FF7-824F-8764-F8F7F2972F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B4C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4C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4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4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C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B4C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AB4C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B4C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AB4C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B4C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B4C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B4C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B4C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B4CD9"/>
    <w:rPr>
      <w:rFonts w:eastAsiaTheme="majorEastAsia" w:cstheme="majorBidi"/>
      <w:color w:val="272727" w:themeColor="text1" w:themeTint="D8"/>
    </w:rPr>
  </w:style>
  <w:style w:type="paragraph" w:styleId="Title">
    <w:name w:val="Title"/>
    <w:basedOn w:val="Normal"/>
    <w:next w:val="Normal"/>
    <w:link w:val="TitleChar"/>
    <w:uiPriority w:val="10"/>
    <w:qFormat/>
    <w:rsid w:val="00AB4CD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B4CD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B4CD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B4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CD9"/>
    <w:pPr>
      <w:spacing w:before="160"/>
      <w:jc w:val="center"/>
    </w:pPr>
    <w:rPr>
      <w:i/>
      <w:iCs/>
      <w:color w:val="404040" w:themeColor="text1" w:themeTint="BF"/>
    </w:rPr>
  </w:style>
  <w:style w:type="character" w:styleId="QuoteChar" w:customStyle="1">
    <w:name w:val="Quote Char"/>
    <w:basedOn w:val="DefaultParagraphFont"/>
    <w:link w:val="Quote"/>
    <w:uiPriority w:val="29"/>
    <w:rsid w:val="00AB4CD9"/>
    <w:rPr>
      <w:i/>
      <w:iCs/>
      <w:color w:val="404040" w:themeColor="text1" w:themeTint="BF"/>
    </w:rPr>
  </w:style>
  <w:style w:type="paragraph" w:styleId="ListParagraph">
    <w:name w:val="List Paragraph"/>
    <w:basedOn w:val="Normal"/>
    <w:uiPriority w:val="34"/>
    <w:qFormat/>
    <w:rsid w:val="00AB4CD9"/>
    <w:pPr>
      <w:ind w:left="720"/>
      <w:contextualSpacing/>
    </w:pPr>
  </w:style>
  <w:style w:type="character" w:styleId="IntenseEmphasis">
    <w:name w:val="Intense Emphasis"/>
    <w:basedOn w:val="DefaultParagraphFont"/>
    <w:uiPriority w:val="21"/>
    <w:qFormat/>
    <w:rsid w:val="00AB4CD9"/>
    <w:rPr>
      <w:i/>
      <w:iCs/>
      <w:color w:val="0F4761" w:themeColor="accent1" w:themeShade="BF"/>
    </w:rPr>
  </w:style>
  <w:style w:type="paragraph" w:styleId="IntenseQuote">
    <w:name w:val="Intense Quote"/>
    <w:basedOn w:val="Normal"/>
    <w:next w:val="Normal"/>
    <w:link w:val="IntenseQuoteChar"/>
    <w:uiPriority w:val="30"/>
    <w:qFormat/>
    <w:rsid w:val="00AB4CD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B4CD9"/>
    <w:rPr>
      <w:i/>
      <w:iCs/>
      <w:color w:val="0F4761" w:themeColor="accent1" w:themeShade="BF"/>
    </w:rPr>
  </w:style>
  <w:style w:type="character" w:styleId="IntenseReference">
    <w:name w:val="Intense Reference"/>
    <w:basedOn w:val="DefaultParagraphFont"/>
    <w:uiPriority w:val="32"/>
    <w:qFormat/>
    <w:rsid w:val="00AB4CD9"/>
    <w:rPr>
      <w:b/>
      <w:bCs/>
      <w:smallCaps/>
      <w:color w:val="0F4761" w:themeColor="accent1" w:themeShade="BF"/>
      <w:spacing w:val="5"/>
    </w:rPr>
  </w:style>
  <w:style w:type="paragraph" w:styleId="NormalWeb">
    <w:name w:val="Normal (Web)"/>
    <w:basedOn w:val="Normal"/>
    <w:uiPriority w:val="99"/>
    <w:unhideWhenUsed/>
    <w:rsid w:val="00AB4CD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AB4CD9"/>
    <w:rPr>
      <w:b/>
      <w:bCs/>
    </w:rPr>
  </w:style>
  <w:style w:type="character" w:styleId="HTMLCode">
    <w:name w:val="HTML Code"/>
    <w:basedOn w:val="DefaultParagraphFont"/>
    <w:uiPriority w:val="99"/>
    <w:semiHidden/>
    <w:unhideWhenUsed/>
    <w:rsid w:val="00AB4CD9"/>
    <w:rPr>
      <w:rFonts w:ascii="Courier New" w:hAnsi="Courier New" w:eastAsia="Times New Roman" w:cs="Courier New"/>
      <w:sz w:val="20"/>
      <w:szCs w:val="20"/>
    </w:rPr>
  </w:style>
  <w:style w:type="table" w:styleId="TableGridLight">
    <w:name w:val="Grid Table Light"/>
    <w:basedOn w:val="TableNormal"/>
    <w:uiPriority w:val="40"/>
    <w:rsid w:val="00037ECC"/>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Grid">
    <w:name w:val="Table Grid"/>
    <w:basedOn w:val="TableNormal"/>
    <w:uiPriority w:val="39"/>
    <w:rsid w:val="00037EC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037E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3467E54C777D4FB8E24D4FE3B22C26" ma:contentTypeVersion="5" ma:contentTypeDescription="Create a new document." ma:contentTypeScope="" ma:versionID="83a202b24e1f19c92414da6932a4a65c">
  <xsd:schema xmlns:xsd="http://www.w3.org/2001/XMLSchema" xmlns:xs="http://www.w3.org/2001/XMLSchema" xmlns:p="http://schemas.microsoft.com/office/2006/metadata/properties" xmlns:ns1="http://schemas.microsoft.com/sharepoint/v3" xmlns:ns2="916f1ef7-6ad2-45d9-8dfb-43a7e76e0370" targetNamespace="http://schemas.microsoft.com/office/2006/metadata/properties" ma:root="true" ma:fieldsID="2c7aa3cd738317701b342150714d9fde" ns1:_="" ns2:_="">
    <xsd:import namespace="http://schemas.microsoft.com/sharepoint/v3"/>
    <xsd:import namespace="916f1ef7-6ad2-45d9-8dfb-43a7e76e03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6f1ef7-6ad2-45d9-8dfb-43a7e76e0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8B0499-9C95-4C2F-B2D6-05AF3C29DB16}">
  <ds:schemaRefs>
    <ds:schemaRef ds:uri="http://schemas.microsoft.com/office/2006/metadata/properties"/>
    <ds:schemaRef ds:uri="http://schemas.microsoft.com/office/infopath/2007/PartnerControls"/>
    <ds:schemaRef ds:uri="http://schemas.microsoft.com/sharepoint/v3"/>
    <ds:schemaRef ds:uri="64c8f2c8-7263-429b-a1d9-828bbfb19c82"/>
    <ds:schemaRef ds:uri="81793f9a-cb4e-4486-a76c-714f416c6009"/>
  </ds:schemaRefs>
</ds:datastoreItem>
</file>

<file path=customXml/itemProps2.xml><?xml version="1.0" encoding="utf-8"?>
<ds:datastoreItem xmlns:ds="http://schemas.openxmlformats.org/officeDocument/2006/customXml" ds:itemID="{FC351EDE-E06F-4833-81C6-5087CD147C86}">
  <ds:schemaRefs>
    <ds:schemaRef ds:uri="http://schemas.microsoft.com/sharepoint/v3/contenttype/forms"/>
  </ds:schemaRefs>
</ds:datastoreItem>
</file>

<file path=customXml/itemProps3.xml><?xml version="1.0" encoding="utf-8"?>
<ds:datastoreItem xmlns:ds="http://schemas.openxmlformats.org/officeDocument/2006/customXml" ds:itemID="{9D2C3712-9870-4985-B4CC-5AB791749C4A}"/>
</file>

<file path=docMetadata/LabelInfo.xml><?xml version="1.0" encoding="utf-8"?>
<clbl:labelList xmlns:clbl="http://schemas.microsoft.com/office/2020/mipLabelMetadata">
  <clbl:label id="{e7f09a8f-df31-4464-b100-d09a5dbff5c8}" enabled="1" method="Standard" siteId="{570057f4-73ef-41c8-bcbb-08db2fc15c2b}"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Amine Badaoui</dc:creator>
  <keywords/>
  <dc:description/>
  <lastModifiedBy>Paavan Shanbhag</lastModifiedBy>
  <revision>8</revision>
  <dcterms:created xsi:type="dcterms:W3CDTF">2026-03-11T10:19:00.0000000Z</dcterms:created>
  <dcterms:modified xsi:type="dcterms:W3CDTF">2026-07-10T16:58:04.5713694Z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0x010100093467E54C777D4FB8E24D4FE3B22C26</vt:lpwstr>
  </property>
  <property fmtid="{D5CDD505-2E9C-101B-9397-08002B2CF9AE}" pid="4" name="docLang">
    <vt:lpwstr>en</vt:lpwstr>
  </property>
</Properties>
</file>