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Lead AI Assurance Engineer</w:t>
      </w:r>
    </w:p>
    <w:p>
      <w:pPr>
        <w:pBdr>
          <w:bottom w:val="single" w:color="D9D9D9" w:sz="6" w:space="6"/>
        </w:pBdr>
        <w:spacing w:after="200"/>
      </w:pPr>
      <w:r>
        <w:rPr>
          <w:rFonts w:ascii="Arial" w:cs="Arial" w:eastAsia="Arial" w:hAnsi="Arial"/>
          <w:color w:val="595959"/>
          <w:sz w:val="17"/>
          <w:szCs w:val="17"/>
        </w:rPr>
        <w:t xml:space="preserve">Engineering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w:t>
      </w:r>
    </w:p>
    <w:p>
      <w:pPr>
        <w:spacing w:after="90" w:line="250"/>
      </w:pPr>
      <w:r>
        <w:rPr>
          <w:rFonts w:ascii="Arial" w:cs="Arial" w:eastAsia="Arial" w:hAnsi="Arial"/>
          <w:color w:val="1A1A1A"/>
          <w:sz w:val="19"/>
          <w:szCs w:val="19"/>
        </w:rPr>
        <w:t xml:space="preserve">Evaluation has become the bottleneck on enterprise AI. Anyone can demo a model; very few organizations can say, with evidence a regulator or a skeptical customer would accept, that a change to a model or a prompt did not break anything. Under frameworks such as ISO/IEC 42001 and the EU AI Act, that evidence is becoming a requirement rather than good practice.</w:t>
      </w:r>
    </w:p>
    <w:p>
      <w:pPr>
        <w:spacing w:after="90" w:line="250"/>
      </w:pPr>
      <w:r>
        <w:rPr>
          <w:rFonts w:ascii="Arial" w:cs="Arial" w:eastAsia="Arial" w:hAnsi="Arial"/>
          <w:color w:val="1A1A1A"/>
          <w:sz w:val="19"/>
          <w:szCs w:val="19"/>
        </w:rPr>
        <w:t xml:space="preserve">As Lead AI Assurance Engineer you own the proof: the evaluation methodology, the verification that checks the steps of a run rather than only its final answer, the release gates that let models and policies change safely, and the evidence all of it produces for certification.</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the evaluation methodology: what gets measured, on which workloads, with which checks, and how much measurement is enough to trust a result.</w:t>
      </w:r>
    </w:p>
    <w:p>
      <w:pPr>
        <w:pStyle w:val="ListParagraph"/>
        <w:numPr>
          <w:ilvl w:val="0"/>
          <w:numId w:val="2"/>
        </w:numPr>
        <w:spacing w:after="45" w:line="245"/>
      </w:pPr>
      <w:r>
        <w:rPr>
          <w:rFonts w:ascii="Arial" w:cs="Arial" w:eastAsia="Arial" w:hAnsi="Arial"/>
          <w:color w:val="1A1A1A"/>
          <w:sz w:val="19"/>
          <w:szCs w:val="19"/>
        </w:rPr>
        <w:t xml:space="preserve">Own verification that checks the steps of a run — deterministic checks where the task allows, calibrated confidence and human escalation where it does not.</w:t>
      </w:r>
    </w:p>
    <w:p>
      <w:pPr>
        <w:pStyle w:val="ListParagraph"/>
        <w:numPr>
          <w:ilvl w:val="0"/>
          <w:numId w:val="2"/>
        </w:numPr>
        <w:spacing w:after="45" w:line="245"/>
      </w:pPr>
      <w:r>
        <w:rPr>
          <w:rFonts w:ascii="Arial" w:cs="Arial" w:eastAsia="Arial" w:hAnsi="Arial"/>
          <w:color w:val="1A1A1A"/>
          <w:sz w:val="19"/>
          <w:szCs w:val="19"/>
        </w:rPr>
        <w:t xml:space="preserve">Own the regression corpus and the ground-truth data behind it, including the human feedback loop that keeps it honest.</w:t>
      </w:r>
    </w:p>
    <w:p>
      <w:pPr>
        <w:pStyle w:val="ListParagraph"/>
        <w:numPr>
          <w:ilvl w:val="0"/>
          <w:numId w:val="2"/>
        </w:numPr>
        <w:spacing w:after="45" w:line="245"/>
      </w:pPr>
      <w:r>
        <w:rPr>
          <w:rFonts w:ascii="Arial" w:cs="Arial" w:eastAsia="Arial" w:hAnsi="Arial"/>
          <w:color w:val="1A1A1A"/>
          <w:sz w:val="19"/>
          <w:szCs w:val="19"/>
        </w:rPr>
        <w:t xml:space="preserve">Own evaluation in CI, so a model, prompt or policy change ships on evidence rather than judgment.</w:t>
      </w:r>
    </w:p>
    <w:p>
      <w:pPr>
        <w:pStyle w:val="ListParagraph"/>
        <w:numPr>
          <w:ilvl w:val="0"/>
          <w:numId w:val="2"/>
        </w:numPr>
        <w:spacing w:after="45" w:line="245"/>
      </w:pPr>
      <w:r>
        <w:rPr>
          <w:rFonts w:ascii="Arial" w:cs="Arial" w:eastAsia="Arial" w:hAnsi="Arial"/>
          <w:color w:val="1A1A1A"/>
          <w:sz w:val="19"/>
          <w:szCs w:val="19"/>
        </w:rPr>
        <w:t xml:space="preserve">Own integration testing across the platform, and the drift monitoring that catches degradation before a customer does.</w:t>
      </w:r>
    </w:p>
    <w:p>
      <w:pPr>
        <w:pStyle w:val="ListParagraph"/>
        <w:numPr>
          <w:ilvl w:val="0"/>
          <w:numId w:val="2"/>
        </w:numPr>
        <w:spacing w:after="45" w:line="245"/>
      </w:pPr>
      <w:r>
        <w:rPr>
          <w:rFonts w:ascii="Arial" w:cs="Arial" w:eastAsia="Arial" w:hAnsi="Arial"/>
          <w:color w:val="1A1A1A"/>
          <w:sz w:val="19"/>
          <w:szCs w:val="19"/>
        </w:rPr>
        <w:t xml:space="preserve">Own the test and evaluation evidence compliance and certification depend on, and red-team the platform's own behavior.</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Twelve or more years in test and evaluation, quality engineering or model validation, including at least three years on LLM-based or agentic systems.</w:t>
      </w:r>
    </w:p>
    <w:p>
      <w:pPr>
        <w:pStyle w:val="ListParagraph"/>
        <w:numPr>
          <w:ilvl w:val="0"/>
          <w:numId w:val="2"/>
        </w:numPr>
        <w:spacing w:after="45" w:line="245"/>
      </w:pPr>
      <w:r>
        <w:rPr>
          <w:rFonts w:ascii="Arial" w:cs="Arial" w:eastAsia="Arial" w:hAnsi="Arial"/>
          <w:color w:val="1A1A1A"/>
          <w:sz w:val="19"/>
          <w:szCs w:val="19"/>
        </w:rPr>
        <w:t xml:space="preserve">Hands-on LLM evaluation: workload design, scoring approaches and their biases, and why model-graded evaluation alone will not satisfy a skeptical reviewer.</w:t>
      </w:r>
    </w:p>
    <w:p>
      <w:pPr>
        <w:pStyle w:val="ListParagraph"/>
        <w:numPr>
          <w:ilvl w:val="0"/>
          <w:numId w:val="2"/>
        </w:numPr>
        <w:spacing w:after="45" w:line="245"/>
      </w:pPr>
      <w:r>
        <w:rPr>
          <w:rFonts w:ascii="Arial" w:cs="Arial" w:eastAsia="Arial" w:hAnsi="Arial"/>
          <w:color w:val="1A1A1A"/>
          <w:sz w:val="19"/>
          <w:szCs w:val="19"/>
        </w:rPr>
        <w:t xml:space="preserve">Statistical rigor applied to systems where every run differs: sample size, variance, significance, calibration.</w:t>
      </w:r>
    </w:p>
    <w:p>
      <w:pPr>
        <w:pStyle w:val="ListParagraph"/>
        <w:numPr>
          <w:ilvl w:val="0"/>
          <w:numId w:val="2"/>
        </w:numPr>
        <w:spacing w:after="45" w:line="245"/>
      </w:pPr>
      <w:r>
        <w:rPr>
          <w:rFonts w:ascii="Arial" w:cs="Arial" w:eastAsia="Arial" w:hAnsi="Arial"/>
          <w:color w:val="1A1A1A"/>
          <w:sz w:val="19"/>
          <w:szCs w:val="19"/>
        </w:rPr>
        <w:t xml:space="preserve">Experience evaluating agentic systems: multi-step runs, tool use, partial credit, and attributing failure to the step that caused it.</w:t>
      </w:r>
    </w:p>
    <w:p>
      <w:pPr>
        <w:pStyle w:val="ListParagraph"/>
        <w:numPr>
          <w:ilvl w:val="0"/>
          <w:numId w:val="2"/>
        </w:numPr>
        <w:spacing w:after="45" w:line="245"/>
      </w:pPr>
      <w:r>
        <w:rPr>
          <w:rFonts w:ascii="Arial" w:cs="Arial" w:eastAsia="Arial" w:hAnsi="Arial"/>
          <w:color w:val="1A1A1A"/>
          <w:sz w:val="19"/>
          <w:szCs w:val="19"/>
        </w:rPr>
        <w:t xml:space="preserve">Strong Python, and test and evaluation engineering at depth including CI integration and flake management.</w:t>
      </w:r>
    </w:p>
    <w:p>
      <w:pPr>
        <w:pStyle w:val="ListParagraph"/>
        <w:numPr>
          <w:ilvl w:val="0"/>
          <w:numId w:val="2"/>
        </w:numPr>
        <w:spacing w:after="45" w:line="245"/>
      </w:pPr>
      <w:r>
        <w:rPr>
          <w:rFonts w:ascii="Arial" w:cs="Arial" w:eastAsia="Arial" w:hAnsi="Arial"/>
          <w:color w:val="1A1A1A"/>
          <w:sz w:val="19"/>
          <w:szCs w:val="19"/>
        </w:rPr>
        <w:t xml:space="preserve">Assurance frameworks — ISO/IEC 42001, NIST AI RMF, SOC 2 — implemented against rather than read.</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Red-teaming or adversarial testing programs for AI systems.</w:t>
      </w:r>
    </w:p>
    <w:p>
      <w:pPr>
        <w:pStyle w:val="ListParagraph"/>
        <w:numPr>
          <w:ilvl w:val="0"/>
          <w:numId w:val="2"/>
        </w:numPr>
        <w:spacing w:after="45" w:line="245"/>
      </w:pPr>
      <w:r>
        <w:rPr>
          <w:rFonts w:ascii="Arial" w:cs="Arial" w:eastAsia="Arial" w:hAnsi="Arial"/>
          <w:color w:val="1A1A1A"/>
          <w:sz w:val="19"/>
          <w:szCs w:val="19"/>
        </w:rPr>
        <w:t xml:space="preserve">Formal methods, property-based testing, or verification stronger than sampling.</w:t>
      </w:r>
    </w:p>
    <w:p>
      <w:pPr>
        <w:pStyle w:val="ListParagraph"/>
        <w:numPr>
          <w:ilvl w:val="0"/>
          <w:numId w:val="2"/>
        </w:numPr>
        <w:spacing w:after="45" w:line="245"/>
      </w:pPr>
      <w:r>
        <w:rPr>
          <w:rFonts w:ascii="Arial" w:cs="Arial" w:eastAsia="Arial" w:hAnsi="Arial"/>
          <w:color w:val="1A1A1A"/>
          <w:sz w:val="19"/>
          <w:szCs w:val="19"/>
        </w:rPr>
        <w:t xml:space="preserve">Model risk management or model validation in a regulated sector.</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9FE75B-699E-47AC-A1BF-282DA5F03EF4}"/>
</file>

<file path=customXml/itemProps2.xml><?xml version="1.0" encoding="utf-8"?>
<ds:datastoreItem xmlns:ds="http://schemas.openxmlformats.org/officeDocument/2006/customXml" ds:itemID="{276ECD93-62C2-4C16-8D49-8ECA4BA2F00C}"/>
</file>

<file path=customXml/itemProps3.xml><?xml version="1.0" encoding="utf-8"?>
<ds:datastoreItem xmlns:ds="http://schemas.openxmlformats.org/officeDocument/2006/customXml" ds:itemID="{9075D89D-9BFC-47D8-BA2B-FE877BBF90D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AI Assurance Engineer — Rackspace Technology</dc:title>
  <dc:creator>Rackspace Technology</dc:creator>
  <cp:lastModifiedBy>Un-named</cp:lastModifiedBy>
  <cp:revision>1</cp:revision>
  <dcterms:created xsi:type="dcterms:W3CDTF">2026-09-15T00:18:28Z</dcterms:created>
  <dcterms:modified xsi:type="dcterms:W3CDTF">2026-09-15T00:18:28Z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