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w:t>
            </w:r>
          </w:p>
        </w:tc>
      </w:tr>
    </w:tbl>
    <w:p>
      <w:pPr>
        <w:spacing w:after="40" w:before="240"/>
      </w:pPr>
      <w:r>
        <w:rPr>
          <w:rFonts w:ascii="Arial" w:cs="Arial" w:eastAsia="Arial" w:hAnsi="Arial"/>
          <w:b/>
          <w:bCs/>
          <w:color w:val="1A1A1A"/>
          <w:sz w:val="36"/>
          <w:szCs w:val="36"/>
        </w:rPr>
        <w:t xml:space="preserve">Lead AI Governance Engineer</w:t>
      </w:r>
    </w:p>
    <w:p>
      <w:pPr>
        <w:pBdr>
          <w:bottom w:val="single" w:color="D9D9D9" w:sz="6" w:space="6"/>
        </w:pBdr>
        <w:spacing w:after="200"/>
      </w:pPr>
      <w:r>
        <w:rPr>
          <w:rFonts w:ascii="Arial" w:cs="Arial" w:eastAsia="Arial" w:hAnsi="Arial"/>
          <w:color w:val="595959"/>
          <w:sz w:val="17"/>
          <w:szCs w:val="17"/>
        </w:rPr>
        <w:t xml:space="preserve">Engineering  ·  Remote / Hybrid</w:t>
      </w:r>
    </w:p>
    <w:p>
      <w:pPr>
        <w:pStyle w:val="Heading1"/>
        <w:pBdr>
          <w:bottom w:val="single" w:color="E4002B" w:sz="8" w:space="4"/>
        </w:pBdr>
        <w:spacing w:after="75" w:before="190"/>
      </w:pPr>
      <w:r>
        <w:rPr>
          <w:rFonts w:ascii="Arial" w:cs="Arial" w:eastAsia="Arial" w:hAnsi="Arial"/>
          <w:b/>
          <w:bCs/>
          <w:color w:val="1A1A1A"/>
          <w:sz w:val="23"/>
          <w:szCs w:val="23"/>
        </w:rPr>
        <w:t xml:space="preserve">The opportunity</w:t>
      </w:r>
    </w:p>
    <w:p>
      <w:pPr>
        <w:spacing w:after="90" w:line="250"/>
      </w:pPr>
      <w:r>
        <w:rPr>
          <w:rFonts w:ascii="Arial" w:cs="Arial" w:eastAsia="Arial" w:hAnsi="Arial"/>
          <w:color w:val="1A1A1A"/>
          <w:sz w:val="19"/>
          <w:szCs w:val="19"/>
        </w:rPr>
        <w:t xml:space="preserve">RackAI is Rackspace's managed AI inference platform, built for the private and sovereign environments where regulated enterprises can actually run AI. What makes that claim defensible is not the serving layer but the controls around it: policy enforced as the system runs, and a record afterwards of what happened and on whose authority.</w:t>
      </w:r>
    </w:p>
    <w:p>
      <w:pPr>
        <w:spacing w:after="90" w:line="250"/>
      </w:pPr>
      <w:r>
        <w:rPr>
          <w:rFonts w:ascii="Arial" w:cs="Arial" w:eastAsia="Arial" w:hAnsi="Arial"/>
          <w:color w:val="1A1A1A"/>
          <w:sz w:val="19"/>
          <w:szCs w:val="19"/>
        </w:rPr>
        <w:t xml:space="preserve">Enterprises have stopped asking whether AI can work and started asking who is accountable when it gets something wrong. Answering that in code rather than a policy document is one of the most sought-after engineering capabilities in the market, and the regulatory timetable has made it urgent.</w:t>
      </w:r>
    </w:p>
    <w:p>
      <w:pPr>
        <w:spacing w:after="90" w:line="250"/>
      </w:pPr>
      <w:r>
        <w:rPr>
          <w:rFonts w:ascii="Arial" w:cs="Arial" w:eastAsia="Arial" w:hAnsi="Arial"/>
          <w:color w:val="1A1A1A"/>
          <w:sz w:val="19"/>
          <w:szCs w:val="19"/>
        </w:rPr>
        <w:t xml:space="preserve">As Lead AI Governance Engineer you are the recognized expert for that work. You co-own the governance and identity architecture as well as building it, and the controls you design get exercised against real regulated workloads rather than documented.</w:t>
      </w:r>
    </w:p>
    <w:p>
      <w:pPr>
        <w:pStyle w:val="Heading1"/>
        <w:pBdr>
          <w:bottom w:val="single" w:color="E4002B" w:sz="8" w:space="4"/>
        </w:pBdr>
        <w:spacing w:after="75" w:before="190"/>
      </w:pPr>
      <w:r>
        <w:rPr>
          <w:rFonts w:ascii="Arial" w:cs="Arial" w:eastAsia="Arial" w:hAnsi="Arial"/>
          <w:b/>
          <w:bCs/>
          <w:color w:val="1A1A1A"/>
          <w:sz w:val="23"/>
          <w:szCs w:val="23"/>
        </w:rPr>
        <w:t xml:space="preserve">What you'll do</w:t>
      </w:r>
    </w:p>
    <w:p>
      <w:pPr>
        <w:pStyle w:val="ListParagraph"/>
        <w:numPr>
          <w:ilvl w:val="0"/>
          <w:numId w:val="2"/>
        </w:numPr>
        <w:spacing w:after="45" w:line="245"/>
      </w:pPr>
      <w:r>
        <w:rPr>
          <w:rFonts w:ascii="Arial" w:cs="Arial" w:eastAsia="Arial" w:hAnsi="Arial"/>
          <w:color w:val="1A1A1A"/>
          <w:sz w:val="19"/>
          <w:szCs w:val="19"/>
        </w:rPr>
        <w:t xml:space="preserve">Own runtime policy enforcement, deciding inline what an agent may do with which data and tools, without becoming the platform's bottleneck.</w:t>
      </w:r>
    </w:p>
    <w:p>
      <w:pPr>
        <w:pStyle w:val="ListParagraph"/>
        <w:numPr>
          <w:ilvl w:val="0"/>
          <w:numId w:val="2"/>
        </w:numPr>
        <w:spacing w:after="45" w:line="245"/>
      </w:pPr>
      <w:r>
        <w:rPr>
          <w:rFonts w:ascii="Arial" w:cs="Arial" w:eastAsia="Arial" w:hAnsi="Arial"/>
          <w:color w:val="1A1A1A"/>
          <w:sz w:val="19"/>
          <w:szCs w:val="19"/>
        </w:rPr>
        <w:t xml:space="preserve">Own the provenance and replay record: durable, tamper-evident, and complete enough to reconstruct a decision.</w:t>
      </w:r>
    </w:p>
    <w:p>
      <w:pPr>
        <w:pStyle w:val="ListParagraph"/>
        <w:numPr>
          <w:ilvl w:val="0"/>
          <w:numId w:val="2"/>
        </w:numPr>
        <w:spacing w:after="45" w:line="245"/>
      </w:pPr>
      <w:r>
        <w:rPr>
          <w:rFonts w:ascii="Arial" w:cs="Arial" w:eastAsia="Arial" w:hAnsi="Arial"/>
          <w:color w:val="1A1A1A"/>
          <w:sz w:val="19"/>
          <w:szCs w:val="19"/>
        </w:rPr>
        <w:t xml:space="preserve">Own agent identity and delegated authority — service identities, scoped tokens, and permissions that expire when a task ends rather than being inherited whole.</w:t>
      </w:r>
    </w:p>
    <w:p>
      <w:pPr>
        <w:pStyle w:val="ListParagraph"/>
        <w:numPr>
          <w:ilvl w:val="0"/>
          <w:numId w:val="2"/>
        </w:numPr>
        <w:spacing w:after="45" w:line="245"/>
      </w:pPr>
      <w:r>
        <w:rPr>
          <w:rFonts w:ascii="Arial" w:cs="Arial" w:eastAsia="Arial" w:hAnsi="Arial"/>
          <w:color w:val="1A1A1A"/>
          <w:sz w:val="19"/>
          <w:szCs w:val="19"/>
        </w:rPr>
        <w:t xml:space="preserve">Own tenant isolation, first-line prompt-injection defenses, and the action controls that bound what an agent can change in the world.</w:t>
      </w:r>
    </w:p>
    <w:p>
      <w:pPr>
        <w:pStyle w:val="ListParagraph"/>
        <w:numPr>
          <w:ilvl w:val="0"/>
          <w:numId w:val="2"/>
        </w:numPr>
        <w:spacing w:after="45" w:line="245"/>
      </w:pPr>
      <w:r>
        <w:rPr>
          <w:rFonts w:ascii="Arial" w:cs="Arial" w:eastAsia="Arial" w:hAnsi="Arial"/>
          <w:color w:val="1A1A1A"/>
          <w:sz w:val="19"/>
          <w:szCs w:val="19"/>
        </w:rPr>
        <w:t xml:space="preserve">Own the engineering of compliance and certification evidence, so an audit becomes a query against the platform.</w:t>
      </w:r>
    </w:p>
    <w:p>
      <w:pPr>
        <w:pStyle w:val="ListParagraph"/>
        <w:numPr>
          <w:ilvl w:val="0"/>
          <w:numId w:val="2"/>
        </w:numPr>
        <w:spacing w:after="45" w:line="245"/>
      </w:pPr>
      <w:r>
        <w:rPr>
          <w:rFonts w:ascii="Arial" w:cs="Arial" w:eastAsia="Arial" w:hAnsi="Arial"/>
          <w:color w:val="1A1A1A"/>
          <w:sz w:val="19"/>
          <w:szCs w:val="19"/>
        </w:rPr>
        <w:t xml:space="preserve">Set the engineering standard for governance controls, and coach engineers on policy-as-code, identity and auditability.</w:t>
      </w:r>
    </w:p>
    <w:p>
      <w:pPr>
        <w:pStyle w:val="Heading1"/>
        <w:pBdr>
          <w:bottom w:val="single" w:color="E4002B" w:sz="8" w:space="4"/>
        </w:pBdr>
        <w:spacing w:after="75" w:before="190"/>
      </w:pPr>
      <w:r>
        <w:rPr>
          <w:rFonts w:ascii="Arial" w:cs="Arial" w:eastAsia="Arial" w:hAnsi="Arial"/>
          <w:b/>
          <w:bCs/>
          <w:color w:val="1A1A1A"/>
          <w:sz w:val="23"/>
          <w:szCs w:val="23"/>
        </w:rPr>
        <w:t xml:space="preserve">What you'll bring</w:t>
      </w:r>
    </w:p>
    <w:p>
      <w:pPr>
        <w:pStyle w:val="ListParagraph"/>
        <w:numPr>
          <w:ilvl w:val="0"/>
          <w:numId w:val="2"/>
        </w:numPr>
        <w:spacing w:after="45" w:line="245"/>
      </w:pPr>
      <w:r>
        <w:rPr>
          <w:rFonts w:ascii="Arial" w:cs="Arial" w:eastAsia="Arial" w:hAnsi="Arial"/>
          <w:color w:val="1A1A1A"/>
          <w:sz w:val="19"/>
          <w:szCs w:val="19"/>
        </w:rPr>
        <w:t xml:space="preserve">Twelve or more years in security, identity or platform engineering, including at least three years on LLM-based or agentic systems.</w:t>
      </w:r>
    </w:p>
    <w:p>
      <w:pPr>
        <w:pStyle w:val="ListParagraph"/>
        <w:numPr>
          <w:ilvl w:val="0"/>
          <w:numId w:val="2"/>
        </w:numPr>
        <w:spacing w:after="45" w:line="245"/>
      </w:pPr>
      <w:r>
        <w:rPr>
          <w:rFonts w:ascii="Arial" w:cs="Arial" w:eastAsia="Arial" w:hAnsi="Arial"/>
          <w:color w:val="1A1A1A"/>
          <w:sz w:val="19"/>
          <w:szCs w:val="19"/>
        </w:rPr>
        <w:t xml:space="preserve">Policy-as-code in production — OPA and Rego or equivalent — including policy distribution, versioning and testing.</w:t>
      </w:r>
    </w:p>
    <w:p>
      <w:pPr>
        <w:pStyle w:val="ListParagraph"/>
        <w:numPr>
          <w:ilvl w:val="0"/>
          <w:numId w:val="2"/>
        </w:numPr>
        <w:spacing w:after="45" w:line="245"/>
      </w:pPr>
      <w:r>
        <w:rPr>
          <w:rFonts w:ascii="Arial" w:cs="Arial" w:eastAsia="Arial" w:hAnsi="Arial"/>
          <w:color w:val="1A1A1A"/>
          <w:sz w:val="19"/>
          <w:szCs w:val="19"/>
        </w:rPr>
        <w:t xml:space="preserve">Identity and access engineering: OAuth and OIDC, workload identity, short-lived credentials, and delegated authority across service boundaries.</w:t>
      </w:r>
    </w:p>
    <w:p>
      <w:pPr>
        <w:pStyle w:val="ListParagraph"/>
        <w:numPr>
          <w:ilvl w:val="0"/>
          <w:numId w:val="2"/>
        </w:numPr>
        <w:spacing w:after="45" w:line="245"/>
      </w:pPr>
      <w:r>
        <w:rPr>
          <w:rFonts w:ascii="Arial" w:cs="Arial" w:eastAsia="Arial" w:hAnsi="Arial"/>
          <w:color w:val="1A1A1A"/>
          <w:sz w:val="19"/>
          <w:szCs w:val="19"/>
        </w:rPr>
        <w:t xml:space="preserve">Audit and provenance systems you have designed: tamper-evidence, event sourcing, lineage, and designing for the query an auditor will ask.</w:t>
      </w:r>
    </w:p>
    <w:p>
      <w:pPr>
        <w:pStyle w:val="ListParagraph"/>
        <w:numPr>
          <w:ilvl w:val="0"/>
          <w:numId w:val="2"/>
        </w:numPr>
        <w:spacing w:after="45" w:line="245"/>
      </w:pPr>
      <w:r>
        <w:rPr>
          <w:rFonts w:ascii="Arial" w:cs="Arial" w:eastAsia="Arial" w:hAnsi="Arial"/>
          <w:color w:val="1A1A1A"/>
          <w:sz w:val="19"/>
          <w:szCs w:val="19"/>
        </w:rPr>
        <w:t xml:space="preserve">Strong Go or Python, and Kubernetes to the depth needed to build platform services including operators and controllers.</w:t>
      </w:r>
    </w:p>
    <w:p>
      <w:pPr>
        <w:pStyle w:val="ListParagraph"/>
        <w:numPr>
          <w:ilvl w:val="0"/>
          <w:numId w:val="2"/>
        </w:numPr>
        <w:spacing w:after="45" w:line="245"/>
      </w:pPr>
      <w:r>
        <w:rPr>
          <w:rFonts w:ascii="Arial" w:cs="Arial" w:eastAsia="Arial" w:hAnsi="Arial"/>
          <w:color w:val="1A1A1A"/>
          <w:sz w:val="19"/>
          <w:szCs w:val="19"/>
        </w:rPr>
        <w:t xml:space="preserve">Control frameworks — SOC 2, ISO/IEC 27001 or 42001, NIST AI RMF — implemented against rather than read.</w:t>
      </w:r>
    </w:p>
    <w:p>
      <w:pPr>
        <w:pStyle w:val="Heading1"/>
        <w:pBdr>
          <w:bottom w:val="single" w:color="E4002B" w:sz="8" w:space="4"/>
        </w:pBdr>
        <w:spacing w:after="75" w:before="190"/>
      </w:pPr>
      <w:r>
        <w:rPr>
          <w:rFonts w:ascii="Arial" w:cs="Arial" w:eastAsia="Arial" w:hAnsi="Arial"/>
          <w:b/>
          <w:bCs/>
          <w:color w:val="1A1A1A"/>
          <w:sz w:val="23"/>
          <w:szCs w:val="23"/>
        </w:rPr>
        <w:t xml:space="preserve">Nice to have</w:t>
      </w:r>
    </w:p>
    <w:p>
      <w:pPr>
        <w:pStyle w:val="ListParagraph"/>
        <w:numPr>
          <w:ilvl w:val="0"/>
          <w:numId w:val="2"/>
        </w:numPr>
        <w:spacing w:after="45" w:line="245"/>
      </w:pPr>
      <w:r>
        <w:rPr>
          <w:rFonts w:ascii="Arial" w:cs="Arial" w:eastAsia="Arial" w:hAnsi="Arial"/>
          <w:color w:val="1A1A1A"/>
          <w:sz w:val="19"/>
          <w:szCs w:val="19"/>
        </w:rPr>
        <w:t xml:space="preserve">SPIFFE and SPIRE, service mesh identity, or confidential computing.</w:t>
      </w:r>
    </w:p>
    <w:p>
      <w:pPr>
        <w:pStyle w:val="ListParagraph"/>
        <w:numPr>
          <w:ilvl w:val="0"/>
          <w:numId w:val="2"/>
        </w:numPr>
        <w:spacing w:after="45" w:line="245"/>
      </w:pPr>
      <w:r>
        <w:rPr>
          <w:rFonts w:ascii="Arial" w:cs="Arial" w:eastAsia="Arial" w:hAnsi="Arial"/>
          <w:color w:val="1A1A1A"/>
          <w:sz w:val="19"/>
          <w:szCs w:val="19"/>
        </w:rPr>
        <w:t xml:space="preserve">Information-flow control, data classification or labeling at scale.</w:t>
      </w:r>
    </w:p>
    <w:p>
      <w:pPr>
        <w:pStyle w:val="ListParagraph"/>
        <w:numPr>
          <w:ilvl w:val="0"/>
          <w:numId w:val="2"/>
        </w:numPr>
        <w:spacing w:after="45" w:line="245"/>
      </w:pPr>
      <w:r>
        <w:rPr>
          <w:rFonts w:ascii="Arial" w:cs="Arial" w:eastAsia="Arial" w:hAnsi="Arial"/>
          <w:color w:val="1A1A1A"/>
          <w:sz w:val="19"/>
          <w:szCs w:val="19"/>
        </w:rPr>
        <w:t xml:space="preserve">Having been on the engineering side of a certification audit.</w:t>
      </w:r>
    </w:p>
    <w:p>
      <w:pPr>
        <w:pStyle w:val="Heading1"/>
        <w:pBdr>
          <w:bottom w:val="single" w:color="E4002B" w:sz="8" w:space="4"/>
        </w:pBdr>
        <w:spacing w:after="75" w:before="190"/>
      </w:pPr>
      <w:r>
        <w:rPr>
          <w:rFonts w:ascii="Arial" w:cs="Arial" w:eastAsia="Arial" w:hAnsi="Arial"/>
          <w:b/>
          <w:bCs/>
          <w:color w:val="1A1A1A"/>
          <w:sz w:val="23"/>
          <w:szCs w:val="23"/>
        </w:rPr>
        <w:t xml:space="preserve">Compensation and benefits</w:t>
      </w:r>
    </w:p>
    <w:p>
      <w:pPr>
        <w:shd w:fill="FDF0F3" w:val="clear"/>
        <w:spacing w:after="90" w:line="250"/>
      </w:pPr>
      <w:r>
        <w:rPr>
          <w:rFonts w:ascii="Arial" w:cs="Arial" w:eastAsia="Arial" w:hAnsi="Arial"/>
          <w:b/>
          <w:bCs/>
          <w:color w:val="B03060"/>
          <w:sz w:val="19"/>
          <w:szCs w:val="19"/>
        </w:rPr>
        <w:t xml:space="preserve">[ COMPENSATION RANGE — </w:t>
      </w:r>
      <w:r>
        <w:rPr>
          <w:rFonts w:ascii="Arial" w:cs="Arial" w:eastAsia="Arial" w:hAnsi="Arial"/>
          <w:i/>
          <w:iCs/>
          <w:color w:val="B03060"/>
          <w:sz w:val="19"/>
          <w:szCs w:val="19"/>
        </w:rPr>
        <w:t xml:space="preserve">insert the approved geographic pay-range statement for this grade, plus the incentive, equity and ESPP wording and the benefits link ]</w:t>
      </w:r>
    </w:p>
    <w:p>
      <w:pPr>
        <w:pStyle w:val="Heading1"/>
        <w:pBdr>
          <w:bottom w:val="single" w:color="E4002B" w:sz="8" w:space="4"/>
        </w:pBdr>
        <w:spacing w:after="75" w:before="190"/>
      </w:pPr>
      <w:r>
        <w:rPr>
          <w:rFonts w:ascii="Arial" w:cs="Arial" w:eastAsia="Arial" w:hAnsi="Arial"/>
          <w:b/>
          <w:bCs/>
          <w:color w:val="1A1A1A"/>
          <w:sz w:val="23"/>
          <w:szCs w:val="23"/>
        </w:rPr>
        <w:t xml:space="preserve">About Rackspace Technology</w:t>
      </w:r>
    </w:p>
    <w:p>
      <w:pPr>
        <w:spacing w:after="90" w:line="250"/>
      </w:pPr>
      <w:r>
        <w:rPr>
          <w:rFonts w:ascii="Arial" w:cs="Arial" w:eastAsia="Arial" w:hAnsi="Arial"/>
          <w:color w:val="1A1A1A"/>
          <w:sz w:val="19"/>
          <w:szCs w:val="19"/>
        </w:rPr>
        <w:t xml:space="preserve">We are the multicloud solutions experts. We combine our expertise with the world’s leading technologies — across applications, data and security — to deliver end-to-end solutions. We have a proven record of advising customers based on their business challenges, designing solutions that scale, building and managing those solutions, and optimizing returns into the future. Named a best place to work, year after year according to Fortune, Forbes and Glassdoor, we attract and develop world-class talent. Join us on our mission to embrace technology, empower customers and deliver the future.</w:t>
      </w:r>
    </w:p>
    <w:p>
      <w:pPr>
        <w:pStyle w:val="Heading1"/>
        <w:pBdr>
          <w:bottom w:val="single" w:color="E4002B" w:sz="8" w:space="4"/>
        </w:pBdr>
        <w:spacing w:after="75" w:before="190"/>
      </w:pPr>
      <w:r>
        <w:rPr>
          <w:rFonts w:ascii="Arial" w:cs="Arial" w:eastAsia="Arial" w:hAnsi="Arial"/>
          <w:b/>
          <w:bCs/>
          <w:color w:val="1A1A1A"/>
          <w:sz w:val="23"/>
          <w:szCs w:val="23"/>
        </w:rPr>
        <w:t xml:space="preserve">More on Rackspace Technology</w:t>
      </w:r>
    </w:p>
    <w:p>
      <w:pPr>
        <w:spacing w:after="90" w:line="250"/>
      </w:pPr>
      <w:r>
        <w:rPr>
          <w:rFonts w:ascii="Arial" w:cs="Arial" w:eastAsia="Arial" w:hAnsi="Arial"/>
          <w:color w:val="1A1A1A"/>
          <w:sz w:val="19"/>
          <w:szCs w:val="19"/>
        </w:rPr>
        <w:t xml:space="preserve">Though we’re all different, Rackers thrive through our connection to a central goal: to be a valued member of a winning team on an inspiring mission. We bring our whole selves to work every day. And we embrace the notion that unique perspectives fuel innovation and enable us to best serve our customers and communities around the globe. We welcome you to apply today and want you to know that we are committed to offering equal employment opportunity without regard to age, color, disability, gender reassignment or identity or expression, genetic information, marital or civil partner status, pregnancy or maternity status, military or veteran status, nationality, ethnic or national origin, race, religion or belief, sexual orientation, or any legally protected characteristic. If you have a disability or special need that requires accommodation, please let us know.</w:t>
      </w:r>
    </w:p>
    <w:p>
      <w:pPr>
        <w:spacing w:after="0" w:line="250"/>
      </w:pPr>
      <w:r>
        <w:rPr>
          <w:rFonts w:ascii="Arial" w:cs="Arial" w:eastAsia="Arial" w:hAnsi="Arial"/>
          <w:color w:val="1A1A1A"/>
          <w:sz w:val="19"/>
          <w:szCs w:val="19"/>
        </w:rPr>
        <w:t xml:space="preserve">#LI-[recruiter tag]</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rackspace.com/careers</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2EDD59-F4AA-41C7-B845-87CB768A7D2B}"/>
</file>

<file path=customXml/itemProps2.xml><?xml version="1.0" encoding="utf-8"?>
<ds:datastoreItem xmlns:ds="http://schemas.openxmlformats.org/officeDocument/2006/customXml" ds:itemID="{17EB3833-6FA8-4E3B-AC72-087B5574154C}"/>
</file>

<file path=customXml/itemProps3.xml><?xml version="1.0" encoding="utf-8"?>
<ds:datastoreItem xmlns:ds="http://schemas.openxmlformats.org/officeDocument/2006/customXml" ds:itemID="{DFE0F8A1-5E3C-4937-A3EA-14B79A31019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AI Governance Engineer — Rackspace Technology</dc:title>
  <dc:creator>Rackspace Technology</dc:creator>
  <cp:lastModifiedBy>Un-named</cp:lastModifiedBy>
  <cp:revision>1</cp:revision>
  <dcterms:created xsi:type="dcterms:W3CDTF">2026-09-15T00:18:28Z</dcterms:created>
  <dcterms:modified xsi:type="dcterms:W3CDTF">2026-09-15T00:18:28Z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