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w:t>
            </w:r>
          </w:p>
        </w:tc>
      </w:tr>
    </w:tbl>
    <w:p>
      <w:pPr>
        <w:spacing w:after="40" w:before="240"/>
      </w:pPr>
      <w:r>
        <w:rPr>
          <w:rFonts w:ascii="Arial" w:cs="Arial" w:eastAsia="Arial" w:hAnsi="Arial"/>
          <w:b/>
          <w:bCs/>
          <w:color w:val="1A1A1A"/>
          <w:sz w:val="36"/>
          <w:szCs w:val="36"/>
        </w:rPr>
        <w:t xml:space="preserve">Principal Engineer, AI Harness</w:t>
      </w:r>
    </w:p>
    <w:p>
      <w:pPr>
        <w:pBdr>
          <w:bottom w:val="single" w:color="D9D9D9" w:sz="6" w:space="6"/>
        </w:pBdr>
        <w:spacing w:after="200"/>
      </w:pPr>
      <w:r>
        <w:rPr>
          <w:rFonts w:ascii="Arial" w:cs="Arial" w:eastAsia="Arial" w:hAnsi="Arial"/>
          <w:color w:val="595959"/>
          <w:sz w:val="17"/>
          <w:szCs w:val="17"/>
        </w:rPr>
        <w:t xml:space="preserve">Principal Engineering  ·  Remote / Hybrid</w:t>
      </w:r>
    </w:p>
    <w:p>
      <w:pPr>
        <w:pStyle w:val="Heading1"/>
        <w:pBdr>
          <w:bottom w:val="single" w:color="E4002B" w:sz="8" w:space="4"/>
        </w:pBdr>
        <w:spacing w:after="75" w:before="190"/>
      </w:pPr>
      <w:r>
        <w:rPr>
          <w:rFonts w:ascii="Arial" w:cs="Arial" w:eastAsia="Arial" w:hAnsi="Arial"/>
          <w:b/>
          <w:bCs/>
          <w:color w:val="1A1A1A"/>
          <w:sz w:val="23"/>
          <w:szCs w:val="23"/>
        </w:rPr>
        <w:t xml:space="preserve">The opportunity</w:t>
      </w:r>
    </w:p>
    <w:p>
      <w:pPr>
        <w:spacing w:after="90" w:line="250"/>
      </w:pPr>
      <w:r>
        <w:rPr>
          <w:rFonts w:ascii="Arial" w:cs="Arial" w:eastAsia="Arial" w:hAnsi="Arial"/>
          <w:color w:val="1A1A1A"/>
          <w:sz w:val="19"/>
          <w:szCs w:val="19"/>
        </w:rPr>
        <w:t xml:space="preserve">RackAI is Rackspace's managed AI inference platform. A raw model is not reliable on its own: the same model behaves very differently depending on the scaffolding around it — the context it is given, the tools it can call, what it remembers, and the guardrails it runs inside. That scaffolding is the agent harness, and it is what turns a capable model into a system an enterprise can depend on.</w:t>
      </w:r>
    </w:p>
    <w:p>
      <w:pPr>
        <w:spacing w:after="90" w:line="250"/>
      </w:pPr>
      <w:r>
        <w:rPr>
          <w:rFonts w:ascii="Arial" w:cs="Arial" w:eastAsia="Arial" w:hAnsi="Arial"/>
          <w:color w:val="1A1A1A"/>
          <w:sz w:val="19"/>
          <w:szCs w:val="19"/>
        </w:rPr>
        <w:t xml:space="preserve">As Principal Engineer, AI Harness you are the senior engineer accountable for building it: the harness pattern itself, the durable agent runtime beneath it, the SDK and hosting surface teams develop against, and the evaluation framework that measures whether any of it works.</w:t>
      </w:r>
    </w:p>
    <w:p>
      <w:pPr>
        <w:spacing w:after="90" w:line="250"/>
      </w:pPr>
      <w:r>
        <w:rPr>
          <w:rFonts w:ascii="Arial" w:cs="Arial" w:eastAsia="Arial" w:hAnsi="Arial"/>
          <w:color w:val="1A1A1A"/>
          <w:sz w:val="19"/>
          <w:szCs w:val="19"/>
        </w:rPr>
        <w:t xml:space="preserve">The hard parts are real engineering. A restart that loses context is useless, a non-deterministic run cannot be snapshotted and replayed the way ordinary software can, and conventional observability tells you very little when every run takes a different path. This is a hands-on principal role rather than a management one.</w:t>
      </w:r>
    </w:p>
    <w:p>
      <w:pPr>
        <w:pStyle w:val="Heading1"/>
        <w:pBdr>
          <w:bottom w:val="single" w:color="E4002B" w:sz="8" w:space="4"/>
        </w:pBdr>
        <w:spacing w:after="75" w:before="190"/>
      </w:pPr>
      <w:r>
        <w:rPr>
          <w:rFonts w:ascii="Arial" w:cs="Arial" w:eastAsia="Arial" w:hAnsi="Arial"/>
          <w:b/>
          <w:bCs/>
          <w:color w:val="1A1A1A"/>
          <w:sz w:val="23"/>
          <w:szCs w:val="23"/>
        </w:rPr>
        <w:t xml:space="preserve">What you'll do</w:t>
      </w:r>
    </w:p>
    <w:p>
      <w:pPr>
        <w:pStyle w:val="ListParagraph"/>
        <w:numPr>
          <w:ilvl w:val="0"/>
          <w:numId w:val="2"/>
        </w:numPr>
        <w:spacing w:after="45" w:line="245"/>
      </w:pPr>
      <w:r>
        <w:rPr>
          <w:rFonts w:ascii="Arial" w:cs="Arial" w:eastAsia="Arial" w:hAnsi="Arial"/>
          <w:color w:val="1A1A1A"/>
          <w:sz w:val="19"/>
          <w:szCs w:val="19"/>
        </w:rPr>
        <w:t xml:space="preserve">Own the agent harness pattern — context assembly, tool surface, memory, control flow and guardrails — built once to repeat across domains rather than rebuilt for each.</w:t>
      </w:r>
    </w:p>
    <w:p>
      <w:pPr>
        <w:pStyle w:val="ListParagraph"/>
        <w:numPr>
          <w:ilvl w:val="0"/>
          <w:numId w:val="2"/>
        </w:numPr>
        <w:spacing w:after="45" w:line="245"/>
      </w:pPr>
      <w:r>
        <w:rPr>
          <w:rFonts w:ascii="Arial" w:cs="Arial" w:eastAsia="Arial" w:hAnsi="Arial"/>
          <w:color w:val="1A1A1A"/>
          <w:sz w:val="19"/>
          <w:szCs w:val="19"/>
        </w:rPr>
        <w:t xml:space="preserve">Build a durable, observable agent runtime that can replay and recover a run, measuring cost per outcome from the first release.</w:t>
      </w:r>
    </w:p>
    <w:p>
      <w:pPr>
        <w:pStyle w:val="ListParagraph"/>
        <w:numPr>
          <w:ilvl w:val="0"/>
          <w:numId w:val="2"/>
        </w:numPr>
        <w:spacing w:after="45" w:line="245"/>
      </w:pPr>
      <w:r>
        <w:rPr>
          <w:rFonts w:ascii="Arial" w:cs="Arial" w:eastAsia="Arial" w:hAnsi="Arial"/>
          <w:color w:val="1A1A1A"/>
          <w:sz w:val="19"/>
          <w:szCs w:val="19"/>
        </w:rPr>
        <w:t xml:space="preserve">Solve observability for non-deterministic execution: tracing, attribution and debugging when no two runs are alike.</w:t>
      </w:r>
    </w:p>
    <w:p>
      <w:pPr>
        <w:pStyle w:val="ListParagraph"/>
        <w:numPr>
          <w:ilvl w:val="0"/>
          <w:numId w:val="2"/>
        </w:numPr>
        <w:spacing w:after="45" w:line="245"/>
      </w:pPr>
      <w:r>
        <w:rPr>
          <w:rFonts w:ascii="Arial" w:cs="Arial" w:eastAsia="Arial" w:hAnsi="Arial"/>
          <w:color w:val="1A1A1A"/>
          <w:sz w:val="19"/>
          <w:szCs w:val="19"/>
        </w:rPr>
        <w:t xml:space="preserve">Build the agent SDK and hosting surface internal teams and customers develop against, treating its ergonomics as a first-class concern.</w:t>
      </w:r>
    </w:p>
    <w:p>
      <w:pPr>
        <w:pStyle w:val="ListParagraph"/>
        <w:numPr>
          <w:ilvl w:val="0"/>
          <w:numId w:val="2"/>
        </w:numPr>
        <w:spacing w:after="45" w:line="245"/>
      </w:pPr>
      <w:r>
        <w:rPr>
          <w:rFonts w:ascii="Arial" w:cs="Arial" w:eastAsia="Arial" w:hAnsi="Arial"/>
          <w:color w:val="1A1A1A"/>
          <w:sz w:val="19"/>
          <w:szCs w:val="19"/>
        </w:rPr>
        <w:t xml:space="preserve">Build the evaluation framework as a platform capability: run a workload against several models and record what each did and what it cost.</w:t>
      </w:r>
    </w:p>
    <w:p>
      <w:pPr>
        <w:pStyle w:val="ListParagraph"/>
        <w:numPr>
          <w:ilvl w:val="0"/>
          <w:numId w:val="2"/>
        </w:numPr>
        <w:spacing w:after="45" w:line="245"/>
      </w:pPr>
      <w:r>
        <w:rPr>
          <w:rFonts w:ascii="Arial" w:cs="Arial" w:eastAsia="Arial" w:hAnsi="Arial"/>
          <w:color w:val="1A1A1A"/>
          <w:sz w:val="19"/>
          <w:szCs w:val="19"/>
        </w:rPr>
        <w:t xml:space="preserve">Set the engineering standard for the team around you, and technically lead and mentor engineers without managing them.</w:t>
      </w:r>
    </w:p>
    <w:p>
      <w:pPr>
        <w:pStyle w:val="Heading1"/>
        <w:pBdr>
          <w:bottom w:val="single" w:color="E4002B" w:sz="8" w:space="4"/>
        </w:pBdr>
        <w:spacing w:after="75" w:before="190"/>
      </w:pPr>
      <w:r>
        <w:rPr>
          <w:rFonts w:ascii="Arial" w:cs="Arial" w:eastAsia="Arial" w:hAnsi="Arial"/>
          <w:b/>
          <w:bCs/>
          <w:color w:val="1A1A1A"/>
          <w:sz w:val="23"/>
          <w:szCs w:val="23"/>
        </w:rPr>
        <w:t xml:space="preserve">What you'll bring</w:t>
      </w:r>
    </w:p>
    <w:p>
      <w:pPr>
        <w:pStyle w:val="ListParagraph"/>
        <w:numPr>
          <w:ilvl w:val="0"/>
          <w:numId w:val="2"/>
        </w:numPr>
        <w:spacing w:after="45" w:line="245"/>
      </w:pPr>
      <w:r>
        <w:rPr>
          <w:rFonts w:ascii="Arial" w:cs="Arial" w:eastAsia="Arial" w:hAnsi="Arial"/>
          <w:color w:val="1A1A1A"/>
          <w:sz w:val="19"/>
          <w:szCs w:val="19"/>
        </w:rPr>
        <w:t xml:space="preserve">Twelve or more years building production software, including principal or staff-level responsibility for a significant system and three or more years building LLM-based systems, with recent hands-on agentic work.</w:t>
      </w:r>
    </w:p>
    <w:p>
      <w:pPr>
        <w:pStyle w:val="ListParagraph"/>
        <w:numPr>
          <w:ilvl w:val="0"/>
          <w:numId w:val="2"/>
        </w:numPr>
        <w:spacing w:after="45" w:line="245"/>
      </w:pPr>
      <w:r>
        <w:rPr>
          <w:rFonts w:ascii="Arial" w:cs="Arial" w:eastAsia="Arial" w:hAnsi="Arial"/>
          <w:color w:val="1A1A1A"/>
          <w:sz w:val="19"/>
          <w:szCs w:val="19"/>
        </w:rPr>
        <w:t xml:space="preserve">A track record as the senior engineer on something hard and new, which others then depended on.</w:t>
      </w:r>
    </w:p>
    <w:p>
      <w:pPr>
        <w:pStyle w:val="ListParagraph"/>
        <w:numPr>
          <w:ilvl w:val="0"/>
          <w:numId w:val="2"/>
        </w:numPr>
        <w:spacing w:after="45" w:line="245"/>
      </w:pPr>
      <w:r>
        <w:rPr>
          <w:rFonts w:ascii="Arial" w:cs="Arial" w:eastAsia="Arial" w:hAnsi="Arial"/>
          <w:color w:val="1A1A1A"/>
          <w:sz w:val="19"/>
          <w:szCs w:val="19"/>
        </w:rPr>
        <w:t xml:space="preserve">Deep distributed systems: durable execution, state management, failure recovery, idempotency, backpressure.</w:t>
      </w:r>
    </w:p>
    <w:p>
      <w:pPr>
        <w:pStyle w:val="ListParagraph"/>
        <w:numPr>
          <w:ilvl w:val="0"/>
          <w:numId w:val="2"/>
        </w:numPr>
        <w:spacing w:after="45" w:line="245"/>
      </w:pPr>
      <w:r>
        <w:rPr>
          <w:rFonts w:ascii="Arial" w:cs="Arial" w:eastAsia="Arial" w:hAnsi="Arial"/>
          <w:color w:val="1A1A1A"/>
          <w:sz w:val="19"/>
          <w:szCs w:val="19"/>
        </w:rPr>
        <w:t xml:space="preserve">Strong Go or Python, and Kubernetes to the depth needed to build platform services on it, including operators and controllers.</w:t>
      </w:r>
    </w:p>
    <w:p>
      <w:pPr>
        <w:pStyle w:val="ListParagraph"/>
        <w:numPr>
          <w:ilvl w:val="0"/>
          <w:numId w:val="2"/>
        </w:numPr>
        <w:spacing w:after="45" w:line="245"/>
      </w:pPr>
      <w:r>
        <w:rPr>
          <w:rFonts w:ascii="Arial" w:cs="Arial" w:eastAsia="Arial" w:hAnsi="Arial"/>
          <w:color w:val="1A1A1A"/>
          <w:sz w:val="19"/>
          <w:szCs w:val="19"/>
        </w:rPr>
        <w:t xml:space="preserve">Hands-on experience with LLMs beyond prompting: tool use, function calling, retrieval, context assembly, memory management, multi-step agent loops.</w:t>
      </w:r>
    </w:p>
    <w:p>
      <w:pPr>
        <w:pStyle w:val="ListParagraph"/>
        <w:numPr>
          <w:ilvl w:val="0"/>
          <w:numId w:val="2"/>
        </w:numPr>
        <w:spacing w:after="45" w:line="245"/>
      </w:pPr>
      <w:r>
        <w:rPr>
          <w:rFonts w:ascii="Arial" w:cs="Arial" w:eastAsia="Arial" w:hAnsi="Arial"/>
          <w:color w:val="1A1A1A"/>
          <w:sz w:val="19"/>
          <w:szCs w:val="19"/>
        </w:rPr>
        <w:t xml:space="preserve">Working knowledge of agentic security failure modes — prompt injection, cross-tenant leakage, over-broad tool authority.</w:t>
      </w:r>
    </w:p>
    <w:p>
      <w:pPr>
        <w:pStyle w:val="Heading1"/>
        <w:pBdr>
          <w:bottom w:val="single" w:color="E4002B" w:sz="8" w:space="4"/>
        </w:pBdr>
        <w:spacing w:after="75" w:before="190"/>
      </w:pPr>
      <w:r>
        <w:rPr>
          <w:rFonts w:ascii="Arial" w:cs="Arial" w:eastAsia="Arial" w:hAnsi="Arial"/>
          <w:b/>
          <w:bCs/>
          <w:color w:val="1A1A1A"/>
          <w:sz w:val="23"/>
          <w:szCs w:val="23"/>
        </w:rPr>
        <w:t xml:space="preserve">Nice to have</w:t>
      </w:r>
    </w:p>
    <w:p>
      <w:pPr>
        <w:pStyle w:val="ListParagraph"/>
        <w:numPr>
          <w:ilvl w:val="0"/>
          <w:numId w:val="2"/>
        </w:numPr>
        <w:spacing w:after="45" w:line="245"/>
      </w:pPr>
      <w:r>
        <w:rPr>
          <w:rFonts w:ascii="Arial" w:cs="Arial" w:eastAsia="Arial" w:hAnsi="Arial"/>
          <w:color w:val="1A1A1A"/>
          <w:sz w:val="19"/>
          <w:szCs w:val="19"/>
        </w:rPr>
        <w:t xml:space="preserve">Built an SDK or developer platform with consumers outside your own team.</w:t>
      </w:r>
    </w:p>
    <w:p>
      <w:pPr>
        <w:pStyle w:val="ListParagraph"/>
        <w:numPr>
          <w:ilvl w:val="0"/>
          <w:numId w:val="2"/>
        </w:numPr>
        <w:spacing w:after="45" w:line="245"/>
      </w:pPr>
      <w:r>
        <w:rPr>
          <w:rFonts w:ascii="Arial" w:cs="Arial" w:eastAsia="Arial" w:hAnsi="Arial"/>
          <w:color w:val="1A1A1A"/>
          <w:sz w:val="19"/>
          <w:szCs w:val="19"/>
        </w:rPr>
        <w:t xml:space="preserve">Durable execution or workflow engine experience, such as Temporal.</w:t>
      </w:r>
    </w:p>
    <w:p>
      <w:pPr>
        <w:pStyle w:val="ListParagraph"/>
        <w:numPr>
          <w:ilvl w:val="0"/>
          <w:numId w:val="2"/>
        </w:numPr>
        <w:spacing w:after="45" w:line="245"/>
      </w:pPr>
      <w:r>
        <w:rPr>
          <w:rFonts w:ascii="Arial" w:cs="Arial" w:eastAsia="Arial" w:hAnsi="Arial"/>
          <w:color w:val="1A1A1A"/>
          <w:sz w:val="19"/>
          <w:szCs w:val="19"/>
        </w:rPr>
        <w:t xml:space="preserve">Delivery inside regulated or sovereign environments.</w:t>
      </w:r>
    </w:p>
    <w:p>
      <w:pPr>
        <w:pStyle w:val="Heading1"/>
        <w:pBdr>
          <w:bottom w:val="single" w:color="E4002B" w:sz="8" w:space="4"/>
        </w:pBdr>
        <w:spacing w:after="75" w:before="190"/>
      </w:pPr>
      <w:r>
        <w:rPr>
          <w:rFonts w:ascii="Arial" w:cs="Arial" w:eastAsia="Arial" w:hAnsi="Arial"/>
          <w:b/>
          <w:bCs/>
          <w:color w:val="1A1A1A"/>
          <w:sz w:val="23"/>
          <w:szCs w:val="23"/>
        </w:rPr>
        <w:t xml:space="preserve">Compensation and benefits</w:t>
      </w:r>
    </w:p>
    <w:p>
      <w:pPr>
        <w:shd w:fill="FDF0F3" w:val="clear"/>
        <w:spacing w:after="90" w:line="250"/>
      </w:pPr>
      <w:r>
        <w:rPr>
          <w:rFonts w:ascii="Arial" w:cs="Arial" w:eastAsia="Arial" w:hAnsi="Arial"/>
          <w:b/>
          <w:bCs/>
          <w:color w:val="B03060"/>
          <w:sz w:val="19"/>
          <w:szCs w:val="19"/>
        </w:rPr>
        <w:t xml:space="preserve">[ COMPENSATION RANGE — </w:t>
      </w:r>
      <w:r>
        <w:rPr>
          <w:rFonts w:ascii="Arial" w:cs="Arial" w:eastAsia="Arial" w:hAnsi="Arial"/>
          <w:i/>
          <w:iCs/>
          <w:color w:val="B03060"/>
          <w:sz w:val="19"/>
          <w:szCs w:val="19"/>
        </w:rPr>
        <w:t xml:space="preserve">insert the approved geographic pay-range statement for this grade, plus the incentive, equity and ESPP wording and the benefits link ]</w:t>
      </w:r>
    </w:p>
    <w:p>
      <w:pPr>
        <w:pStyle w:val="Heading1"/>
        <w:pBdr>
          <w:bottom w:val="single" w:color="E4002B" w:sz="8" w:space="4"/>
        </w:pBdr>
        <w:spacing w:after="75" w:before="190"/>
      </w:pPr>
      <w:r>
        <w:rPr>
          <w:rFonts w:ascii="Arial" w:cs="Arial" w:eastAsia="Arial" w:hAnsi="Arial"/>
          <w:b/>
          <w:bCs/>
          <w:color w:val="1A1A1A"/>
          <w:sz w:val="23"/>
          <w:szCs w:val="23"/>
        </w:rPr>
        <w:t xml:space="preserve">About Rackspace Technology</w:t>
      </w:r>
    </w:p>
    <w:p>
      <w:pPr>
        <w:spacing w:after="90" w:line="250"/>
      </w:pPr>
      <w:r>
        <w:rPr>
          <w:rFonts w:ascii="Arial" w:cs="Arial" w:eastAsia="Arial" w:hAnsi="Arial"/>
          <w:color w:val="1A1A1A"/>
          <w:sz w:val="19"/>
          <w:szCs w:val="19"/>
        </w:rPr>
        <w:t xml:space="preserve">We are the multicloud solutions experts. We combine our expertise with the world’s leading technologies — across applications, data and security — to deliver end-to-end solutions. We have a proven record of advising customers based on their business challenges, designing solutions that scale, building and managing those solutions, and optimizing returns into the future. Named a best place to work, year after year according to Fortune, Forbes and Glassdoor, we attract and develop world-class talent. Join us on our mission to embrace technology, empower customers and deliver the future.</w:t>
      </w:r>
    </w:p>
    <w:p>
      <w:pPr>
        <w:pStyle w:val="Heading1"/>
        <w:pBdr>
          <w:bottom w:val="single" w:color="E4002B" w:sz="8" w:space="4"/>
        </w:pBdr>
        <w:spacing w:after="75" w:before="190"/>
      </w:pPr>
      <w:r>
        <w:rPr>
          <w:rFonts w:ascii="Arial" w:cs="Arial" w:eastAsia="Arial" w:hAnsi="Arial"/>
          <w:b/>
          <w:bCs/>
          <w:color w:val="1A1A1A"/>
          <w:sz w:val="23"/>
          <w:szCs w:val="23"/>
        </w:rPr>
        <w:t xml:space="preserve">More on Rackspace Technology</w:t>
      </w:r>
    </w:p>
    <w:p>
      <w:pPr>
        <w:spacing w:after="90" w:line="250"/>
      </w:pPr>
      <w:r>
        <w:rPr>
          <w:rFonts w:ascii="Arial" w:cs="Arial" w:eastAsia="Arial" w:hAnsi="Arial"/>
          <w:color w:val="1A1A1A"/>
          <w:sz w:val="19"/>
          <w:szCs w:val="19"/>
        </w:rPr>
        <w:t xml:space="preserve">Though we’re all different, Rackers thrive through our connection to a central goal: to be a valued member of a winning team on an inspiring mission. We bring our whole selves to work every day. And we embrace the notion that unique perspectives fuel innovation and enable us to best serve our customers and communities around the globe. We welcome you to apply today and want you to know that we are committed to offering equal employment opportunity without regard to age, color, disability, gender reassignment or identity or expression, genetic information, marital or civil partner status, pregnancy or maternity status, military or veteran status, nationality, ethnic or national origin, race, religion or belief, sexual orientation, or any legally protected characteristic. If you have a disability or special need that requires accommodation, please let us know.</w:t>
      </w:r>
    </w:p>
    <w:p>
      <w:pPr>
        <w:spacing w:after="0" w:line="250"/>
      </w:pPr>
      <w:r>
        <w:rPr>
          <w:rFonts w:ascii="Arial" w:cs="Arial" w:eastAsia="Arial" w:hAnsi="Arial"/>
          <w:color w:val="1A1A1A"/>
          <w:sz w:val="19"/>
          <w:szCs w:val="19"/>
        </w:rPr>
        <w:t xml:space="preserve">#LI-[recruiter tag]</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rackspace.com/careers</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52514E-54BD-417B-97AD-D40539B0DE6A}"/>
</file>

<file path=customXml/itemProps2.xml><?xml version="1.0" encoding="utf-8"?>
<ds:datastoreItem xmlns:ds="http://schemas.openxmlformats.org/officeDocument/2006/customXml" ds:itemID="{F99FDC3F-2734-4752-ACF6-90110B57AC09}"/>
</file>

<file path=customXml/itemProps3.xml><?xml version="1.0" encoding="utf-8"?>
<ds:datastoreItem xmlns:ds="http://schemas.openxmlformats.org/officeDocument/2006/customXml" ds:itemID="{095DAA9F-46E7-4080-B0CE-8D0F7398A00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Engineer, AI Harness — Rackspace Technology</dc:title>
  <dc:creator>Rackspace Technology</dc:creator>
  <cp:lastModifiedBy>Un-named</cp:lastModifiedBy>
  <cp:revision>1</cp:revision>
  <dcterms:created xsi:type="dcterms:W3CDTF">2026-09-15T00:18:27Z</dcterms:created>
  <dcterms:modified xsi:type="dcterms:W3CDTF">2026-09-15T00:18:27Z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