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Assurance Engineer II</w:t>
      </w:r>
    </w:p>
    <w:p>
      <w:pPr>
        <w:spacing w:after="30"/>
      </w:pPr>
      <w:r>
        <w:rPr>
          <w:rFonts w:ascii="Arial" w:cs="Arial" w:eastAsia="Arial" w:hAnsi="Arial"/>
          <w:b/>
          <w:bCs/>
          <w:caps/>
          <w:color w:val="E4002B"/>
          <w:sz w:val="20"/>
          <w:szCs w:val="20"/>
        </w:rPr>
        <w:t xml:space="preserve">AI Assurance Engineering  ·  Evaluation, Verification and Release Gating</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Selling that to a regulated buyer means proving, on demand, that the system does what we say it does — and proving anything about a non-deterministic system is a hard engineering problem in its own right. AI Assurance Engineers build that proof.</w:t>
      </w:r>
    </w:p>
    <w:p>
      <w:pPr>
        <w:spacing w:after="80" w:line="242"/>
      </w:pPr>
      <w:r>
        <w:rPr>
          <w:rFonts w:ascii="Arial" w:cs="Arial" w:eastAsia="Arial" w:hAnsi="Arial"/>
          <w:color w:val="1A1A1A"/>
          <w:sz w:val="19"/>
          <w:szCs w:val="19"/>
        </w:rPr>
        <w:t xml:space="preserve">As an AI Assurance Engineer II you will own defined parts of the evaluation and testing suite — workload evaluations, regression coverage, ground-truth pipelines — working from established patterns with a moderate level of guidance, and broadening across the platform.</w:t>
      </w:r>
    </w:p>
    <w:p>
      <w:pPr>
        <w:spacing w:after="80" w:line="242"/>
      </w:pPr>
      <w:r>
        <w:rPr>
          <w:rFonts w:ascii="Arial" w:cs="Arial" w:eastAsia="Arial" w:hAnsi="Arial"/>
          <w:color w:val="1A1A1A"/>
          <w:sz w:val="19"/>
          <w:szCs w:val="19"/>
        </w:rPr>
        <w:t xml:space="preserve">You will work in a team that includes a Principal Engineer who builds the evaluation framework as a platform capability and AI Governance Engineers who build the controls. Your work is the measurement that decides what ships.</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Evaluation has become the bottleneck on enterprise AI, and engineers who can do it rigorously are scarce.</w:t>
      </w:r>
    </w:p>
    <w:p>
      <w:pPr>
        <w:spacing w:after="80" w:line="242"/>
      </w:pPr>
      <w:r>
        <w:rPr>
          <w:rFonts w:ascii="Arial" w:cs="Arial" w:eastAsia="Arial" w:hAnsi="Arial"/>
          <w:color w:val="1A1A1A"/>
          <w:sz w:val="19"/>
          <w:szCs w:val="19"/>
        </w:rPr>
        <w:t xml:space="preserve">Anyone can demo a model. Very few organisations can say, with evidence a regulator or a sceptical customer would accept, that a change to a model or a prompt did not break anything — and under frameworks like ISO/IEC 42001 and the EU AI Act, that evidence is becoming a requirement rather than good practice. The measurement built here decides what ships, and records where each model is reliable and what it costs from real operating data rather than public benchmarks.</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build real evaluation engineering rather than run someone else's test plan, this is an unusually good place to do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evaluations and regression coverage</w:t>
      </w:r>
    </w:p>
    <w:p>
      <w:pPr>
        <w:pStyle w:val="ListParagraph"/>
        <w:numPr>
          <w:ilvl w:val="0"/>
          <w:numId w:val="2"/>
        </w:numPr>
        <w:spacing w:after="30" w:line="238"/>
      </w:pPr>
      <w:r>
        <w:rPr>
          <w:rFonts w:ascii="Arial" w:cs="Arial" w:eastAsia="Arial" w:hAnsi="Arial"/>
          <w:color w:val="1A1A1A"/>
          <w:sz w:val="19"/>
          <w:szCs w:val="19"/>
        </w:rPr>
        <w:t xml:space="preserve">Own defined evaluations end to end: workload design, scoring, and the reporting around them.</w:t>
      </w:r>
    </w:p>
    <w:p>
      <w:pPr>
        <w:pStyle w:val="ListParagraph"/>
        <w:numPr>
          <w:ilvl w:val="0"/>
          <w:numId w:val="2"/>
        </w:numPr>
        <w:spacing w:after="30" w:line="238"/>
      </w:pPr>
      <w:r>
        <w:rPr>
          <w:rFonts w:ascii="Arial" w:cs="Arial" w:eastAsia="Arial" w:hAnsi="Arial"/>
          <w:color w:val="1A1A1A"/>
          <w:sz w:val="19"/>
          <w:szCs w:val="19"/>
        </w:rPr>
        <w:t xml:space="preserve">Own areas of the regression suite, including coverage decisions and the triage of failures.</w:t>
      </w:r>
    </w:p>
    <w:p>
      <w:pPr>
        <w:pStyle w:val="ListParagraph"/>
        <w:numPr>
          <w:ilvl w:val="0"/>
          <w:numId w:val="2"/>
        </w:numPr>
        <w:spacing w:after="30" w:line="238"/>
      </w:pPr>
      <w:r>
        <w:rPr>
          <w:rFonts w:ascii="Arial" w:cs="Arial" w:eastAsia="Arial" w:hAnsi="Arial"/>
          <w:color w:val="1A1A1A"/>
          <w:sz w:val="19"/>
          <w:szCs w:val="19"/>
        </w:rPr>
        <w:t xml:space="preserve">Build and maintain the ground-truth and annotation pipelines your evaluations depend on.</w:t>
      </w:r>
    </w:p>
    <w:p>
      <w:pPr>
        <w:pStyle w:val="ListParagraph"/>
        <w:numPr>
          <w:ilvl w:val="0"/>
          <w:numId w:val="2"/>
        </w:numPr>
        <w:spacing w:after="30" w:line="238"/>
      </w:pPr>
      <w:r>
        <w:rPr>
          <w:rFonts w:ascii="Arial" w:cs="Arial" w:eastAsia="Arial" w:hAnsi="Arial"/>
          <w:color w:val="1A1A1A"/>
          <w:sz w:val="19"/>
          <w:szCs w:val="19"/>
        </w:rPr>
        <w:t xml:space="preserve">Implement drift and quality monitoring for the components you cover.</w:t>
      </w:r>
    </w:p>
    <w:p>
      <w:pPr>
        <w:pStyle w:val="ListParagraph"/>
        <w:numPr>
          <w:ilvl w:val="0"/>
          <w:numId w:val="2"/>
        </w:numPr>
        <w:spacing w:after="30" w:line="238"/>
      </w:pPr>
      <w:r>
        <w:rPr>
          <w:rFonts w:ascii="Arial" w:cs="Arial" w:eastAsia="Arial" w:hAnsi="Arial"/>
          <w:color w:val="1A1A1A"/>
          <w:sz w:val="19"/>
          <w:szCs w:val="19"/>
        </w:rPr>
        <w:t xml:space="preserve">Turn production incidents into permanent regression cases.</w:t>
      </w:r>
    </w:p>
    <w:p>
      <w:pPr>
        <w:pStyle w:val="Heading2"/>
        <w:spacing w:after="44" w:before="112"/>
      </w:pPr>
      <w:r>
        <w:rPr>
          <w:rFonts w:ascii="Arial" w:cs="Arial" w:eastAsia="Arial" w:hAnsi="Arial"/>
          <w:b/>
          <w:bCs/>
          <w:color w:val="E4002B"/>
          <w:sz w:val="19"/>
          <w:szCs w:val="19"/>
        </w:rPr>
        <w:t xml:space="preserve">Make release gating routine</w:t>
      </w:r>
    </w:p>
    <w:p>
      <w:pPr>
        <w:pStyle w:val="ListParagraph"/>
        <w:numPr>
          <w:ilvl w:val="0"/>
          <w:numId w:val="2"/>
        </w:numPr>
        <w:spacing w:after="30" w:line="238"/>
      </w:pPr>
      <w:r>
        <w:rPr>
          <w:rFonts w:ascii="Arial" w:cs="Arial" w:eastAsia="Arial" w:hAnsi="Arial"/>
          <w:color w:val="1A1A1A"/>
          <w:sz w:val="19"/>
          <w:szCs w:val="19"/>
        </w:rPr>
        <w:t xml:space="preserve">Own the gating checks for defined areas, so a change ships on evidence rather than judgement.</w:t>
      </w:r>
    </w:p>
    <w:p>
      <w:pPr>
        <w:pStyle w:val="ListParagraph"/>
        <w:numPr>
          <w:ilvl w:val="0"/>
          <w:numId w:val="2"/>
        </w:numPr>
        <w:spacing w:after="30" w:line="238"/>
      </w:pPr>
      <w:r>
        <w:rPr>
          <w:rFonts w:ascii="Arial" w:cs="Arial" w:eastAsia="Arial" w:hAnsi="Arial"/>
          <w:color w:val="1A1A1A"/>
          <w:sz w:val="19"/>
          <w:szCs w:val="19"/>
        </w:rPr>
        <w:t xml:space="preserve">Own the record of what was tested, on which version, with what result, so it can be produced on request.</w:t>
      </w:r>
    </w:p>
    <w:p>
      <w:pPr>
        <w:pStyle w:val="ListParagraph"/>
        <w:numPr>
          <w:ilvl w:val="0"/>
          <w:numId w:val="2"/>
        </w:numPr>
        <w:spacing w:after="30" w:line="238"/>
      </w:pPr>
      <w:r>
        <w:rPr>
          <w:rFonts w:ascii="Arial" w:cs="Arial" w:eastAsia="Arial" w:hAnsi="Arial"/>
          <w:color w:val="1A1A1A"/>
          <w:sz w:val="19"/>
          <w:szCs w:val="19"/>
        </w:rPr>
        <w:t xml:space="preserve">Work with the governance engineers so controls and evidence reference one record rather than two.</w:t>
      </w:r>
    </w:p>
    <w:p>
      <w:pPr>
        <w:pStyle w:val="Heading2"/>
        <w:spacing w:after="44" w:before="112"/>
      </w:pPr>
      <w:r>
        <w:rPr>
          <w:rFonts w:ascii="Arial" w:cs="Arial" w:eastAsia="Arial" w:hAnsi="Arial"/>
          <w:b/>
          <w:bCs/>
          <w:color w:val="E4002B"/>
          <w:sz w:val="19"/>
          <w:szCs w:val="19"/>
        </w:rPr>
        <w:t xml:space="preserve">Work as part of the platform team</w:t>
      </w:r>
    </w:p>
    <w:p>
      <w:pPr>
        <w:pStyle w:val="ListParagraph"/>
        <w:numPr>
          <w:ilvl w:val="0"/>
          <w:numId w:val="2"/>
        </w:numPr>
        <w:spacing w:after="30" w:line="238"/>
      </w:pPr>
      <w:r>
        <w:rPr>
          <w:rFonts w:ascii="Arial" w:cs="Arial" w:eastAsia="Arial" w:hAnsi="Arial"/>
          <w:color w:val="1A1A1A"/>
          <w:sz w:val="19"/>
          <w:szCs w:val="19"/>
        </w:rPr>
        <w:t xml:space="preserve">Support engineers newer than you, and document your evaluations so others can run and trust them.</w:t>
      </w:r>
    </w:p>
    <w:p>
      <w:pPr>
        <w:pStyle w:val="ListParagraph"/>
        <w:numPr>
          <w:ilvl w:val="0"/>
          <w:numId w:val="2"/>
        </w:numPr>
        <w:spacing w:after="30" w:line="238"/>
      </w:pPr>
      <w:r>
        <w:rPr>
          <w:rFonts w:ascii="Arial" w:cs="Arial" w:eastAsia="Arial" w:hAnsi="Arial"/>
          <w:color w:val="1A1A1A"/>
          <w:sz w:val="19"/>
          <w:szCs w:val="19"/>
        </w:rPr>
        <w:t xml:space="preserve">Take part in on-call and incident response for the areas you cover.</w:t>
      </w:r>
    </w:p>
    <w:p>
      <w:pPr>
        <w:pStyle w:val="ListParagraph"/>
        <w:numPr>
          <w:ilvl w:val="0"/>
          <w:numId w:val="2"/>
        </w:numPr>
        <w:spacing w:after="30" w:line="238"/>
      </w:pPr>
      <w:r>
        <w:rPr>
          <w:rFonts w:ascii="Arial" w:cs="Arial" w:eastAsia="Arial" w:hAnsi="Arial"/>
          <w:color w:val="1A1A1A"/>
          <w:sz w:val="19"/>
          <w:szCs w:val="19"/>
        </w:rPr>
        <w:t xml:space="preserve">Work with teams outside your own when your gates sit in their release path.</w:t>
      </w:r>
    </w:p>
    <w:p>
      <w:pPr>
        <w:pStyle w:val="ListParagraph"/>
        <w:numPr>
          <w:ilvl w:val="0"/>
          <w:numId w:val="2"/>
        </w:numPr>
        <w:spacing w:after="30" w:line="238"/>
      </w:pPr>
      <w:r>
        <w:rPr>
          <w:rFonts w:ascii="Arial" w:cs="Arial" w:eastAsia="Arial" w:hAnsi="Arial"/>
          <w:color w:val="1A1A1A"/>
          <w:sz w:val="19"/>
          <w:szCs w:val="19"/>
        </w:rPr>
        <w:t xml:space="preserve">Use AI-assisted engineering as a normal part of design, coding, testing, review and documentation, within the standards the team sets.</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Working knowledge and experience of software engineering, with a track record of shipped production work.</w:t>
      </w:r>
    </w:p>
    <w:p>
      <w:pPr>
        <w:pStyle w:val="ListParagraph"/>
        <w:numPr>
          <w:ilvl w:val="0"/>
          <w:numId w:val="2"/>
        </w:numPr>
        <w:spacing w:after="30" w:line="238"/>
      </w:pPr>
      <w:r>
        <w:rPr>
          <w:rFonts w:ascii="Arial" w:cs="Arial" w:eastAsia="Arial" w:hAnsi="Arial"/>
          <w:color w:val="1A1A1A"/>
          <w:sz w:val="19"/>
          <w:szCs w:val="19"/>
        </w:rPr>
        <w:t xml:space="preserve">Solid Python, and the ability to work in an unfamiliar codebase without hand-holding.</w:t>
      </w:r>
    </w:p>
    <w:p>
      <w:pPr>
        <w:pStyle w:val="ListParagraph"/>
        <w:numPr>
          <w:ilvl w:val="0"/>
          <w:numId w:val="2"/>
        </w:numPr>
        <w:spacing w:after="30" w:line="238"/>
      </w:pPr>
      <w:r>
        <w:rPr>
          <w:rFonts w:ascii="Arial" w:cs="Arial" w:eastAsia="Arial" w:hAnsi="Arial"/>
          <w:color w:val="1A1A1A"/>
          <w:sz w:val="19"/>
          <w:szCs w:val="19"/>
        </w:rPr>
        <w:t xml:space="preserve">Test automation and CI to the depth needed to own a suite rather than just add to one.</w:t>
      </w:r>
    </w:p>
    <w:p>
      <w:pPr>
        <w:pStyle w:val="ListParagraph"/>
        <w:numPr>
          <w:ilvl w:val="0"/>
          <w:numId w:val="2"/>
        </w:numPr>
        <w:spacing w:after="30" w:line="238"/>
      </w:pPr>
      <w:r>
        <w:rPr>
          <w:rFonts w:ascii="Arial" w:cs="Arial" w:eastAsia="Arial" w:hAnsi="Arial"/>
          <w:color w:val="1A1A1A"/>
          <w:sz w:val="19"/>
          <w:szCs w:val="19"/>
        </w:rPr>
        <w:t xml:space="preserve">Enough Kubernetes to run evaluation workloads and debug them.</w:t>
      </w:r>
    </w:p>
    <w:p>
      <w:pPr>
        <w:pStyle w:val="Heading2"/>
        <w:spacing w:after="44" w:before="112"/>
      </w:pPr>
      <w:r>
        <w:rPr>
          <w:rFonts w:ascii="Arial" w:cs="Arial" w:eastAsia="Arial" w:hAnsi="Arial"/>
          <w:b/>
          <w:bCs/>
          <w:color w:val="E4002B"/>
          <w:sz w:val="19"/>
          <w:szCs w:val="19"/>
        </w:rPr>
        <w:t xml:space="preserve">Evaluation of AI systems</w:t>
      </w:r>
    </w:p>
    <w:p>
      <w:pPr>
        <w:pStyle w:val="ListParagraph"/>
        <w:numPr>
          <w:ilvl w:val="0"/>
          <w:numId w:val="2"/>
        </w:numPr>
        <w:spacing w:after="30" w:line="238"/>
      </w:pPr>
      <w:r>
        <w:rPr>
          <w:rFonts w:ascii="Arial" w:cs="Arial" w:eastAsia="Arial" w:hAnsi="Arial"/>
          <w:color w:val="1A1A1A"/>
          <w:sz w:val="19"/>
          <w:szCs w:val="19"/>
        </w:rPr>
        <w:t xml:space="preserve">Hands-on experience evaluating LLM or ML outputs, including the limits of automated scoring.</w:t>
      </w:r>
    </w:p>
    <w:p>
      <w:pPr>
        <w:pStyle w:val="ListParagraph"/>
        <w:numPr>
          <w:ilvl w:val="0"/>
          <w:numId w:val="2"/>
        </w:numPr>
        <w:spacing w:after="30" w:line="238"/>
      </w:pPr>
      <w:r>
        <w:rPr>
          <w:rFonts w:ascii="Arial" w:cs="Arial" w:eastAsia="Arial" w:hAnsi="Arial"/>
          <w:color w:val="1A1A1A"/>
          <w:sz w:val="19"/>
          <w:szCs w:val="19"/>
        </w:rPr>
        <w:t xml:space="preserve">Statistical literacy applied in practice: sample size, variance, significance.</w:t>
      </w:r>
    </w:p>
    <w:p>
      <w:pPr>
        <w:pStyle w:val="ListParagraph"/>
        <w:numPr>
          <w:ilvl w:val="0"/>
          <w:numId w:val="2"/>
        </w:numPr>
        <w:spacing w:after="30" w:line="238"/>
      </w:pPr>
      <w:r>
        <w:rPr>
          <w:rFonts w:ascii="Arial" w:cs="Arial" w:eastAsia="Arial" w:hAnsi="Arial"/>
          <w:color w:val="1A1A1A"/>
          <w:sz w:val="19"/>
          <w:szCs w:val="19"/>
        </w:rPr>
        <w:t xml:space="preserve">Exposure to adversarial testing or red-teaming of AI systems.</w:t>
      </w:r>
    </w:p>
    <w:p>
      <w:pPr>
        <w:pStyle w:val="ListParagraph"/>
        <w:numPr>
          <w:ilvl w:val="0"/>
          <w:numId w:val="2"/>
        </w:numPr>
        <w:spacing w:after="30" w:line="238"/>
      </w:pPr>
      <w:r>
        <w:rPr>
          <w:rFonts w:ascii="Arial" w:cs="Arial" w:eastAsia="Arial" w:hAnsi="Arial"/>
          <w:color w:val="1A1A1A"/>
          <w:sz w:val="19"/>
          <w:szCs w:val="19"/>
        </w:rPr>
        <w:t xml:space="preserve">Ground-truth data work: labelling, curation, and why inter-rater disagreement matters.</w:t>
      </w:r>
    </w:p>
    <w:p>
      <w:pPr>
        <w:pStyle w:val="ListParagraph"/>
        <w:numPr>
          <w:ilvl w:val="0"/>
          <w:numId w:val="2"/>
        </w:numPr>
        <w:spacing w:after="30" w:line="238"/>
      </w:pPr>
      <w:r>
        <w:rPr>
          <w:rFonts w:ascii="Arial" w:cs="Arial" w:eastAsia="Arial" w:hAnsi="Arial"/>
          <w:color w:val="1A1A1A"/>
          <w:sz w:val="19"/>
          <w:szCs w:val="19"/>
        </w:rPr>
        <w:t xml:space="preserve">Awareness of how agentic runs fail: multi-step errors, tool misuse, partial success.</w:t>
      </w:r>
    </w:p>
    <w:p>
      <w:pPr>
        <w:pStyle w:val="Heading2"/>
        <w:spacing w:after="44" w:before="112"/>
      </w:pPr>
      <w:r>
        <w:rPr>
          <w:rFonts w:ascii="Arial" w:cs="Arial" w:eastAsia="Arial" w:hAnsi="Arial"/>
          <w:b/>
          <w:bCs/>
          <w:color w:val="E4002B"/>
          <w:sz w:val="19"/>
          <w:szCs w:val="19"/>
        </w:rPr>
        <w:t xml:space="preserve">Ways of working</w:t>
      </w:r>
    </w:p>
    <w:p>
      <w:pPr>
        <w:pStyle w:val="ListParagraph"/>
        <w:numPr>
          <w:ilvl w:val="0"/>
          <w:numId w:val="2"/>
        </w:numPr>
        <w:spacing w:after="30" w:line="238"/>
      </w:pPr>
      <w:r>
        <w:rPr>
          <w:rFonts w:ascii="Arial" w:cs="Arial" w:eastAsia="Arial" w:hAnsi="Arial"/>
          <w:color w:val="1A1A1A"/>
          <w:sz w:val="19"/>
          <w:szCs w:val="19"/>
        </w:rPr>
        <w:t xml:space="preserve">Comfortable using prescribed guidelines and processes to analyse a situation, with a moderate level of guidance.</w:t>
      </w:r>
    </w:p>
    <w:p>
      <w:pPr>
        <w:pStyle w:val="ListParagraph"/>
        <w:numPr>
          <w:ilvl w:val="0"/>
          <w:numId w:val="2"/>
        </w:numPr>
        <w:spacing w:after="30" w:line="238"/>
      </w:pPr>
      <w:r>
        <w:rPr>
          <w:rFonts w:ascii="Arial" w:cs="Arial" w:eastAsia="Arial" w:hAnsi="Arial"/>
          <w:color w:val="1A1A1A"/>
          <w:sz w:val="19"/>
          <w:szCs w:val="19"/>
        </w:rPr>
        <w:t xml:space="preserve">Clear written communication with both engineers and non-engineers.</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Exposure to a control framework in practice — SOC 2, ISO/IEC 42001, NIST AI RMF or a sector equivalent.</w:t>
      </w:r>
    </w:p>
    <w:p>
      <w:pPr>
        <w:pStyle w:val="ListParagraph"/>
        <w:numPr>
          <w:ilvl w:val="0"/>
          <w:numId w:val="2"/>
        </w:numPr>
        <w:spacing w:after="30" w:line="238"/>
      </w:pPr>
      <w:r>
        <w:rPr>
          <w:rFonts w:ascii="Arial" w:cs="Arial" w:eastAsia="Arial" w:hAnsi="Arial"/>
          <w:color w:val="1A1A1A"/>
          <w:sz w:val="19"/>
          <w:szCs w:val="19"/>
        </w:rPr>
        <w:t xml:space="preserve">Experience with annotation tooling, or expert labelling operations.</w:t>
      </w:r>
    </w:p>
    <w:p>
      <w:pPr>
        <w:pStyle w:val="ListParagraph"/>
        <w:numPr>
          <w:ilvl w:val="0"/>
          <w:numId w:val="2"/>
        </w:numPr>
        <w:spacing w:after="30" w:line="238"/>
      </w:pPr>
      <w:r>
        <w:rPr>
          <w:rFonts w:ascii="Arial" w:cs="Arial" w:eastAsia="Arial" w:hAnsi="Arial"/>
          <w:color w:val="1A1A1A"/>
          <w:sz w:val="19"/>
          <w:szCs w:val="19"/>
        </w:rPr>
        <w:t xml:space="preserve">Delivery in a regulated or audited environment.</w:t>
      </w:r>
    </w:p>
    <w:p>
      <w:pPr>
        <w:pStyle w:val="ListParagraph"/>
        <w:numPr>
          <w:ilvl w:val="0"/>
          <w:numId w:val="2"/>
        </w:numPr>
        <w:spacing w:after="30" w:line="238"/>
      </w:pPr>
      <w:r>
        <w:rPr>
          <w:rFonts w:ascii="Arial" w:cs="Arial" w:eastAsia="Arial" w:hAnsi="Arial"/>
          <w:color w:val="1A1A1A"/>
          <w:sz w:val="19"/>
          <w:szCs w:val="19"/>
        </w:rPr>
        <w:t xml:space="preserve">Open-source contributions in the testing or evaluation ecosystem.</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The evaluations you own run reliably and are trusted by the engineers whose work they gate.</w:t>
      </w:r>
    </w:p>
    <w:p>
      <w:pPr>
        <w:pStyle w:val="ListParagraph"/>
        <w:numPr>
          <w:ilvl w:val="0"/>
          <w:numId w:val="2"/>
        </w:numPr>
        <w:spacing w:after="30" w:line="238"/>
      </w:pPr>
      <w:r>
        <w:rPr>
          <w:rFonts w:ascii="Arial" w:cs="Arial" w:eastAsia="Arial" w:hAnsi="Arial"/>
          <w:color w:val="1A1A1A"/>
          <w:sz w:val="19"/>
          <w:szCs w:val="19"/>
        </w:rPr>
        <w:t xml:space="preserve">Failures you triage are diagnosed correctly rather than retried.</w:t>
      </w:r>
    </w:p>
    <w:p>
      <w:pPr>
        <w:pStyle w:val="ListParagraph"/>
        <w:numPr>
          <w:ilvl w:val="0"/>
          <w:numId w:val="2"/>
        </w:numPr>
        <w:spacing w:after="30" w:line="238"/>
      </w:pPr>
      <w:r>
        <w:rPr>
          <w:rFonts w:ascii="Arial" w:cs="Arial" w:eastAsia="Arial" w:hAnsi="Arial"/>
          <w:color w:val="1A1A1A"/>
          <w:sz w:val="19"/>
          <w:szCs w:val="19"/>
        </w:rPr>
        <w:t xml:space="preserve">Evidence for your areas is generated rather than assembled.</w:t>
      </w:r>
    </w:p>
    <w:p>
      <w:pPr>
        <w:pStyle w:val="ListParagraph"/>
        <w:numPr>
          <w:ilvl w:val="0"/>
          <w:numId w:val="2"/>
        </w:numPr>
        <w:spacing w:after="30" w:line="238"/>
      </w:pPr>
      <w:r>
        <w:rPr>
          <w:rFonts w:ascii="Arial" w:cs="Arial" w:eastAsia="Arial" w:hAnsi="Arial"/>
          <w:color w:val="1A1A1A"/>
          <w:sz w:val="19"/>
          <w:szCs w:val="19"/>
        </w:rPr>
        <w:t xml:space="preserve">Engineers newer than you come to you before they come to a senior engineer.</w:t>
      </w:r>
    </w:p>
    <w:p>
      <w:pPr>
        <w:pStyle w:val="ListParagraph"/>
        <w:numPr>
          <w:ilvl w:val="0"/>
          <w:numId w:val="2"/>
        </w:numPr>
        <w:spacing w:after="30" w:line="238"/>
      </w:pPr>
      <w:r>
        <w:rPr>
          <w:rFonts w:ascii="Arial" w:cs="Arial" w:eastAsia="Arial" w:hAnsi="Arial"/>
          <w:color w:val="1A1A1A"/>
          <w:sz w:val="19"/>
          <w:szCs w:val="19"/>
        </w:rPr>
        <w:t xml:space="preserve">You are broadening — new areas take less ramp than the first.</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Go  ·  Evaluation frameworks and harnesses  ·  CI/CD and release gating  ·  Kubernetes  ·  Statistical analysis tooling  ·  Red-teaming and adversarial testing tooling  ·  Ground-truth and annotation pipelines  ·  OpenTelemetry / Prometheus / Grafana  ·  Provenance and audit tooling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II — Supporting — competent at the basics and expanding capabilities</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Working knowledge and experience in own discipline, broadening capabilities. Performs a range of assignments using prescribed guidelines, with a moderate level of guidance and direction.</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2 – 4 years in the underlying engineering discipline, with some exposure to AI or ML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E670F-725C-4DAE-A519-3931BAAAEADD}"/>
</file>

<file path=customXml/itemProps2.xml><?xml version="1.0" encoding="utf-8"?>
<ds:datastoreItem xmlns:ds="http://schemas.openxmlformats.org/officeDocument/2006/customXml" ds:itemID="{93C60094-F8D5-424B-A443-FC8BE6D39123}"/>
</file>

<file path=customXml/itemProps3.xml><?xml version="1.0" encoding="utf-8"?>
<ds:datastoreItem xmlns:ds="http://schemas.openxmlformats.org/officeDocument/2006/customXml" ds:itemID="{CC5DFC67-4E3D-4D4E-B9B2-D4DA7433C88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Assurance Engineer II — RackAI</dc:title>
  <dc:creator>Rackspace Technology</dc:creator>
  <cp:lastModifiedBy>Un-named</cp:lastModifiedBy>
  <cp:revision>1</cp:revision>
  <dcterms:created xsi:type="dcterms:W3CDTF">2026-09-15T00:25:46Z</dcterms:created>
  <dcterms:modified xsi:type="dcterms:W3CDTF">2026-09-15T00:25:46Z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