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Assurance Engineer V</w:t>
      </w:r>
    </w:p>
    <w:p>
      <w:pPr>
        <w:spacing w:after="30"/>
      </w:pPr>
      <w:r>
        <w:rPr>
          <w:rFonts w:ascii="Arial" w:cs="Arial" w:eastAsia="Arial" w:hAnsi="Arial"/>
          <w:b/>
          <w:bCs/>
          <w:caps/>
          <w:color w:val="E4002B"/>
          <w:sz w:val="20"/>
          <w:szCs w:val="20"/>
        </w:rPr>
        <w:t xml:space="preserve">AI Assurance Engineering  ·  Evaluation, Verification and Release Gating</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Selling that to a regulated buyer means proving, on demand, that the system does what we say it does — and proving anything about a non-deterministic system is a hard engineering problem in its own right. AI Assurance Engineers build that proof.</w:t>
      </w:r>
    </w:p>
    <w:p>
      <w:pPr>
        <w:spacing w:after="80" w:line="242"/>
      </w:pPr>
      <w:r>
        <w:rPr>
          <w:rFonts w:ascii="Arial" w:cs="Arial" w:eastAsia="Arial" w:hAnsi="Arial"/>
          <w:color w:val="1A1A1A"/>
          <w:sz w:val="19"/>
          <w:szCs w:val="19"/>
        </w:rPr>
        <w:t xml:space="preserve">As an AI Assurance Engineer V you are the recognised expert for assurance engineering at RackAI. You own the evaluation methodology, the verification approach, the release gates that let models and policies change safely, and the evidence all of it produces for certification.</w:t>
      </w:r>
    </w:p>
    <w:p>
      <w:pPr>
        <w:spacing w:after="80" w:line="242"/>
      </w:pPr>
      <w:r>
        <w:rPr>
          <w:rFonts w:ascii="Arial" w:cs="Arial" w:eastAsia="Arial" w:hAnsi="Arial"/>
          <w:color w:val="1A1A1A"/>
          <w:sz w:val="19"/>
          <w:szCs w:val="19"/>
        </w:rPr>
        <w:t xml:space="preserve">You will work alongside a Principal Engineer who builds the evaluation framework as a platform capability, and an AI Governance Engineer who builds the controls. Your half is the measurement: deciding what good enough to ship means, and making it enforceable.</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Evaluation has become the bottleneck on enterprise AI, and engineers who can do it rigorously are scarce.</w:t>
      </w:r>
    </w:p>
    <w:p>
      <w:pPr>
        <w:spacing w:after="80" w:line="242"/>
      </w:pPr>
      <w:r>
        <w:rPr>
          <w:rFonts w:ascii="Arial" w:cs="Arial" w:eastAsia="Arial" w:hAnsi="Arial"/>
          <w:color w:val="1A1A1A"/>
          <w:sz w:val="19"/>
          <w:szCs w:val="19"/>
        </w:rPr>
        <w:t xml:space="preserve">Anyone can demo a model. Very few organisations can say, with evidence a regulator or a sceptical customer would accept, that a change to a model or a prompt did not break anything — and under frameworks like ISO/IEC 42001 and the EU AI Act, that evidence is becoming a requirement rather than good practice. The measurement built here decides what ships, and records where each model is reliable and what it costs from real operating data rather than public benchmarks.</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build the measurement discipline for a platform rather than test someone else's, this is that seat.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evaluation and verification</w:t>
      </w:r>
    </w:p>
    <w:p>
      <w:pPr>
        <w:pStyle w:val="ListParagraph"/>
        <w:numPr>
          <w:ilvl w:val="0"/>
          <w:numId w:val="2"/>
        </w:numPr>
        <w:spacing w:after="30" w:line="238"/>
      </w:pPr>
      <w:r>
        <w:rPr>
          <w:rFonts w:ascii="Arial" w:cs="Arial" w:eastAsia="Arial" w:hAnsi="Arial"/>
          <w:color w:val="1A1A1A"/>
          <w:sz w:val="19"/>
          <w:szCs w:val="19"/>
        </w:rPr>
        <w:t xml:space="preserve">Own the evaluation methodology for the platform: what gets measured, on which workloads, with which checks, and how much measurement is enough to trust a result.</w:t>
      </w:r>
    </w:p>
    <w:p>
      <w:pPr>
        <w:pStyle w:val="ListParagraph"/>
        <w:numPr>
          <w:ilvl w:val="0"/>
          <w:numId w:val="2"/>
        </w:numPr>
        <w:spacing w:after="30" w:line="238"/>
      </w:pPr>
      <w:r>
        <w:rPr>
          <w:rFonts w:ascii="Arial" w:cs="Arial" w:eastAsia="Arial" w:hAnsi="Arial"/>
          <w:color w:val="1A1A1A"/>
          <w:sz w:val="19"/>
          <w:szCs w:val="19"/>
        </w:rPr>
        <w:t xml:space="preserve">Own verification that checks the steps of a run and not just its output — deterministic checks where the task allows, calibrated confidence and human escalation where it does not.</w:t>
      </w:r>
    </w:p>
    <w:p>
      <w:pPr>
        <w:pStyle w:val="ListParagraph"/>
        <w:numPr>
          <w:ilvl w:val="0"/>
          <w:numId w:val="2"/>
        </w:numPr>
        <w:spacing w:after="30" w:line="238"/>
      </w:pPr>
      <w:r>
        <w:rPr>
          <w:rFonts w:ascii="Arial" w:cs="Arial" w:eastAsia="Arial" w:hAnsi="Arial"/>
          <w:color w:val="1A1A1A"/>
          <w:sz w:val="19"/>
          <w:szCs w:val="19"/>
        </w:rPr>
        <w:t xml:space="preserve">Own the regression corpus and the ground-truth data behind it, including the human feedback loop that keeps it honest.</w:t>
      </w:r>
    </w:p>
    <w:p>
      <w:pPr>
        <w:pStyle w:val="ListParagraph"/>
        <w:numPr>
          <w:ilvl w:val="0"/>
          <w:numId w:val="2"/>
        </w:numPr>
        <w:spacing w:after="30" w:line="238"/>
      </w:pPr>
      <w:r>
        <w:rPr>
          <w:rFonts w:ascii="Arial" w:cs="Arial" w:eastAsia="Arial" w:hAnsi="Arial"/>
          <w:color w:val="1A1A1A"/>
          <w:sz w:val="19"/>
          <w:szCs w:val="19"/>
        </w:rPr>
        <w:t xml:space="preserve">Own the empirical record of where each model is reliable and what it costs, and defend its methodology to anyone who challenges it.</w:t>
      </w:r>
    </w:p>
    <w:p>
      <w:pPr>
        <w:pStyle w:val="Heading2"/>
        <w:spacing w:after="44" w:before="112"/>
      </w:pPr>
      <w:r>
        <w:rPr>
          <w:rFonts w:ascii="Arial" w:cs="Arial" w:eastAsia="Arial" w:hAnsi="Arial"/>
          <w:b/>
          <w:bCs/>
          <w:color w:val="E4002B"/>
          <w:sz w:val="19"/>
          <w:szCs w:val="19"/>
        </w:rPr>
        <w:t xml:space="preserve">Make quality a release gate</w:t>
      </w:r>
    </w:p>
    <w:p>
      <w:pPr>
        <w:pStyle w:val="ListParagraph"/>
        <w:numPr>
          <w:ilvl w:val="0"/>
          <w:numId w:val="2"/>
        </w:numPr>
        <w:spacing w:after="30" w:line="238"/>
      </w:pPr>
      <w:r>
        <w:rPr>
          <w:rFonts w:ascii="Arial" w:cs="Arial" w:eastAsia="Arial" w:hAnsi="Arial"/>
          <w:color w:val="1A1A1A"/>
          <w:sz w:val="19"/>
          <w:szCs w:val="19"/>
        </w:rPr>
        <w:t xml:space="preserve">Own evaluation in CI so a change ships on evidence, and make "did this model swap break anything" a routine automated answer.</w:t>
      </w:r>
    </w:p>
    <w:p>
      <w:pPr>
        <w:pStyle w:val="ListParagraph"/>
        <w:numPr>
          <w:ilvl w:val="0"/>
          <w:numId w:val="2"/>
        </w:numPr>
        <w:spacing w:after="30" w:line="238"/>
      </w:pPr>
      <w:r>
        <w:rPr>
          <w:rFonts w:ascii="Arial" w:cs="Arial" w:eastAsia="Arial" w:hAnsi="Arial"/>
          <w:color w:val="1A1A1A"/>
          <w:sz w:val="19"/>
          <w:szCs w:val="19"/>
        </w:rPr>
        <w:t xml:space="preserve">Own integration testing across the platform — the seams between serving, harness, orchestration and governance, where most real failures live.</w:t>
      </w:r>
    </w:p>
    <w:p>
      <w:pPr>
        <w:pStyle w:val="ListParagraph"/>
        <w:numPr>
          <w:ilvl w:val="0"/>
          <w:numId w:val="2"/>
        </w:numPr>
        <w:spacing w:after="30" w:line="238"/>
      </w:pPr>
      <w:r>
        <w:rPr>
          <w:rFonts w:ascii="Arial" w:cs="Arial" w:eastAsia="Arial" w:hAnsi="Arial"/>
          <w:color w:val="1A1A1A"/>
          <w:sz w:val="19"/>
          <w:szCs w:val="19"/>
        </w:rPr>
        <w:t xml:space="preserve">Own the drift and regression monitoring that catches degradation in production before a customer does.</w:t>
      </w:r>
    </w:p>
    <w:p>
      <w:pPr>
        <w:pStyle w:val="ListParagraph"/>
        <w:numPr>
          <w:ilvl w:val="0"/>
          <w:numId w:val="2"/>
        </w:numPr>
        <w:spacing w:after="30" w:line="238"/>
      </w:pPr>
      <w:r>
        <w:rPr>
          <w:rFonts w:ascii="Arial" w:cs="Arial" w:eastAsia="Arial" w:hAnsi="Arial"/>
          <w:color w:val="1A1A1A"/>
          <w:sz w:val="19"/>
          <w:szCs w:val="19"/>
        </w:rPr>
        <w:t xml:space="preserve">Own the evidence compliance and certification depend on, and red-team the platform so findings become regression cases.</w:t>
      </w:r>
    </w:p>
    <w:p>
      <w:pPr>
        <w:pStyle w:val="Heading2"/>
        <w:spacing w:after="44" w:before="112"/>
      </w:pPr>
      <w:r>
        <w:rPr>
          <w:rFonts w:ascii="Arial" w:cs="Arial" w:eastAsia="Arial" w:hAnsi="Arial"/>
          <w:b/>
          <w:bCs/>
          <w:color w:val="E4002B"/>
          <w:sz w:val="19"/>
          <w:szCs w:val="19"/>
        </w:rPr>
        <w:t xml:space="preserve">Lead the discipline</w:t>
      </w:r>
    </w:p>
    <w:p>
      <w:pPr>
        <w:pStyle w:val="ListParagraph"/>
        <w:numPr>
          <w:ilvl w:val="0"/>
          <w:numId w:val="2"/>
        </w:numPr>
        <w:spacing w:after="30" w:line="238"/>
      </w:pPr>
      <w:r>
        <w:rPr>
          <w:rFonts w:ascii="Arial" w:cs="Arial" w:eastAsia="Arial" w:hAnsi="Arial"/>
          <w:color w:val="1A1A1A"/>
          <w:sz w:val="19"/>
          <w:szCs w:val="19"/>
        </w:rPr>
        <w:t xml:space="preserve">Set the evaluation standard across the function, review the designs of teams implementing against it, and contribute to the strategy for the sub-function.</w:t>
      </w:r>
    </w:p>
    <w:p>
      <w:pPr>
        <w:pStyle w:val="ListParagraph"/>
        <w:numPr>
          <w:ilvl w:val="0"/>
          <w:numId w:val="2"/>
        </w:numPr>
        <w:spacing w:after="30" w:line="238"/>
      </w:pPr>
      <w:r>
        <w:rPr>
          <w:rFonts w:ascii="Arial" w:cs="Arial" w:eastAsia="Arial" w:hAnsi="Arial"/>
          <w:color w:val="1A1A1A"/>
          <w:sz w:val="19"/>
          <w:szCs w:val="19"/>
        </w:rPr>
        <w:t xml:space="preserve">Draw the line clearly with the quality engineers who test product features against your gates.</w:t>
      </w:r>
    </w:p>
    <w:p>
      <w:pPr>
        <w:pStyle w:val="ListParagraph"/>
        <w:numPr>
          <w:ilvl w:val="0"/>
          <w:numId w:val="2"/>
        </w:numPr>
        <w:spacing w:after="30" w:line="238"/>
      </w:pPr>
      <w:r>
        <w:rPr>
          <w:rFonts w:ascii="Arial" w:cs="Arial" w:eastAsia="Arial" w:hAnsi="Arial"/>
          <w:color w:val="1A1A1A"/>
          <w:sz w:val="19"/>
          <w:szCs w:val="19"/>
        </w:rPr>
        <w:t xml:space="preserve">Coach engineers across the business on measuring non-deterministic systems, and be the final escalation point for "how would we know".</w:t>
      </w:r>
    </w:p>
    <w:p>
      <w:pPr>
        <w:pStyle w:val="ListParagraph"/>
        <w:numPr>
          <w:ilvl w:val="0"/>
          <w:numId w:val="2"/>
        </w:numPr>
        <w:spacing w:after="30" w:line="238"/>
      </w:pPr>
      <w:r>
        <w:rPr>
          <w:rFonts w:ascii="Arial" w:cs="Arial" w:eastAsia="Arial" w:hAnsi="Arial"/>
          <w:color w:val="1A1A1A"/>
          <w:sz w:val="19"/>
          <w:szCs w:val="19"/>
        </w:rPr>
        <w:t xml:space="preserve">Make AI-assisted engineering the default across the discipline, within clear standards for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Recognised expertise in test and evaluation, quality engineering or model validation, with broad knowledge of the other disciplines in the function.</w:t>
      </w:r>
    </w:p>
    <w:p>
      <w:pPr>
        <w:pStyle w:val="ListParagraph"/>
        <w:numPr>
          <w:ilvl w:val="0"/>
          <w:numId w:val="2"/>
        </w:numPr>
        <w:spacing w:after="30" w:line="238"/>
      </w:pPr>
      <w:r>
        <w:rPr>
          <w:rFonts w:ascii="Arial" w:cs="Arial" w:eastAsia="Arial" w:hAnsi="Arial"/>
          <w:color w:val="1A1A1A"/>
          <w:sz w:val="19"/>
          <w:szCs w:val="19"/>
        </w:rPr>
        <w:t xml:space="preserve">Strong Python, and the judgement to set direction in the tooling the team standardises on.</w:t>
      </w:r>
    </w:p>
    <w:p>
      <w:pPr>
        <w:pStyle w:val="ListParagraph"/>
        <w:numPr>
          <w:ilvl w:val="0"/>
          <w:numId w:val="2"/>
        </w:numPr>
        <w:spacing w:after="30" w:line="238"/>
      </w:pPr>
      <w:r>
        <w:rPr>
          <w:rFonts w:ascii="Arial" w:cs="Arial" w:eastAsia="Arial" w:hAnsi="Arial"/>
          <w:color w:val="1A1A1A"/>
          <w:sz w:val="19"/>
          <w:szCs w:val="19"/>
        </w:rPr>
        <w:t xml:space="preserve">Test and evaluation engineering at depth, including infrastructure others depend on.</w:t>
      </w:r>
    </w:p>
    <w:p>
      <w:pPr>
        <w:pStyle w:val="ListParagraph"/>
        <w:numPr>
          <w:ilvl w:val="0"/>
          <w:numId w:val="2"/>
        </w:numPr>
        <w:spacing w:after="30" w:line="238"/>
      </w:pPr>
      <w:r>
        <w:rPr>
          <w:rFonts w:ascii="Arial" w:cs="Arial" w:eastAsia="Arial" w:hAnsi="Arial"/>
          <w:color w:val="1A1A1A"/>
          <w:sz w:val="19"/>
          <w:szCs w:val="19"/>
        </w:rPr>
        <w:t xml:space="preserve">Kubernetes and CI/CD to the depth needed to operate evaluation infrastructure at scale.</w:t>
      </w:r>
    </w:p>
    <w:p>
      <w:pPr>
        <w:pStyle w:val="Heading2"/>
        <w:spacing w:after="44" w:before="112"/>
      </w:pPr>
      <w:r>
        <w:rPr>
          <w:rFonts w:ascii="Arial" w:cs="Arial" w:eastAsia="Arial" w:hAnsi="Arial"/>
          <w:b/>
          <w:bCs/>
          <w:color w:val="E4002B"/>
          <w:sz w:val="19"/>
          <w:szCs w:val="19"/>
        </w:rPr>
        <w:t xml:space="preserve">Evaluation of AI systems</w:t>
      </w:r>
    </w:p>
    <w:p>
      <w:pPr>
        <w:pStyle w:val="ListParagraph"/>
        <w:numPr>
          <w:ilvl w:val="0"/>
          <w:numId w:val="2"/>
        </w:numPr>
        <w:spacing w:after="30" w:line="238"/>
      </w:pPr>
      <w:r>
        <w:rPr>
          <w:rFonts w:ascii="Arial" w:cs="Arial" w:eastAsia="Arial" w:hAnsi="Arial"/>
          <w:color w:val="1A1A1A"/>
          <w:sz w:val="19"/>
          <w:szCs w:val="19"/>
        </w:rPr>
        <w:t xml:space="preserve">LLM evaluation you have designed and defended: workload design, scoring approaches and their biases, and why model-graded evaluation alone will not satisfy a sceptical reviewer.</w:t>
      </w:r>
    </w:p>
    <w:p>
      <w:pPr>
        <w:pStyle w:val="ListParagraph"/>
        <w:numPr>
          <w:ilvl w:val="0"/>
          <w:numId w:val="2"/>
        </w:numPr>
        <w:spacing w:after="30" w:line="238"/>
      </w:pPr>
      <w:r>
        <w:rPr>
          <w:rFonts w:ascii="Arial" w:cs="Arial" w:eastAsia="Arial" w:hAnsi="Arial"/>
          <w:color w:val="1A1A1A"/>
          <w:sz w:val="19"/>
          <w:szCs w:val="19"/>
        </w:rPr>
        <w:t xml:space="preserve">Statistical rigour applied to systems where every run differs: sample size, variance, significance, calibration.</w:t>
      </w:r>
    </w:p>
    <w:p>
      <w:pPr>
        <w:pStyle w:val="ListParagraph"/>
        <w:numPr>
          <w:ilvl w:val="0"/>
          <w:numId w:val="2"/>
        </w:numPr>
        <w:spacing w:after="30" w:line="238"/>
      </w:pPr>
      <w:r>
        <w:rPr>
          <w:rFonts w:ascii="Arial" w:cs="Arial" w:eastAsia="Arial" w:hAnsi="Arial"/>
          <w:color w:val="1A1A1A"/>
          <w:sz w:val="19"/>
          <w:szCs w:val="19"/>
        </w:rPr>
        <w:t xml:space="preserve">Evaluating agentic systems at depth: multi-step runs, tool use, partial credit, and attributing failure to the step that caused it.</w:t>
      </w:r>
    </w:p>
    <w:p>
      <w:pPr>
        <w:pStyle w:val="ListParagraph"/>
        <w:numPr>
          <w:ilvl w:val="0"/>
          <w:numId w:val="2"/>
        </w:numPr>
        <w:spacing w:after="30" w:line="238"/>
      </w:pPr>
      <w:r>
        <w:rPr>
          <w:rFonts w:ascii="Arial" w:cs="Arial" w:eastAsia="Arial" w:hAnsi="Arial"/>
          <w:color w:val="1A1A1A"/>
          <w:sz w:val="19"/>
          <w:szCs w:val="19"/>
        </w:rPr>
        <w:t xml:space="preserve">Red-teaming and adversarial testing programmes, including prompt injection and jailbreak classes.</w:t>
      </w:r>
    </w:p>
    <w:p>
      <w:pPr>
        <w:pStyle w:val="ListParagraph"/>
        <w:numPr>
          <w:ilvl w:val="0"/>
          <w:numId w:val="2"/>
        </w:numPr>
        <w:spacing w:after="30" w:line="238"/>
      </w:pPr>
      <w:r>
        <w:rPr>
          <w:rFonts w:ascii="Arial" w:cs="Arial" w:eastAsia="Arial" w:hAnsi="Arial"/>
          <w:color w:val="1A1A1A"/>
          <w:sz w:val="19"/>
          <w:szCs w:val="19"/>
        </w:rPr>
        <w:t xml:space="preserve">Ground-truth operations at scale: labelling quality, inter-rater reliability, and keeping a corpus current.</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Deep delivery experience inside regulated, audited or sovereign environments, and fluency in what auditors accept as evidence.</w:t>
      </w:r>
    </w:p>
    <w:p>
      <w:pPr>
        <w:pStyle w:val="ListParagraph"/>
        <w:numPr>
          <w:ilvl w:val="0"/>
          <w:numId w:val="2"/>
        </w:numPr>
        <w:spacing w:after="30" w:line="238"/>
      </w:pPr>
      <w:r>
        <w:rPr>
          <w:rFonts w:ascii="Arial" w:cs="Arial" w:eastAsia="Arial" w:hAnsi="Arial"/>
          <w:color w:val="1A1A1A"/>
          <w:sz w:val="19"/>
          <w:szCs w:val="19"/>
        </w:rPr>
        <w:t xml:space="preserve">Assurance frameworks — ISO/IEC 42001, NIST AI RMF, SOC 2 or sector equivalents — implemented against rather than read.</w:t>
      </w:r>
    </w:p>
    <w:p>
      <w:pPr>
        <w:pStyle w:val="ListParagraph"/>
        <w:numPr>
          <w:ilvl w:val="0"/>
          <w:numId w:val="2"/>
        </w:numPr>
        <w:spacing w:after="30" w:line="238"/>
      </w:pPr>
      <w:r>
        <w:rPr>
          <w:rFonts w:ascii="Arial" w:cs="Arial" w:eastAsia="Arial" w:hAnsi="Arial"/>
          <w:color w:val="1A1A1A"/>
          <w:sz w:val="19"/>
          <w:szCs w:val="19"/>
        </w:rPr>
        <w:t xml:space="preserve">The willingness to hold a release, the evidence to justify it, and the standing to make it stick.</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Experience contributing to an ISO/IEC 42001 or EU AI Act readiness effort.</w:t>
      </w:r>
    </w:p>
    <w:p>
      <w:pPr>
        <w:pStyle w:val="ListParagraph"/>
        <w:numPr>
          <w:ilvl w:val="0"/>
          <w:numId w:val="2"/>
        </w:numPr>
        <w:spacing w:after="30" w:line="238"/>
      </w:pPr>
      <w:r>
        <w:rPr>
          <w:rFonts w:ascii="Arial" w:cs="Arial" w:eastAsia="Arial" w:hAnsi="Arial"/>
          <w:color w:val="1A1A1A"/>
          <w:sz w:val="19"/>
          <w:szCs w:val="19"/>
        </w:rPr>
        <w:t xml:space="preserve">Formal methods, property-based testing, or safety-critical verification from aerospace, automotive or medical devices.</w:t>
      </w:r>
    </w:p>
    <w:p>
      <w:pPr>
        <w:pStyle w:val="ListParagraph"/>
        <w:numPr>
          <w:ilvl w:val="0"/>
          <w:numId w:val="2"/>
        </w:numPr>
        <w:spacing w:after="30" w:line="238"/>
      </w:pPr>
      <w:r>
        <w:rPr>
          <w:rFonts w:ascii="Arial" w:cs="Arial" w:eastAsia="Arial" w:hAnsi="Arial"/>
          <w:color w:val="1A1A1A"/>
          <w:sz w:val="19"/>
          <w:szCs w:val="19"/>
        </w:rPr>
        <w:t xml:space="preserve">Model risk management or model validation in a regulated sector.</w:t>
      </w:r>
    </w:p>
    <w:p>
      <w:pPr>
        <w:pStyle w:val="ListParagraph"/>
        <w:numPr>
          <w:ilvl w:val="0"/>
          <w:numId w:val="2"/>
        </w:numPr>
        <w:spacing w:after="30" w:line="238"/>
      </w:pPr>
      <w:r>
        <w:rPr>
          <w:rFonts w:ascii="Arial" w:cs="Arial" w:eastAsia="Arial" w:hAnsi="Arial"/>
          <w:color w:val="1A1A1A"/>
          <w:sz w:val="19"/>
          <w:szCs w:val="19"/>
        </w:rPr>
        <w:t xml:space="preserve">Published evaluation work, or contributions to open-source evaluation frameworks.</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Model, prompt and policy changes ship on evidence, and the gate has genuinely blocked something.</w:t>
      </w:r>
    </w:p>
    <w:p>
      <w:pPr>
        <w:pStyle w:val="ListParagraph"/>
        <w:numPr>
          <w:ilvl w:val="0"/>
          <w:numId w:val="2"/>
        </w:numPr>
        <w:spacing w:after="30" w:line="238"/>
      </w:pPr>
      <w:r>
        <w:rPr>
          <w:rFonts w:ascii="Arial" w:cs="Arial" w:eastAsia="Arial" w:hAnsi="Arial"/>
          <w:color w:val="1A1A1A"/>
          <w:sz w:val="19"/>
          <w:szCs w:val="19"/>
        </w:rPr>
        <w:t xml:space="preserve">Verification covers the steps of a run, and its results are trusted enough to route and price against.</w:t>
      </w:r>
    </w:p>
    <w:p>
      <w:pPr>
        <w:pStyle w:val="ListParagraph"/>
        <w:numPr>
          <w:ilvl w:val="0"/>
          <w:numId w:val="2"/>
        </w:numPr>
        <w:spacing w:after="30" w:line="238"/>
      </w:pPr>
      <w:r>
        <w:rPr>
          <w:rFonts w:ascii="Arial" w:cs="Arial" w:eastAsia="Arial" w:hAnsi="Arial"/>
          <w:color w:val="1A1A1A"/>
          <w:sz w:val="19"/>
          <w:szCs w:val="19"/>
        </w:rPr>
        <w:t xml:space="preserve">The regression corpus and ground-truth data stay current, and their provenance is clear.</w:t>
      </w:r>
    </w:p>
    <w:p>
      <w:pPr>
        <w:pStyle w:val="ListParagraph"/>
        <w:numPr>
          <w:ilvl w:val="0"/>
          <w:numId w:val="2"/>
        </w:numPr>
        <w:spacing w:after="30" w:line="238"/>
      </w:pPr>
      <w:r>
        <w:rPr>
          <w:rFonts w:ascii="Arial" w:cs="Arial" w:eastAsia="Arial" w:hAnsi="Arial"/>
          <w:color w:val="1A1A1A"/>
          <w:sz w:val="19"/>
          <w:szCs w:val="19"/>
        </w:rPr>
        <w:t xml:space="preserve">Certification evidence for the platform is generated rather than assembled.</w:t>
      </w:r>
    </w:p>
    <w:p>
      <w:pPr>
        <w:pStyle w:val="ListParagraph"/>
        <w:numPr>
          <w:ilvl w:val="0"/>
          <w:numId w:val="2"/>
        </w:numPr>
        <w:spacing w:after="30" w:line="238"/>
      </w:pPr>
      <w:r>
        <w:rPr>
          <w:rFonts w:ascii="Arial" w:cs="Arial" w:eastAsia="Arial" w:hAnsi="Arial"/>
          <w:color w:val="1A1A1A"/>
          <w:sz w:val="19"/>
          <w:szCs w:val="19"/>
        </w:rPr>
        <w:t xml:space="preserve">Regressions and drift are found by your systems before customers find them.</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Go  ·  Evaluation frameworks and harnesses  ·  CI/CD and release gating  ·  Kubernetes  ·  Statistical analysis tooling  ·  Red-teaming and adversarial testing tooling  ·  Ground-truth and annotation pipelines  ·  OpenTelemetry / Prometheus / Grafana  ·  Provenance and audit tooling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V — Shaping — influences the way work is done at Rackspace</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Recognised as an expert within the company, with broad knowledge of other disciplines in the function. Solves unique problems with broad business impact and contributes to sub-function strategy. Progression is restricted on the basis of business requirements.</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12 – 14 years in the underlying engineering discipline, including at least 3 years applied to LLM-based or agentic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31A763-4AC9-4F73-9A76-81882060ABC8}"/>
</file>

<file path=customXml/itemProps2.xml><?xml version="1.0" encoding="utf-8"?>
<ds:datastoreItem xmlns:ds="http://schemas.openxmlformats.org/officeDocument/2006/customXml" ds:itemID="{B59D5912-9538-44D0-B8F8-699EB7912241}"/>
</file>

<file path=customXml/itemProps3.xml><?xml version="1.0" encoding="utf-8"?>
<ds:datastoreItem xmlns:ds="http://schemas.openxmlformats.org/officeDocument/2006/customXml" ds:itemID="{AA086630-0C9C-4A68-83FD-E851B4D90B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Assurance Engineer V — RackAI</dc:title>
  <dc:creator>Rackspace Technology</dc:creator>
  <cp:lastModifiedBy>Un-named</cp:lastModifiedBy>
  <cp:revision>1</cp:revision>
  <dcterms:created xsi:type="dcterms:W3CDTF">2026-09-15T00:25:46Z</dcterms:created>
  <dcterms:modified xsi:type="dcterms:W3CDTF">2026-09-15T00:25:46Z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