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Governance Engineer III</w:t>
      </w:r>
    </w:p>
    <w:p>
      <w:pPr>
        <w:spacing w:after="30"/>
      </w:pPr>
      <w:r>
        <w:rPr>
          <w:rFonts w:ascii="Arial" w:cs="Arial" w:eastAsia="Arial" w:hAnsi="Arial"/>
          <w:b/>
          <w:bCs/>
          <w:caps/>
          <w:color w:val="E4002B"/>
          <w:sz w:val="20"/>
          <w:szCs w:val="20"/>
        </w:rPr>
        <w:t xml:space="preserve">AI Governance Engineering  ·  Policy, Provenance and Agent Identity</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 AI Governance Engineers build those controls.</w:t>
      </w:r>
    </w:p>
    <w:p>
      <w:pPr>
        <w:spacing w:after="80" w:line="242"/>
      </w:pPr>
      <w:r>
        <w:rPr>
          <w:rFonts w:ascii="Arial" w:cs="Arial" w:eastAsia="Arial" w:hAnsi="Arial"/>
          <w:color w:val="1A1A1A"/>
          <w:sz w:val="19"/>
          <w:szCs w:val="19"/>
        </w:rPr>
        <w:t xml:space="preserve">As an AI Governance Engineer III you will own significant components of the governance control plane end to end, solve complex problems independently, and act as a resource for less experienced engineers on the team.</w:t>
      </w:r>
    </w:p>
    <w:p>
      <w:pPr>
        <w:spacing w:after="80" w:line="242"/>
      </w:pPr>
      <w:r>
        <w:rPr>
          <w:rFonts w:ascii="Arial" w:cs="Arial" w:eastAsia="Arial" w:hAnsi="Arial"/>
          <w:color w:val="1A1A1A"/>
          <w:sz w:val="19"/>
          <w:szCs w:val="19"/>
        </w:rPr>
        <w:t xml:space="preserve">This family shares the governance and identity architecture with the Chief Architect, AI Partner Integrations, and works alongside AI Assurance Engineers who build the measurement proving the platform behaves. The controls are yours to design and build.</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Enterprises have stopped asking whether AI can work and started asking who is accountable when it gets something wrong.</w:t>
      </w:r>
    </w:p>
    <w:p>
      <w:pPr>
        <w:spacing w:after="80" w:line="242"/>
      </w:pPr>
      <w:r>
        <w:rPr>
          <w:rFonts w:ascii="Arial" w:cs="Arial" w:eastAsia="Arial" w:hAnsi="Arial"/>
          <w:color w:val="1A1A1A"/>
          <w:sz w:val="19"/>
          <w:szCs w:val="19"/>
        </w:rPr>
        <w:t xml:space="preserve">Answering that in code rather than a policy document is one of the most sought-after engineering capabilities in the market, and the regulatory timetable has made it urgent. The controls built here decide what an agent may do with which data, record it so the record survives an audit, and hold when an agent acts for someone several hops away. Rackspace brings the regulated customers, the real workloads and a platform being built now, so these controls get exercised rather than documented.</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governance work that is genuinely engineering rather than paperwork,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governance controls</w:t>
      </w:r>
    </w:p>
    <w:p>
      <w:pPr>
        <w:pStyle w:val="ListParagraph"/>
        <w:numPr>
          <w:ilvl w:val="0"/>
          <w:numId w:val="2"/>
        </w:numPr>
        <w:spacing w:after="30" w:line="238"/>
      </w:pPr>
      <w:r>
        <w:rPr>
          <w:rFonts w:ascii="Arial" w:cs="Arial" w:eastAsia="Arial" w:hAnsi="Arial"/>
          <w:color w:val="1A1A1A"/>
          <w:sz w:val="19"/>
          <w:szCs w:val="19"/>
        </w:rPr>
        <w:t xml:space="preserve">Own significant components of runtime policy enforcement, including the decision path that runs inline with production traffic.</w:t>
      </w:r>
    </w:p>
    <w:p>
      <w:pPr>
        <w:pStyle w:val="ListParagraph"/>
        <w:numPr>
          <w:ilvl w:val="0"/>
          <w:numId w:val="2"/>
        </w:numPr>
        <w:spacing w:after="30" w:line="238"/>
      </w:pPr>
      <w:r>
        <w:rPr>
          <w:rFonts w:ascii="Arial" w:cs="Arial" w:eastAsia="Arial" w:hAnsi="Arial"/>
          <w:color w:val="1A1A1A"/>
          <w:sz w:val="19"/>
          <w:szCs w:val="19"/>
        </w:rPr>
        <w:t xml:space="preserve">Own the provenance and replay record for your area: durable, tamper-evident, and complete enough to reconstruct a decision long afterwards.</w:t>
      </w:r>
    </w:p>
    <w:p>
      <w:pPr>
        <w:pStyle w:val="ListParagraph"/>
        <w:numPr>
          <w:ilvl w:val="0"/>
          <w:numId w:val="2"/>
        </w:numPr>
        <w:spacing w:after="30" w:line="238"/>
      </w:pPr>
      <w:r>
        <w:rPr>
          <w:rFonts w:ascii="Arial" w:cs="Arial" w:eastAsia="Arial" w:hAnsi="Arial"/>
          <w:color w:val="1A1A1A"/>
          <w:sz w:val="19"/>
          <w:szCs w:val="19"/>
        </w:rPr>
        <w:t xml:space="preserve">Build agent identity and delegated authority — service identities, scoped tokens, and permissions that expire when a task ends rather than being inherited whole.</w:t>
      </w:r>
    </w:p>
    <w:p>
      <w:pPr>
        <w:pStyle w:val="ListParagraph"/>
        <w:numPr>
          <w:ilvl w:val="0"/>
          <w:numId w:val="2"/>
        </w:numPr>
        <w:spacing w:after="30" w:line="238"/>
      </w:pPr>
      <w:r>
        <w:rPr>
          <w:rFonts w:ascii="Arial" w:cs="Arial" w:eastAsia="Arial" w:hAnsi="Arial"/>
          <w:color w:val="1A1A1A"/>
          <w:sz w:val="19"/>
          <w:szCs w:val="19"/>
        </w:rPr>
        <w:t xml:space="preserve">Own tenant isolation and first-line prompt-injection defences for the components you are responsible for.</w:t>
      </w:r>
    </w:p>
    <w:p>
      <w:pPr>
        <w:pStyle w:val="ListParagraph"/>
        <w:numPr>
          <w:ilvl w:val="0"/>
          <w:numId w:val="2"/>
        </w:numPr>
        <w:spacing w:after="30" w:line="238"/>
      </w:pPr>
      <w:r>
        <w:rPr>
          <w:rFonts w:ascii="Arial" w:cs="Arial" w:eastAsia="Arial" w:hAnsi="Arial"/>
          <w:color w:val="1A1A1A"/>
          <w:sz w:val="19"/>
          <w:szCs w:val="19"/>
        </w:rPr>
        <w:t xml:space="preserve">Build action controls and blast-radius limits: approval gates, rate limits, reversibility and containment.</w:t>
      </w:r>
    </w:p>
    <w:p>
      <w:pPr>
        <w:pStyle w:val="Heading2"/>
        <w:spacing w:after="44" w:before="112"/>
      </w:pPr>
      <w:r>
        <w:rPr>
          <w:rFonts w:ascii="Arial" w:cs="Arial" w:eastAsia="Arial" w:hAnsi="Arial"/>
          <w:b/>
          <w:bCs/>
          <w:color w:val="E4002B"/>
          <w:sz w:val="19"/>
          <w:szCs w:val="19"/>
        </w:rPr>
        <w:t xml:space="preserve">Make compliance a property of the platform</w:t>
      </w:r>
    </w:p>
    <w:p>
      <w:pPr>
        <w:pStyle w:val="ListParagraph"/>
        <w:numPr>
          <w:ilvl w:val="0"/>
          <w:numId w:val="2"/>
        </w:numPr>
        <w:spacing w:after="30" w:line="238"/>
      </w:pPr>
      <w:r>
        <w:rPr>
          <w:rFonts w:ascii="Arial" w:cs="Arial" w:eastAsia="Arial" w:hAnsi="Arial"/>
          <w:color w:val="1A1A1A"/>
          <w:sz w:val="19"/>
          <w:szCs w:val="19"/>
        </w:rPr>
        <w:t xml:space="preserve">Own the engineering of compliance evidence for your area, generated as a by-product of normal operation.</w:t>
      </w:r>
    </w:p>
    <w:p>
      <w:pPr>
        <w:pStyle w:val="ListParagraph"/>
        <w:numPr>
          <w:ilvl w:val="0"/>
          <w:numId w:val="2"/>
        </w:numPr>
        <w:spacing w:after="30" w:line="238"/>
      </w:pPr>
      <w:r>
        <w:rPr>
          <w:rFonts w:ascii="Arial" w:cs="Arial" w:eastAsia="Arial" w:hAnsi="Arial"/>
          <w:color w:val="1A1A1A"/>
          <w:sz w:val="19"/>
          <w:szCs w:val="19"/>
        </w:rPr>
        <w:t xml:space="preserve">Own the inventory of what is actually running — models, prompts, tools, components, versions and provenance — that a regulator will ask for.</w:t>
      </w:r>
    </w:p>
    <w:p>
      <w:pPr>
        <w:pStyle w:val="ListParagraph"/>
        <w:numPr>
          <w:ilvl w:val="0"/>
          <w:numId w:val="2"/>
        </w:numPr>
        <w:spacing w:after="30" w:line="238"/>
      </w:pPr>
      <w:r>
        <w:rPr>
          <w:rFonts w:ascii="Arial" w:cs="Arial" w:eastAsia="Arial" w:hAnsi="Arial"/>
          <w:color w:val="1A1A1A"/>
          <w:sz w:val="19"/>
          <w:szCs w:val="19"/>
        </w:rPr>
        <w:t xml:space="preserve">Implement data-residency and information-flow controls so protected data reaches only the models and jurisdictions permitted to see it.</w:t>
      </w:r>
    </w:p>
    <w:p>
      <w:pPr>
        <w:pStyle w:val="ListParagraph"/>
        <w:numPr>
          <w:ilvl w:val="0"/>
          <w:numId w:val="2"/>
        </w:numPr>
        <w:spacing w:after="30" w:line="238"/>
      </w:pPr>
      <w:r>
        <w:rPr>
          <w:rFonts w:ascii="Arial" w:cs="Arial" w:eastAsia="Arial" w:hAnsi="Arial"/>
          <w:color w:val="1A1A1A"/>
          <w:sz w:val="19"/>
          <w:szCs w:val="19"/>
        </w:rPr>
        <w:t xml:space="preserve">Translate specific regulatory and customer control requirements into implemented controls rather than tracked intentions.</w:t>
      </w:r>
    </w:p>
    <w:p>
      <w:pPr>
        <w:pStyle w:val="Heading2"/>
        <w:spacing w:after="44" w:before="112"/>
      </w:pPr>
      <w:r>
        <w:rPr>
          <w:rFonts w:ascii="Arial" w:cs="Arial" w:eastAsia="Arial" w:hAnsi="Arial"/>
          <w:b/>
          <w:bCs/>
          <w:color w:val="E4002B"/>
          <w:sz w:val="19"/>
          <w:szCs w:val="19"/>
        </w:rPr>
        <w:t xml:space="preserve">Lead work and support others</w:t>
      </w:r>
    </w:p>
    <w:p>
      <w:pPr>
        <w:pStyle w:val="ListParagraph"/>
        <w:numPr>
          <w:ilvl w:val="0"/>
          <w:numId w:val="2"/>
        </w:numPr>
        <w:spacing w:after="30" w:line="238"/>
      </w:pPr>
      <w:r>
        <w:rPr>
          <w:rFonts w:ascii="Arial" w:cs="Arial" w:eastAsia="Arial" w:hAnsi="Arial"/>
          <w:color w:val="1A1A1A"/>
          <w:sz w:val="19"/>
          <w:szCs w:val="19"/>
        </w:rPr>
        <w:t xml:space="preserve">Design the controls you own in partnership with the Chief Architect, AI Partner Integrations, rather than only implementing to someone else's design, and review the designs of less experienced engineers.</w:t>
      </w:r>
    </w:p>
    <w:p>
      <w:pPr>
        <w:pStyle w:val="ListParagraph"/>
        <w:numPr>
          <w:ilvl w:val="0"/>
          <w:numId w:val="2"/>
        </w:numPr>
        <w:spacing w:after="30" w:line="238"/>
      </w:pPr>
      <w:r>
        <w:rPr>
          <w:rFonts w:ascii="Arial" w:cs="Arial" w:eastAsia="Arial" w:hAnsi="Arial"/>
          <w:color w:val="1A1A1A"/>
          <w:sz w:val="19"/>
          <w:szCs w:val="19"/>
        </w:rPr>
        <w:t xml:space="preserve">Lead a project, or a defined workstream within a larger effort, from design through production.</w:t>
      </w:r>
    </w:p>
    <w:p>
      <w:pPr>
        <w:pStyle w:val="ListParagraph"/>
        <w:numPr>
          <w:ilvl w:val="0"/>
          <w:numId w:val="2"/>
        </w:numPr>
        <w:spacing w:after="30" w:line="238"/>
      </w:pPr>
      <w:r>
        <w:rPr>
          <w:rFonts w:ascii="Arial" w:cs="Arial" w:eastAsia="Arial" w:hAnsi="Arial"/>
          <w:color w:val="1A1A1A"/>
          <w:sz w:val="19"/>
          <w:szCs w:val="19"/>
        </w:rPr>
        <w:t xml:space="preserve">Own on-call and incident response for the controls you are responsible for.</w:t>
      </w:r>
    </w:p>
    <w:p>
      <w:pPr>
        <w:pStyle w:val="ListParagraph"/>
        <w:numPr>
          <w:ilvl w:val="0"/>
          <w:numId w:val="2"/>
        </w:numPr>
        <w:spacing w:after="30" w:line="238"/>
      </w:pPr>
      <w:r>
        <w:rPr>
          <w:rFonts w:ascii="Arial" w:cs="Arial" w:eastAsia="Arial" w:hAnsi="Arial"/>
          <w:color w:val="1A1A1A"/>
          <w:sz w:val="19"/>
          <w:szCs w:val="19"/>
        </w:rPr>
        <w:t xml:space="preserve">Use AI-assisted engineering as the default across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In-depth conceptual and practical knowledge of software engineering, built in security, identity, platform or compliance engineering.</w:t>
      </w:r>
    </w:p>
    <w:p>
      <w:pPr>
        <w:pStyle w:val="ListParagraph"/>
        <w:numPr>
          <w:ilvl w:val="0"/>
          <w:numId w:val="2"/>
        </w:numPr>
        <w:spacing w:after="30" w:line="238"/>
      </w:pPr>
      <w:r>
        <w:rPr>
          <w:rFonts w:ascii="Arial" w:cs="Arial" w:eastAsia="Arial" w:hAnsi="Arial"/>
          <w:color w:val="1A1A1A"/>
          <w:sz w:val="19"/>
          <w:szCs w:val="19"/>
        </w:rPr>
        <w:t xml:space="preserve">Strong Go or Python, and the judgement to make sound design calls without a reviewer looking over your shoulder.</w:t>
      </w:r>
    </w:p>
    <w:p>
      <w:pPr>
        <w:pStyle w:val="ListParagraph"/>
        <w:numPr>
          <w:ilvl w:val="0"/>
          <w:numId w:val="2"/>
        </w:numPr>
        <w:spacing w:after="30" w:line="238"/>
      </w:pPr>
      <w:r>
        <w:rPr>
          <w:rFonts w:ascii="Arial" w:cs="Arial" w:eastAsia="Arial" w:hAnsi="Arial"/>
          <w:color w:val="1A1A1A"/>
          <w:sz w:val="19"/>
          <w:szCs w:val="19"/>
        </w:rPr>
        <w:t xml:space="preserve">Kubernetes to the depth needed to build platform services on it, including custom resources and controllers.</w:t>
      </w:r>
    </w:p>
    <w:p>
      <w:pPr>
        <w:pStyle w:val="ListParagraph"/>
        <w:numPr>
          <w:ilvl w:val="0"/>
          <w:numId w:val="2"/>
        </w:numPr>
        <w:spacing w:after="30" w:line="238"/>
      </w:pPr>
      <w:r>
        <w:rPr>
          <w:rFonts w:ascii="Arial" w:cs="Arial" w:eastAsia="Arial" w:hAnsi="Arial"/>
          <w:color w:val="1A1A1A"/>
          <w:sz w:val="19"/>
          <w:szCs w:val="19"/>
        </w:rPr>
        <w:t xml:space="preserve">Distributed systems: durable state, failure modes, and a realistic view of the cost of putting a control in the request path.</w:t>
      </w:r>
    </w:p>
    <w:p>
      <w:pPr>
        <w:pStyle w:val="Heading2"/>
        <w:spacing w:after="44" w:before="112"/>
      </w:pPr>
      <w:r>
        <w:rPr>
          <w:rFonts w:ascii="Arial" w:cs="Arial" w:eastAsia="Arial" w:hAnsi="Arial"/>
          <w:b/>
          <w:bCs/>
          <w:color w:val="E4002B"/>
          <w:sz w:val="19"/>
          <w:szCs w:val="19"/>
        </w:rPr>
        <w:t xml:space="preserve">Governance and security engineering</w:t>
      </w:r>
    </w:p>
    <w:p>
      <w:pPr>
        <w:pStyle w:val="ListParagraph"/>
        <w:numPr>
          <w:ilvl w:val="0"/>
          <w:numId w:val="2"/>
        </w:numPr>
        <w:spacing w:after="30" w:line="238"/>
      </w:pPr>
      <w:r>
        <w:rPr>
          <w:rFonts w:ascii="Arial" w:cs="Arial" w:eastAsia="Arial" w:hAnsi="Arial"/>
          <w:color w:val="1A1A1A"/>
          <w:sz w:val="19"/>
          <w:szCs w:val="19"/>
        </w:rPr>
        <w:t xml:space="preserve">Policy-as-code in production — OPA and Rego or equivalent — including policy distribution, versioning and testing.</w:t>
      </w:r>
    </w:p>
    <w:p>
      <w:pPr>
        <w:pStyle w:val="ListParagraph"/>
        <w:numPr>
          <w:ilvl w:val="0"/>
          <w:numId w:val="2"/>
        </w:numPr>
        <w:spacing w:after="30" w:line="238"/>
      </w:pPr>
      <w:r>
        <w:rPr>
          <w:rFonts w:ascii="Arial" w:cs="Arial" w:eastAsia="Arial" w:hAnsi="Arial"/>
          <w:color w:val="1A1A1A"/>
          <w:sz w:val="19"/>
          <w:szCs w:val="19"/>
        </w:rPr>
        <w:t xml:space="preserve">Identity and access engineering: OAuth and OIDC, workload identity, short-lived credentials, secrets management, and the delegation problem when one service acts for another.</w:t>
      </w:r>
    </w:p>
    <w:p>
      <w:pPr>
        <w:pStyle w:val="ListParagraph"/>
        <w:numPr>
          <w:ilvl w:val="0"/>
          <w:numId w:val="2"/>
        </w:numPr>
        <w:spacing w:after="30" w:line="238"/>
      </w:pPr>
      <w:r>
        <w:rPr>
          <w:rFonts w:ascii="Arial" w:cs="Arial" w:eastAsia="Arial" w:hAnsi="Arial"/>
          <w:color w:val="1A1A1A"/>
          <w:sz w:val="19"/>
          <w:szCs w:val="19"/>
        </w:rPr>
        <w:t xml:space="preserve">Audit and provenance systems: tamper-evident logging, event sourcing, lineage, and designing for the query an auditor will actually ask.</w:t>
      </w:r>
    </w:p>
    <w:p>
      <w:pPr>
        <w:pStyle w:val="ListParagraph"/>
        <w:numPr>
          <w:ilvl w:val="0"/>
          <w:numId w:val="2"/>
        </w:numPr>
        <w:spacing w:after="30" w:line="238"/>
      </w:pPr>
      <w:r>
        <w:rPr>
          <w:rFonts w:ascii="Arial" w:cs="Arial" w:eastAsia="Arial" w:hAnsi="Arial"/>
          <w:color w:val="1A1A1A"/>
          <w:sz w:val="19"/>
          <w:szCs w:val="19"/>
        </w:rPr>
        <w:t xml:space="preserve">Multi-tenant isolation at platform level, and a working understanding of how it fails.</w:t>
      </w:r>
    </w:p>
    <w:p>
      <w:pPr>
        <w:pStyle w:val="ListParagraph"/>
        <w:numPr>
          <w:ilvl w:val="0"/>
          <w:numId w:val="2"/>
        </w:numPr>
        <w:spacing w:after="30" w:line="238"/>
      </w:pPr>
      <w:r>
        <w:rPr>
          <w:rFonts w:ascii="Arial" w:cs="Arial" w:eastAsia="Arial" w:hAnsi="Arial"/>
          <w:color w:val="1A1A1A"/>
          <w:sz w:val="19"/>
          <w:szCs w:val="19"/>
        </w:rPr>
        <w:t xml:space="preserve">Agentic security failure modes — prompt injection, cross-tenant leakage, over-broad tool authority, confused-deputy problems.</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Delivery inside a regulated, audited or sovereign environment, and a working sense of what an auditor accepts as evidence.</w:t>
      </w:r>
    </w:p>
    <w:p>
      <w:pPr>
        <w:pStyle w:val="ListParagraph"/>
        <w:numPr>
          <w:ilvl w:val="0"/>
          <w:numId w:val="2"/>
        </w:numPr>
        <w:spacing w:after="30" w:line="238"/>
      </w:pPr>
      <w:r>
        <w:rPr>
          <w:rFonts w:ascii="Arial" w:cs="Arial" w:eastAsia="Arial" w:hAnsi="Arial"/>
          <w:color w:val="1A1A1A"/>
          <w:sz w:val="19"/>
          <w:szCs w:val="19"/>
        </w:rPr>
        <w:t xml:space="preserve">Working knowledge of at least one control framework in practice — SOC 2, ISO/IEC 27001 or 42001, NIST AI RMF or a sector equivalent.</w:t>
      </w:r>
    </w:p>
    <w:p>
      <w:pPr>
        <w:pStyle w:val="ListParagraph"/>
        <w:numPr>
          <w:ilvl w:val="0"/>
          <w:numId w:val="2"/>
        </w:numPr>
        <w:spacing w:after="30" w:line="238"/>
      </w:pPr>
      <w:r>
        <w:rPr>
          <w:rFonts w:ascii="Arial" w:cs="Arial" w:eastAsia="Arial" w:hAnsi="Arial"/>
          <w:color w:val="1A1A1A"/>
          <w:sz w:val="19"/>
          <w:szCs w:val="19"/>
        </w:rPr>
        <w:t xml:space="preserve">The ability to explain a control design to an engineer and to a compliance colleague.</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Experience implementing controls for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SPIFFE and SPIRE, service mesh identity, or confidential computing.</w:t>
      </w:r>
    </w:p>
    <w:p>
      <w:pPr>
        <w:pStyle w:val="ListParagraph"/>
        <w:numPr>
          <w:ilvl w:val="0"/>
          <w:numId w:val="2"/>
        </w:numPr>
        <w:spacing w:after="30" w:line="238"/>
      </w:pPr>
      <w:r>
        <w:rPr>
          <w:rFonts w:ascii="Arial" w:cs="Arial" w:eastAsia="Arial" w:hAnsi="Arial"/>
          <w:color w:val="1A1A1A"/>
          <w:sz w:val="19"/>
          <w:szCs w:val="19"/>
        </w:rPr>
        <w:t xml:space="preserve">Information-flow control, data classification or labelling at scale.</w:t>
      </w:r>
    </w:p>
    <w:p>
      <w:pPr>
        <w:pStyle w:val="ListParagraph"/>
        <w:numPr>
          <w:ilvl w:val="0"/>
          <w:numId w:val="2"/>
        </w:numPr>
        <w:spacing w:after="30" w:line="238"/>
      </w:pPr>
      <w:r>
        <w:rPr>
          <w:rFonts w:ascii="Arial" w:cs="Arial" w:eastAsia="Arial" w:hAnsi="Arial"/>
          <w:color w:val="1A1A1A"/>
          <w:sz w:val="19"/>
          <w:szCs w:val="19"/>
        </w:rPr>
        <w:t xml:space="preserve">Having been on the engineering side of a certification audit.</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The controls you own are enforced inline in production and fast enough that nobody proposes routing around them.</w:t>
      </w:r>
    </w:p>
    <w:p>
      <w:pPr>
        <w:pStyle w:val="ListParagraph"/>
        <w:numPr>
          <w:ilvl w:val="0"/>
          <w:numId w:val="2"/>
        </w:numPr>
        <w:spacing w:after="30" w:line="238"/>
      </w:pPr>
      <w:r>
        <w:rPr>
          <w:rFonts w:ascii="Arial" w:cs="Arial" w:eastAsia="Arial" w:hAnsi="Arial"/>
          <w:color w:val="1A1A1A"/>
          <w:sz w:val="19"/>
          <w:szCs w:val="19"/>
        </w:rPr>
        <w:t xml:space="preserve">Runs in your area can be reconstructed from the provenance record without engineering archaeology.</w:t>
      </w:r>
    </w:p>
    <w:p>
      <w:pPr>
        <w:pStyle w:val="ListParagraph"/>
        <w:numPr>
          <w:ilvl w:val="0"/>
          <w:numId w:val="2"/>
        </w:numPr>
        <w:spacing w:after="30" w:line="238"/>
      </w:pPr>
      <w:r>
        <w:rPr>
          <w:rFonts w:ascii="Arial" w:cs="Arial" w:eastAsia="Arial" w:hAnsi="Arial"/>
          <w:color w:val="1A1A1A"/>
          <w:sz w:val="19"/>
          <w:szCs w:val="19"/>
        </w:rPr>
        <w:t xml:space="preserve">Compliance evidence for your area is produced by query and accepted by an auditor.</w:t>
      </w:r>
    </w:p>
    <w:p>
      <w:pPr>
        <w:pStyle w:val="ListParagraph"/>
        <w:numPr>
          <w:ilvl w:val="0"/>
          <w:numId w:val="2"/>
        </w:numPr>
        <w:spacing w:after="30" w:line="238"/>
      </w:pPr>
      <w:r>
        <w:rPr>
          <w:rFonts w:ascii="Arial" w:cs="Arial" w:eastAsia="Arial" w:hAnsi="Arial"/>
          <w:color w:val="1A1A1A"/>
          <w:sz w:val="19"/>
          <w:szCs w:val="19"/>
        </w:rPr>
        <w:t xml:space="preserve">Complex problems land with you and get solved without escalation.</w:t>
      </w:r>
    </w:p>
    <w:p>
      <w:pPr>
        <w:pStyle w:val="ListParagraph"/>
        <w:numPr>
          <w:ilvl w:val="0"/>
          <w:numId w:val="2"/>
        </w:numPr>
        <w:spacing w:after="30" w:line="238"/>
      </w:pPr>
      <w:r>
        <w:rPr>
          <w:rFonts w:ascii="Arial" w:cs="Arial" w:eastAsia="Arial" w:hAnsi="Arial"/>
          <w:color w:val="1A1A1A"/>
          <w:sz w:val="19"/>
          <w:szCs w:val="19"/>
        </w:rPr>
        <w:t xml:space="preserve">Less experienced engineers are visibly better for working with you.</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Go and Python  ·  Kubernetes (operators, controllers, CRDs)  ·  Policy engines (OPA / Rego)  ·  Identity standards (OAuth / OIDC, workload identity, SPIFFE)  ·  Secrets management  ·  Audit, provenance and lineage tooling  ·  Event-driven architecture  ·  OpenTelemetry / Prometheus / Grafana  ·  CI/CD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III — Applying — uses learned knowledge and skills to perform all aspects of the role with autonomy</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In-depth conceptual and practical knowledge in own discipline, plus basic knowledge of related disciplines. Solves complex problems and works independently with minimal guidance. May lead projects or project steps, and acts as a resource for colleagues with less experience.</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5 – 7 years in the underlying engineering discipline, including at least 1 year applied to AI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15161D-E764-4088-846B-F575053D9598}"/>
</file>

<file path=customXml/itemProps2.xml><?xml version="1.0" encoding="utf-8"?>
<ds:datastoreItem xmlns:ds="http://schemas.openxmlformats.org/officeDocument/2006/customXml" ds:itemID="{ECB80E9F-AD96-4593-8867-ACB52073DD02}"/>
</file>

<file path=customXml/itemProps3.xml><?xml version="1.0" encoding="utf-8"?>
<ds:datastoreItem xmlns:ds="http://schemas.openxmlformats.org/officeDocument/2006/customXml" ds:itemID="{5DE4E7D4-D2BC-4F99-84DD-19F10CEC79E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 III — RackAI</dc:title>
  <dc:creator>Rackspace Technology</dc:creator>
  <cp:lastModifiedBy>Un-named</cp:lastModifiedBy>
  <cp:revision>1</cp:revision>
  <dcterms:created xsi:type="dcterms:W3CDTF">2026-09-14T22:59:18Z</dcterms:created>
  <dcterms:modified xsi:type="dcterms:W3CDTF">2026-09-14T22:59:18Z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