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footer1.xml" ContentType="application/vnd.openxmlformats-officedocument.wordprocessingml.footer+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80"/>
        <w:tblBorders>
          <w:top w:val="none" w:color="FFFFFF" w:sz="0"/>
          <w:left w:val="none" w:color="FFFFFF" w:sz="0"/>
          <w:bottom w:val="single" w:color="E4002B" w:sz="18"/>
          <w:right w:val="none" w:color="FFFFFF" w:sz="0"/>
          <w:insideH w:val="none" w:color="FFFFFF" w:sz="0"/>
          <w:insideV w:val="none" w:color="FFFFFF" w:sz="0"/>
        </w:tblBorders>
      </w:tblPr>
      <w:tblGrid>
        <w:gridCol w:w="4840"/>
        <w:gridCol w:w="4840"/>
      </w:tblGrid>
      <w:tr>
        <w:tc>
          <w:tcPr>
            <w:tcW w:type="dxa" w:w="4840"/>
            <w:tcMar>
              <w:top w:type="dxa" w:w="40"/>
              <w:left w:type="dxa" w:w="0"/>
              <w:bottom w:type="dxa" w:w="100"/>
              <w:right w:type="dxa" w:w="0"/>
            </w:tcMar>
          </w:tcPr>
          <w:p>
            <w:r>
              <w:rPr>
                <w:rFonts w:ascii="Arial" w:cs="Arial" w:eastAsia="Arial" w:hAnsi="Arial"/>
                <w:b/>
                <w:bCs/>
                <w:color w:val="1A1A1A"/>
                <w:sz w:val="26"/>
                <w:szCs w:val="26"/>
              </w:rPr>
              <w:t xml:space="preserve">rackspace</w:t>
            </w:r>
            <w:r>
              <w:rPr>
                <w:rFonts w:ascii="Arial" w:cs="Arial" w:eastAsia="Arial" w:hAnsi="Arial"/>
                <w:color w:val="595959"/>
                <w:sz w:val="26"/>
                <w:szCs w:val="26"/>
              </w:rPr>
              <w:t xml:space="preserve"> technology</w:t>
            </w:r>
          </w:p>
        </w:tc>
        <w:tc>
          <w:tcPr>
            <w:tcW w:type="dxa" w:w="4840"/>
            <w:tcMar>
              <w:top w:type="dxa" w:w="40"/>
              <w:left w:type="dxa" w:w="0"/>
              <w:bottom w:type="dxa" w:w="100"/>
              <w:right w:type="dxa" w:w="0"/>
            </w:tcMar>
          </w:tcPr>
          <w:p>
            <w:pPr>
              <w:jc w:val="right"/>
            </w:pPr>
            <w:r>
              <w:rPr>
                <w:rFonts w:ascii="Arial" w:cs="Arial" w:eastAsia="Arial" w:hAnsi="Arial"/>
                <w:b/>
                <w:bCs/>
                <w:color w:val="E4002B"/>
                <w:sz w:val="16"/>
                <w:szCs w:val="16"/>
              </w:rPr>
              <w:t xml:space="preserve">CAREERS  ·  ENGINEERING  ·  FOR INTERNAL POSTING</w:t>
            </w:r>
          </w:p>
        </w:tc>
      </w:tr>
    </w:tbl>
    <w:p>
      <w:pPr>
        <w:spacing w:after="40" w:before="240"/>
      </w:pPr>
      <w:r>
        <w:rPr>
          <w:rFonts w:ascii="Arial" w:cs="Arial" w:eastAsia="Arial" w:hAnsi="Arial"/>
          <w:b/>
          <w:bCs/>
          <w:color w:val="1A1A1A"/>
          <w:sz w:val="36"/>
          <w:szCs w:val="36"/>
        </w:rPr>
        <w:t xml:space="preserve">AI Governance Engineer II</w:t>
      </w:r>
    </w:p>
    <w:p>
      <w:pPr>
        <w:spacing w:after="30"/>
      </w:pPr>
      <w:r>
        <w:rPr>
          <w:rFonts w:ascii="Arial" w:cs="Arial" w:eastAsia="Arial" w:hAnsi="Arial"/>
          <w:b/>
          <w:bCs/>
          <w:caps/>
          <w:color w:val="E4002B"/>
          <w:sz w:val="20"/>
          <w:szCs w:val="20"/>
        </w:rPr>
        <w:t xml:space="preserve">AI Governance Engineering  ·  Policy, Provenance and Agent Identity</w:t>
      </w:r>
    </w:p>
    <w:p>
      <w:pPr>
        <w:pBdr>
          <w:bottom w:val="single" w:color="D9D9D9" w:sz="6" w:space="6"/>
        </w:pBdr>
        <w:spacing w:after="180"/>
      </w:pPr>
      <w:r>
        <w:rPr>
          <w:rFonts w:ascii="Arial" w:cs="Arial" w:eastAsia="Arial" w:hAnsi="Arial"/>
          <w:color w:val="595959"/>
          <w:sz w:val="16"/>
          <w:szCs w:val="16"/>
        </w:rPr>
        <w:t xml:space="preserve">Individual Contributor  ·  RackAI Product and Engineering  ·  Remote / Hybrid  ·  Reports to Director, AI Harness, Orchestration and Governance</w:t>
      </w:r>
    </w:p>
    <w:p>
      <w:pPr>
        <w:pStyle w:val="Heading1"/>
        <w:pBdr>
          <w:bottom w:val="single" w:color="E4002B" w:sz="8" w:space="4"/>
        </w:pBdr>
        <w:spacing w:after="70" w:before="170"/>
      </w:pPr>
      <w:r>
        <w:rPr>
          <w:rFonts w:ascii="Arial" w:cs="Arial" w:eastAsia="Arial" w:hAnsi="Arial"/>
          <w:b/>
          <w:bCs/>
          <w:color w:val="1A1A1A"/>
          <w:sz w:val="23"/>
          <w:szCs w:val="23"/>
        </w:rPr>
        <w:t xml:space="preserve">About the opportunity</w:t>
      </w:r>
    </w:p>
    <w:p>
      <w:pPr>
        <w:spacing w:after="80" w:line="242"/>
      </w:pPr>
      <w:r>
        <w:rPr>
          <w:rFonts w:ascii="Arial" w:cs="Arial" w:eastAsia="Arial" w:hAnsi="Arial"/>
          <w:color w:val="1A1A1A"/>
          <w:sz w:val="19"/>
          <w:szCs w:val="19"/>
        </w:rPr>
        <w:t xml:space="preserve">RackAI is Rackspace's managed AI inference platform, built for the private and sovereign environments where regulated enterprises can actually run AI. What makes that claim defensible is not the serving layer but the controls around it: policy enforced as the system runs, and a record afterwards of what happened and on whose authority. AI Governance Engineers build those controls.</w:t>
      </w:r>
    </w:p>
    <w:p>
      <w:pPr>
        <w:spacing w:after="80" w:line="242"/>
      </w:pPr>
      <w:r>
        <w:rPr>
          <w:rFonts w:ascii="Arial" w:cs="Arial" w:eastAsia="Arial" w:hAnsi="Arial"/>
          <w:color w:val="1A1A1A"/>
          <w:sz w:val="19"/>
          <w:szCs w:val="19"/>
        </w:rPr>
        <w:t xml:space="preserve">As an AI Governance Engineer II you will own defined components of the control set — policy rules, audit pipelines, identity integrations — working from established patterns with a moderate level of guidance, and broadening from one area of the platform into others.</w:t>
      </w:r>
    </w:p>
    <w:p>
      <w:pPr>
        <w:spacing w:after="80" w:line="242"/>
      </w:pPr>
      <w:r>
        <w:rPr>
          <w:rFonts w:ascii="Arial" w:cs="Arial" w:eastAsia="Arial" w:hAnsi="Arial"/>
          <w:color w:val="1A1A1A"/>
          <w:sz w:val="19"/>
          <w:szCs w:val="19"/>
        </w:rPr>
        <w:t xml:space="preserve">You will work in a team that shares the governance and identity architecture with the Chief Architect, AI Partner Integrations, alongside AI Assurance Engineers who build the measurement proving the platform behaves.</w:t>
      </w:r>
    </w:p>
    <w:p>
      <w:pPr>
        <w:pStyle w:val="Heading1"/>
        <w:pBdr>
          <w:bottom w:val="single" w:color="E4002B" w:sz="8" w:space="4"/>
        </w:pBdr>
        <w:spacing w:after="70" w:before="170"/>
      </w:pPr>
      <w:r>
        <w:rPr>
          <w:rFonts w:ascii="Arial" w:cs="Arial" w:eastAsia="Arial" w:hAnsi="Arial"/>
          <w:b/>
          <w:bCs/>
          <w:color w:val="1A1A1A"/>
          <w:sz w:val="23"/>
          <w:szCs w:val="23"/>
        </w:rPr>
        <w:t xml:space="preserve">Why RackAI</w:t>
      </w:r>
    </w:p>
    <w:p>
      <w:pPr>
        <w:spacing w:after="80" w:line="242"/>
      </w:pPr>
      <w:r>
        <w:rPr>
          <w:rFonts w:ascii="Arial" w:cs="Arial" w:eastAsia="Arial" w:hAnsi="Arial"/>
          <w:color w:val="1A1A1A"/>
          <w:sz w:val="19"/>
          <w:szCs w:val="19"/>
        </w:rPr>
        <w:t xml:space="preserve">Enterprises have stopped asking whether AI can work and started asking who is accountable when it gets something wrong.</w:t>
      </w:r>
    </w:p>
    <w:p>
      <w:pPr>
        <w:spacing w:after="80" w:line="242"/>
      </w:pPr>
      <w:r>
        <w:rPr>
          <w:rFonts w:ascii="Arial" w:cs="Arial" w:eastAsia="Arial" w:hAnsi="Arial"/>
          <w:color w:val="1A1A1A"/>
          <w:sz w:val="19"/>
          <w:szCs w:val="19"/>
        </w:rPr>
        <w:t xml:space="preserve">Answering that in code rather than a policy document is one of the most sought-after engineering capabilities in the market, and the regulatory timetable has made it urgent. The controls built here decide what an agent may do with which data, record it so the record survives an audit, and hold when an agent acts for someone several hops away. Rackspace brings the regulated customers, the real workloads and a platform being built now, so these controls get exercised rather than documented.</w:t>
      </w:r>
    </w:p>
    <w:p>
      <w:pPr>
        <w:spacing w:after="80" w:line="242"/>
      </w:pPr>
      <w:r>
        <w:rPr>
          <w:rFonts w:ascii="Arial" w:cs="Arial" w:eastAsia="Arial" w:hAnsi="Arial"/>
          <w:b w:val="false"/>
          <w:bCs w:val="false"/>
          <w:color w:val="1A1A1A"/>
          <w:sz w:val="19"/>
          <w:szCs w:val="19"/>
        </w:rPr>
        <w:t xml:space="preserve">And we work the way we build: </w:t>
      </w:r>
      <w:r>
        <w:rPr>
          <w:rFonts w:ascii="Arial" w:cs="Arial" w:eastAsia="Arial" w:hAnsi="Arial"/>
          <w:b/>
          <w:bCs/>
          <w:color w:val="1A1A1A"/>
          <w:sz w:val="19"/>
          <w:szCs w:val="19"/>
        </w:rPr>
        <w:t xml:space="preserve">we build AI, and we build with AI.</w:t>
      </w:r>
      <w:r>
        <w:rPr>
          <w:rFonts w:ascii="Arial" w:cs="Arial" w:eastAsia="Arial" w:hAnsi="Arial"/>
          <w:b w:val="false"/>
          <w:bCs w:val="false"/>
          <w:color w:val="1A1A1A"/>
          <w:sz w:val="19"/>
          <w:szCs w:val="19"/>
        </w:rPr>
        <w:t xml:space="preserve"> If you want to build real governance engineering rather than administer someone else's policy, this is an unusually good place to do it.</w:t>
      </w:r>
    </w:p>
    <w:p>
      <w:pPr>
        <w:pStyle w:val="Heading1"/>
        <w:pBdr>
          <w:bottom w:val="single" w:color="E4002B" w:sz="8" w:space="4"/>
        </w:pBdr>
        <w:spacing w:after="70" w:before="170"/>
      </w:pPr>
      <w:r>
        <w:rPr>
          <w:rFonts w:ascii="Arial" w:cs="Arial" w:eastAsia="Arial" w:hAnsi="Arial"/>
          <w:b/>
          <w:bCs/>
          <w:color w:val="1A1A1A"/>
          <w:sz w:val="23"/>
          <w:szCs w:val="23"/>
        </w:rPr>
        <w:t xml:space="preserve">What you'll do</w:t>
      </w:r>
    </w:p>
    <w:p>
      <w:pPr>
        <w:pStyle w:val="Heading2"/>
        <w:spacing w:after="44" w:before="112"/>
      </w:pPr>
      <w:r>
        <w:rPr>
          <w:rFonts w:ascii="Arial" w:cs="Arial" w:eastAsia="Arial" w:hAnsi="Arial"/>
          <w:b/>
          <w:bCs/>
          <w:color w:val="E4002B"/>
          <w:sz w:val="19"/>
          <w:szCs w:val="19"/>
        </w:rPr>
        <w:t xml:space="preserve">Own governance controls</w:t>
      </w:r>
    </w:p>
    <w:p>
      <w:pPr>
        <w:pStyle w:val="ListParagraph"/>
        <w:numPr>
          <w:ilvl w:val="0"/>
          <w:numId w:val="2"/>
        </w:numPr>
        <w:spacing w:after="30" w:line="238"/>
      </w:pPr>
      <w:r>
        <w:rPr>
          <w:rFonts w:ascii="Arial" w:cs="Arial" w:eastAsia="Arial" w:hAnsi="Arial"/>
          <w:color w:val="1A1A1A"/>
          <w:sz w:val="19"/>
          <w:szCs w:val="19"/>
        </w:rPr>
        <w:t xml:space="preserve">Own defined policy rules and enforcement checks end to end, from implementation through production support.</w:t>
      </w:r>
    </w:p>
    <w:p>
      <w:pPr>
        <w:pStyle w:val="ListParagraph"/>
        <w:numPr>
          <w:ilvl w:val="0"/>
          <w:numId w:val="2"/>
        </w:numPr>
        <w:spacing w:after="30" w:line="238"/>
      </w:pPr>
      <w:r>
        <w:rPr>
          <w:rFonts w:ascii="Arial" w:cs="Arial" w:eastAsia="Arial" w:hAnsi="Arial"/>
          <w:color w:val="1A1A1A"/>
          <w:sz w:val="19"/>
          <w:szCs w:val="19"/>
        </w:rPr>
        <w:t xml:space="preserve">Build and extend the provenance and audit record: its schema, its ingestion path, and the queries it has to answer.</w:t>
      </w:r>
    </w:p>
    <w:p>
      <w:pPr>
        <w:pStyle w:val="ListParagraph"/>
        <w:numPr>
          <w:ilvl w:val="0"/>
          <w:numId w:val="2"/>
        </w:numPr>
        <w:spacing w:after="30" w:line="238"/>
      </w:pPr>
      <w:r>
        <w:rPr>
          <w:rFonts w:ascii="Arial" w:cs="Arial" w:eastAsia="Arial" w:hAnsi="Arial"/>
          <w:color w:val="1A1A1A"/>
          <w:sz w:val="19"/>
          <w:szCs w:val="19"/>
        </w:rPr>
        <w:t xml:space="preserve">Implement agent identity and scoped-token handling for services, following the established identity model.</w:t>
      </w:r>
    </w:p>
    <w:p>
      <w:pPr>
        <w:pStyle w:val="ListParagraph"/>
        <w:numPr>
          <w:ilvl w:val="0"/>
          <w:numId w:val="2"/>
        </w:numPr>
        <w:spacing w:after="30" w:line="238"/>
      </w:pPr>
      <w:r>
        <w:rPr>
          <w:rFonts w:ascii="Arial" w:cs="Arial" w:eastAsia="Arial" w:hAnsi="Arial"/>
          <w:color w:val="1A1A1A"/>
          <w:sz w:val="19"/>
          <w:szCs w:val="19"/>
        </w:rPr>
        <w:t xml:space="preserve">Build the tenant isolation checks that keep one customer's data and instructions away from another's.</w:t>
      </w:r>
    </w:p>
    <w:p>
      <w:pPr>
        <w:pStyle w:val="ListParagraph"/>
        <w:numPr>
          <w:ilvl w:val="0"/>
          <w:numId w:val="2"/>
        </w:numPr>
        <w:spacing w:after="30" w:line="238"/>
      </w:pPr>
      <w:r>
        <w:rPr>
          <w:rFonts w:ascii="Arial" w:cs="Arial" w:eastAsia="Arial" w:hAnsi="Arial"/>
          <w:color w:val="1A1A1A"/>
          <w:sz w:val="19"/>
          <w:szCs w:val="19"/>
        </w:rPr>
        <w:t xml:space="preserve">Implement rate limits and approval gates on what an agent can do in the world.</w:t>
      </w:r>
    </w:p>
    <w:p>
      <w:pPr>
        <w:pStyle w:val="Heading2"/>
        <w:spacing w:after="44" w:before="112"/>
      </w:pPr>
      <w:r>
        <w:rPr>
          <w:rFonts w:ascii="Arial" w:cs="Arial" w:eastAsia="Arial" w:hAnsi="Arial"/>
          <w:b/>
          <w:bCs/>
          <w:color w:val="E4002B"/>
          <w:sz w:val="19"/>
          <w:szCs w:val="19"/>
        </w:rPr>
        <w:t xml:space="preserve">Make compliance routine</w:t>
      </w:r>
    </w:p>
    <w:p>
      <w:pPr>
        <w:pStyle w:val="ListParagraph"/>
        <w:numPr>
          <w:ilvl w:val="0"/>
          <w:numId w:val="2"/>
        </w:numPr>
        <w:spacing w:after="30" w:line="238"/>
      </w:pPr>
      <w:r>
        <w:rPr>
          <w:rFonts w:ascii="Arial" w:cs="Arial" w:eastAsia="Arial" w:hAnsi="Arial"/>
          <w:color w:val="1A1A1A"/>
          <w:sz w:val="19"/>
          <w:szCs w:val="19"/>
        </w:rPr>
        <w:t xml:space="preserve">Own evidence generation for defined controls, so a request is answered by running a query rather than assembling a document.</w:t>
      </w:r>
    </w:p>
    <w:p>
      <w:pPr>
        <w:pStyle w:val="ListParagraph"/>
        <w:numPr>
          <w:ilvl w:val="0"/>
          <w:numId w:val="2"/>
        </w:numPr>
        <w:spacing w:after="30" w:line="238"/>
      </w:pPr>
      <w:r>
        <w:rPr>
          <w:rFonts w:ascii="Arial" w:cs="Arial" w:eastAsia="Arial" w:hAnsi="Arial"/>
          <w:color w:val="1A1A1A"/>
          <w:sz w:val="19"/>
          <w:szCs w:val="19"/>
        </w:rPr>
        <w:t xml:space="preserve">Own parts of the running-system inventory — models, prompts, tools, components, versions — and its provenance.</w:t>
      </w:r>
    </w:p>
    <w:p>
      <w:pPr>
        <w:pStyle w:val="ListParagraph"/>
        <w:numPr>
          <w:ilvl w:val="0"/>
          <w:numId w:val="2"/>
        </w:numPr>
        <w:spacing w:after="30" w:line="238"/>
      </w:pPr>
      <w:r>
        <w:rPr>
          <w:rFonts w:ascii="Arial" w:cs="Arial" w:eastAsia="Arial" w:hAnsi="Arial"/>
          <w:color w:val="1A1A1A"/>
          <w:sz w:val="19"/>
          <w:szCs w:val="19"/>
        </w:rPr>
        <w:t xml:space="preserve">Implement data-residency checks so protected data stays where it is permitted to be.</w:t>
      </w:r>
    </w:p>
    <w:p>
      <w:pPr>
        <w:pStyle w:val="ListParagraph"/>
        <w:numPr>
          <w:ilvl w:val="0"/>
          <w:numId w:val="2"/>
        </w:numPr>
        <w:spacing w:after="30" w:line="238"/>
      </w:pPr>
      <w:r>
        <w:rPr>
          <w:rFonts w:ascii="Arial" w:cs="Arial" w:eastAsia="Arial" w:hAnsi="Arial"/>
          <w:color w:val="1A1A1A"/>
          <w:sz w:val="19"/>
          <w:szCs w:val="19"/>
        </w:rPr>
        <w:t xml:space="preserve">Work with the assurance engineers so controls and evidence reference one record rather than two.</w:t>
      </w:r>
    </w:p>
    <w:p>
      <w:pPr>
        <w:pStyle w:val="Heading2"/>
        <w:spacing w:after="44" w:before="112"/>
      </w:pPr>
      <w:r>
        <w:rPr>
          <w:rFonts w:ascii="Arial" w:cs="Arial" w:eastAsia="Arial" w:hAnsi="Arial"/>
          <w:b/>
          <w:bCs/>
          <w:color w:val="E4002B"/>
          <w:sz w:val="19"/>
          <w:szCs w:val="19"/>
        </w:rPr>
        <w:t xml:space="preserve">Work as part of the platform team</w:t>
      </w:r>
    </w:p>
    <w:p>
      <w:pPr>
        <w:pStyle w:val="ListParagraph"/>
        <w:numPr>
          <w:ilvl w:val="0"/>
          <w:numId w:val="2"/>
        </w:numPr>
        <w:spacing w:after="30" w:line="238"/>
      </w:pPr>
      <w:r>
        <w:rPr>
          <w:rFonts w:ascii="Arial" w:cs="Arial" w:eastAsia="Arial" w:hAnsi="Arial"/>
          <w:color w:val="1A1A1A"/>
          <w:sz w:val="19"/>
          <w:szCs w:val="19"/>
        </w:rPr>
        <w:t xml:space="preserve">Contribute to the design of the controls you own, working from the shared governance and identity architecture, and document what you build so others can operate it.</w:t>
      </w:r>
    </w:p>
    <w:p>
      <w:pPr>
        <w:pStyle w:val="ListParagraph"/>
        <w:numPr>
          <w:ilvl w:val="0"/>
          <w:numId w:val="2"/>
        </w:numPr>
        <w:spacing w:after="30" w:line="238"/>
      </w:pPr>
      <w:r>
        <w:rPr>
          <w:rFonts w:ascii="Arial" w:cs="Arial" w:eastAsia="Arial" w:hAnsi="Arial"/>
          <w:color w:val="1A1A1A"/>
          <w:sz w:val="19"/>
          <w:szCs w:val="19"/>
        </w:rPr>
        <w:t xml:space="preserve">Take part in on-call and incident response for the controls you own.</w:t>
      </w:r>
    </w:p>
    <w:p>
      <w:pPr>
        <w:pStyle w:val="ListParagraph"/>
        <w:numPr>
          <w:ilvl w:val="0"/>
          <w:numId w:val="2"/>
        </w:numPr>
        <w:spacing w:after="30" w:line="238"/>
      </w:pPr>
      <w:r>
        <w:rPr>
          <w:rFonts w:ascii="Arial" w:cs="Arial" w:eastAsia="Arial" w:hAnsi="Arial"/>
          <w:color w:val="1A1A1A"/>
          <w:sz w:val="19"/>
          <w:szCs w:val="19"/>
        </w:rPr>
        <w:t xml:space="preserve">Work with teams outside your own when your controls sit in their request path.</w:t>
      </w:r>
    </w:p>
    <w:p>
      <w:pPr>
        <w:pStyle w:val="ListParagraph"/>
        <w:numPr>
          <w:ilvl w:val="0"/>
          <w:numId w:val="2"/>
        </w:numPr>
        <w:spacing w:after="30" w:line="238"/>
      </w:pPr>
      <w:r>
        <w:rPr>
          <w:rFonts w:ascii="Arial" w:cs="Arial" w:eastAsia="Arial" w:hAnsi="Arial"/>
          <w:color w:val="1A1A1A"/>
          <w:sz w:val="19"/>
          <w:szCs w:val="19"/>
        </w:rPr>
        <w:t xml:space="preserve">Use AI-assisted engineering as a normal part of design, coding, testing, review and documentation, within the standards the team sets.</w:t>
      </w:r>
    </w:p>
    <w:p>
      <w:pPr>
        <w:pStyle w:val="Heading1"/>
        <w:pBdr>
          <w:bottom w:val="single" w:color="E4002B" w:sz="8" w:space="4"/>
        </w:pBdr>
        <w:spacing w:after="70" w:before="170"/>
      </w:pPr>
      <w:r>
        <w:rPr>
          <w:rFonts w:ascii="Arial" w:cs="Arial" w:eastAsia="Arial" w:hAnsi="Arial"/>
          <w:b/>
          <w:bCs/>
          <w:color w:val="1A1A1A"/>
          <w:sz w:val="23"/>
          <w:szCs w:val="23"/>
        </w:rPr>
        <w:t xml:space="preserve">What you'll bring</w:t>
      </w:r>
    </w:p>
    <w:p>
      <w:pPr>
        <w:pStyle w:val="Heading2"/>
        <w:spacing w:after="44" w:before="112"/>
      </w:pPr>
      <w:r>
        <w:rPr>
          <w:rFonts w:ascii="Arial" w:cs="Arial" w:eastAsia="Arial" w:hAnsi="Arial"/>
          <w:b/>
          <w:bCs/>
          <w:color w:val="E4002B"/>
          <w:sz w:val="19"/>
          <w:szCs w:val="19"/>
        </w:rPr>
        <w:t xml:space="preserve">Engineering depth</w:t>
      </w:r>
    </w:p>
    <w:p>
      <w:pPr>
        <w:pStyle w:val="ListParagraph"/>
        <w:numPr>
          <w:ilvl w:val="0"/>
          <w:numId w:val="2"/>
        </w:numPr>
        <w:spacing w:after="30" w:line="238"/>
      </w:pPr>
      <w:r>
        <w:rPr>
          <w:rFonts w:ascii="Arial" w:cs="Arial" w:eastAsia="Arial" w:hAnsi="Arial"/>
          <w:color w:val="1A1A1A"/>
          <w:sz w:val="19"/>
          <w:szCs w:val="19"/>
        </w:rPr>
        <w:t xml:space="preserve">Working knowledge and experience of software engineering in your own discipline, with a track record of shipped production work.</w:t>
      </w:r>
    </w:p>
    <w:p>
      <w:pPr>
        <w:pStyle w:val="ListParagraph"/>
        <w:numPr>
          <w:ilvl w:val="0"/>
          <w:numId w:val="2"/>
        </w:numPr>
        <w:spacing w:after="30" w:line="238"/>
      </w:pPr>
      <w:r>
        <w:rPr>
          <w:rFonts w:ascii="Arial" w:cs="Arial" w:eastAsia="Arial" w:hAnsi="Arial"/>
          <w:color w:val="1A1A1A"/>
          <w:sz w:val="19"/>
          <w:szCs w:val="19"/>
        </w:rPr>
        <w:t xml:space="preserve">Solid Go or Python, and the ability to work in an unfamiliar codebase without hand-holding.</w:t>
      </w:r>
    </w:p>
    <w:p>
      <w:pPr>
        <w:pStyle w:val="ListParagraph"/>
        <w:numPr>
          <w:ilvl w:val="0"/>
          <w:numId w:val="2"/>
        </w:numPr>
        <w:spacing w:after="30" w:line="238"/>
      </w:pPr>
      <w:r>
        <w:rPr>
          <w:rFonts w:ascii="Arial" w:cs="Arial" w:eastAsia="Arial" w:hAnsi="Arial"/>
          <w:color w:val="1A1A1A"/>
          <w:sz w:val="19"/>
          <w:szCs w:val="19"/>
        </w:rPr>
        <w:t xml:space="preserve">Kubernetes to the depth needed to build and debug a service running on it.</w:t>
      </w:r>
    </w:p>
    <w:p>
      <w:pPr>
        <w:pStyle w:val="ListParagraph"/>
        <w:numPr>
          <w:ilvl w:val="0"/>
          <w:numId w:val="2"/>
        </w:numPr>
        <w:spacing w:after="30" w:line="238"/>
      </w:pPr>
      <w:r>
        <w:rPr>
          <w:rFonts w:ascii="Arial" w:cs="Arial" w:eastAsia="Arial" w:hAnsi="Arial"/>
          <w:color w:val="1A1A1A"/>
          <w:sz w:val="19"/>
          <w:szCs w:val="19"/>
        </w:rPr>
        <w:t xml:space="preserve">Sound testing instincts, including how to test something whose output is not deterministic.</w:t>
      </w:r>
    </w:p>
    <w:p>
      <w:pPr>
        <w:pStyle w:val="Heading2"/>
        <w:spacing w:after="44" w:before="112"/>
      </w:pPr>
      <w:r>
        <w:rPr>
          <w:rFonts w:ascii="Arial" w:cs="Arial" w:eastAsia="Arial" w:hAnsi="Arial"/>
          <w:b/>
          <w:bCs/>
          <w:color w:val="E4002B"/>
          <w:sz w:val="19"/>
          <w:szCs w:val="19"/>
        </w:rPr>
        <w:t xml:space="preserve">Governance and security engineering</w:t>
      </w:r>
    </w:p>
    <w:p>
      <w:pPr>
        <w:pStyle w:val="ListParagraph"/>
        <w:numPr>
          <w:ilvl w:val="0"/>
          <w:numId w:val="2"/>
        </w:numPr>
        <w:spacing w:after="30" w:line="238"/>
      </w:pPr>
      <w:r>
        <w:rPr>
          <w:rFonts w:ascii="Arial" w:cs="Arial" w:eastAsia="Arial" w:hAnsi="Arial"/>
          <w:color w:val="1A1A1A"/>
          <w:sz w:val="19"/>
          <w:szCs w:val="19"/>
        </w:rPr>
        <w:t xml:space="preserve">Hands-on exposure to policy-as-code — OPA and Rego or equivalent — and an understanding of how policy gets distributed and versioned.</w:t>
      </w:r>
    </w:p>
    <w:p>
      <w:pPr>
        <w:pStyle w:val="ListParagraph"/>
        <w:numPr>
          <w:ilvl w:val="0"/>
          <w:numId w:val="2"/>
        </w:numPr>
        <w:spacing w:after="30" w:line="238"/>
      </w:pPr>
      <w:r>
        <w:rPr>
          <w:rFonts w:ascii="Arial" w:cs="Arial" w:eastAsia="Arial" w:hAnsi="Arial"/>
          <w:color w:val="1A1A1A"/>
          <w:sz w:val="19"/>
          <w:szCs w:val="19"/>
        </w:rPr>
        <w:t xml:space="preserve">Practical knowledge of OAuth and OIDC, service credentials and secrets management.</w:t>
      </w:r>
    </w:p>
    <w:p>
      <w:pPr>
        <w:pStyle w:val="ListParagraph"/>
        <w:numPr>
          <w:ilvl w:val="0"/>
          <w:numId w:val="2"/>
        </w:numPr>
        <w:spacing w:after="30" w:line="238"/>
      </w:pPr>
      <w:r>
        <w:rPr>
          <w:rFonts w:ascii="Arial" w:cs="Arial" w:eastAsia="Arial" w:hAnsi="Arial"/>
          <w:color w:val="1A1A1A"/>
          <w:sz w:val="19"/>
          <w:szCs w:val="19"/>
        </w:rPr>
        <w:t xml:space="preserve">Experience building or operating audit logging, and an appreciation of what makes a record trustworthy.</w:t>
      </w:r>
    </w:p>
    <w:p>
      <w:pPr>
        <w:pStyle w:val="ListParagraph"/>
        <w:numPr>
          <w:ilvl w:val="0"/>
          <w:numId w:val="2"/>
        </w:numPr>
        <w:spacing w:after="30" w:line="238"/>
      </w:pPr>
      <w:r>
        <w:rPr>
          <w:rFonts w:ascii="Arial" w:cs="Arial" w:eastAsia="Arial" w:hAnsi="Arial"/>
          <w:color w:val="1A1A1A"/>
          <w:sz w:val="19"/>
          <w:szCs w:val="19"/>
        </w:rPr>
        <w:t xml:space="preserve">Awareness of multi-tenant isolation and the common ways it fails.</w:t>
      </w:r>
    </w:p>
    <w:p>
      <w:pPr>
        <w:pStyle w:val="ListParagraph"/>
        <w:numPr>
          <w:ilvl w:val="0"/>
          <w:numId w:val="2"/>
        </w:numPr>
        <w:spacing w:after="30" w:line="238"/>
      </w:pPr>
      <w:r>
        <w:rPr>
          <w:rFonts w:ascii="Arial" w:cs="Arial" w:eastAsia="Arial" w:hAnsi="Arial"/>
          <w:color w:val="1A1A1A"/>
          <w:sz w:val="19"/>
          <w:szCs w:val="19"/>
        </w:rPr>
        <w:t xml:space="preserve">Familiarity with agentic security failure modes: prompt injection, cross-tenant leakage, over-broad tool authority.</w:t>
      </w:r>
    </w:p>
    <w:p>
      <w:pPr>
        <w:pStyle w:val="Heading2"/>
        <w:spacing w:after="44" w:before="112"/>
      </w:pPr>
      <w:r>
        <w:rPr>
          <w:rFonts w:ascii="Arial" w:cs="Arial" w:eastAsia="Arial" w:hAnsi="Arial"/>
          <w:b/>
          <w:bCs/>
          <w:color w:val="E4002B"/>
          <w:sz w:val="19"/>
          <w:szCs w:val="19"/>
        </w:rPr>
        <w:t xml:space="preserve">Ways of working</w:t>
      </w:r>
    </w:p>
    <w:p>
      <w:pPr>
        <w:pStyle w:val="ListParagraph"/>
        <w:numPr>
          <w:ilvl w:val="0"/>
          <w:numId w:val="2"/>
        </w:numPr>
        <w:spacing w:after="30" w:line="238"/>
      </w:pPr>
      <w:r>
        <w:rPr>
          <w:rFonts w:ascii="Arial" w:cs="Arial" w:eastAsia="Arial" w:hAnsi="Arial"/>
          <w:color w:val="1A1A1A"/>
          <w:sz w:val="19"/>
          <w:szCs w:val="19"/>
        </w:rPr>
        <w:t xml:space="preserve">Comfortable using prescribed guidelines and processes to analyse a situation, with a moderate level of guidance.</w:t>
      </w:r>
    </w:p>
    <w:p>
      <w:pPr>
        <w:pStyle w:val="ListParagraph"/>
        <w:numPr>
          <w:ilvl w:val="0"/>
          <w:numId w:val="2"/>
        </w:numPr>
        <w:spacing w:after="30" w:line="238"/>
      </w:pPr>
      <w:r>
        <w:rPr>
          <w:rFonts w:ascii="Arial" w:cs="Arial" w:eastAsia="Arial" w:hAnsi="Arial"/>
          <w:color w:val="1A1A1A"/>
          <w:sz w:val="19"/>
          <w:szCs w:val="19"/>
        </w:rPr>
        <w:t xml:space="preserve">Clear written communication with both engineers and non-engineers.</w:t>
      </w:r>
    </w:p>
    <w:p>
      <w:pPr>
        <w:pStyle w:val="ListParagraph"/>
        <w:numPr>
          <w:ilvl w:val="0"/>
          <w:numId w:val="2"/>
        </w:numPr>
        <w:spacing w:after="30" w:line="238"/>
      </w:pPr>
      <w:r>
        <w:rPr>
          <w:rFonts w:ascii="Arial" w:cs="Arial" w:eastAsia="Arial" w:hAnsi="Arial"/>
          <w:color w:val="1A1A1A"/>
          <w:sz w:val="19"/>
          <w:szCs w:val="19"/>
        </w:rPr>
        <w:t xml:space="preserve">Hands-on use of AI coding assistants in real engineering work.</w:t>
      </w:r>
    </w:p>
    <w:p>
      <w:pPr>
        <w:pStyle w:val="Heading1"/>
        <w:pBdr>
          <w:bottom w:val="single" w:color="E4002B" w:sz="8" w:space="4"/>
        </w:pBdr>
        <w:spacing w:after="70" w:before="170"/>
      </w:pPr>
      <w:r>
        <w:rPr>
          <w:rFonts w:ascii="Arial" w:cs="Arial" w:eastAsia="Arial" w:hAnsi="Arial"/>
          <w:b/>
          <w:bCs/>
          <w:color w:val="1A1A1A"/>
          <w:sz w:val="23"/>
          <w:szCs w:val="23"/>
        </w:rPr>
        <w:t xml:space="preserve">Nice to have</w:t>
      </w:r>
    </w:p>
    <w:p>
      <w:pPr>
        <w:pStyle w:val="ListParagraph"/>
        <w:numPr>
          <w:ilvl w:val="0"/>
          <w:numId w:val="2"/>
        </w:numPr>
        <w:spacing w:after="30" w:line="238"/>
      </w:pPr>
      <w:r>
        <w:rPr>
          <w:rFonts w:ascii="Arial" w:cs="Arial" w:eastAsia="Arial" w:hAnsi="Arial"/>
          <w:color w:val="1A1A1A"/>
          <w:sz w:val="19"/>
          <w:szCs w:val="19"/>
        </w:rPr>
        <w:t xml:space="preserve">Exposure to a control framework in practice — SOC 2, ISO/IEC 27001, NIST AI RMF or a sector equivalent.</w:t>
      </w:r>
    </w:p>
    <w:p>
      <w:pPr>
        <w:pStyle w:val="ListParagraph"/>
        <w:numPr>
          <w:ilvl w:val="0"/>
          <w:numId w:val="2"/>
        </w:numPr>
        <w:spacing w:after="30" w:line="238"/>
      </w:pPr>
      <w:r>
        <w:rPr>
          <w:rFonts w:ascii="Arial" w:cs="Arial" w:eastAsia="Arial" w:hAnsi="Arial"/>
          <w:color w:val="1A1A1A"/>
          <w:sz w:val="19"/>
          <w:szCs w:val="19"/>
        </w:rPr>
        <w:t xml:space="preserve">Experience with data classification or labelling.</w:t>
      </w:r>
    </w:p>
    <w:p>
      <w:pPr>
        <w:pStyle w:val="ListParagraph"/>
        <w:numPr>
          <w:ilvl w:val="0"/>
          <w:numId w:val="2"/>
        </w:numPr>
        <w:spacing w:after="30" w:line="238"/>
      </w:pPr>
      <w:r>
        <w:rPr>
          <w:rFonts w:ascii="Arial" w:cs="Arial" w:eastAsia="Arial" w:hAnsi="Arial"/>
          <w:color w:val="1A1A1A"/>
          <w:sz w:val="19"/>
          <w:szCs w:val="19"/>
        </w:rPr>
        <w:t xml:space="preserve">Delivery in a regulated or audited environment.</w:t>
      </w:r>
    </w:p>
    <w:p>
      <w:pPr>
        <w:pStyle w:val="ListParagraph"/>
        <w:numPr>
          <w:ilvl w:val="0"/>
          <w:numId w:val="2"/>
        </w:numPr>
        <w:spacing w:after="30" w:line="238"/>
      </w:pPr>
      <w:r>
        <w:rPr>
          <w:rFonts w:ascii="Arial" w:cs="Arial" w:eastAsia="Arial" w:hAnsi="Arial"/>
          <w:color w:val="1A1A1A"/>
          <w:sz w:val="19"/>
          <w:szCs w:val="19"/>
        </w:rPr>
        <w:t xml:space="preserve">Open-source contributions in the policy, identity or security ecosystem.</w:t>
      </w:r>
    </w:p>
    <w:p>
      <w:pPr>
        <w:pStyle w:val="Heading1"/>
        <w:pBdr>
          <w:bottom w:val="single" w:color="E4002B" w:sz="8" w:space="4"/>
        </w:pBdr>
        <w:spacing w:after="70" w:before="170"/>
      </w:pPr>
      <w:r>
        <w:rPr>
          <w:rFonts w:ascii="Arial" w:cs="Arial" w:eastAsia="Arial" w:hAnsi="Arial"/>
          <w:b/>
          <w:bCs/>
          <w:color w:val="1A1A1A"/>
          <w:sz w:val="23"/>
          <w:szCs w:val="23"/>
        </w:rPr>
        <w:t xml:space="preserve">How we'll measure success</w:t>
      </w:r>
    </w:p>
    <w:p>
      <w:pPr>
        <w:pStyle w:val="ListParagraph"/>
        <w:numPr>
          <w:ilvl w:val="0"/>
          <w:numId w:val="2"/>
        </w:numPr>
        <w:spacing w:after="30" w:line="238"/>
      </w:pPr>
      <w:r>
        <w:rPr>
          <w:rFonts w:ascii="Arial" w:cs="Arial" w:eastAsia="Arial" w:hAnsi="Arial"/>
          <w:color w:val="1A1A1A"/>
          <w:sz w:val="19"/>
          <w:szCs w:val="19"/>
        </w:rPr>
        <w:t xml:space="preserve">The controls you own run in production without needing senior intervention.</w:t>
      </w:r>
    </w:p>
    <w:p>
      <w:pPr>
        <w:pStyle w:val="ListParagraph"/>
        <w:numPr>
          <w:ilvl w:val="0"/>
          <w:numId w:val="2"/>
        </w:numPr>
        <w:spacing w:after="30" w:line="238"/>
      </w:pPr>
      <w:r>
        <w:rPr>
          <w:rFonts w:ascii="Arial" w:cs="Arial" w:eastAsia="Arial" w:hAnsi="Arial"/>
          <w:color w:val="1A1A1A"/>
          <w:sz w:val="19"/>
          <w:szCs w:val="19"/>
        </w:rPr>
        <w:t xml:space="preserve">Evidence for your controls is generated rather than assembled, and is accepted first time.</w:t>
      </w:r>
    </w:p>
    <w:p>
      <w:pPr>
        <w:pStyle w:val="ListParagraph"/>
        <w:numPr>
          <w:ilvl w:val="0"/>
          <w:numId w:val="2"/>
        </w:numPr>
        <w:spacing w:after="30" w:line="238"/>
      </w:pPr>
      <w:r>
        <w:rPr>
          <w:rFonts w:ascii="Arial" w:cs="Arial" w:eastAsia="Arial" w:hAnsi="Arial"/>
          <w:color w:val="1A1A1A"/>
          <w:sz w:val="19"/>
          <w:szCs w:val="19"/>
        </w:rPr>
        <w:t xml:space="preserve">Engineers newer than you come to you before they come to a senior engineer.</w:t>
      </w:r>
    </w:p>
    <w:p>
      <w:pPr>
        <w:pStyle w:val="ListParagraph"/>
        <w:numPr>
          <w:ilvl w:val="0"/>
          <w:numId w:val="2"/>
        </w:numPr>
        <w:spacing w:after="30" w:line="238"/>
      </w:pPr>
      <w:r>
        <w:rPr>
          <w:rFonts w:ascii="Arial" w:cs="Arial" w:eastAsia="Arial" w:hAnsi="Arial"/>
          <w:color w:val="1A1A1A"/>
          <w:sz w:val="19"/>
          <w:szCs w:val="19"/>
        </w:rPr>
        <w:t xml:space="preserve">Your components are documented well enough that someone else can take on-call for them.</w:t>
      </w:r>
    </w:p>
    <w:p>
      <w:pPr>
        <w:pStyle w:val="ListParagraph"/>
        <w:numPr>
          <w:ilvl w:val="0"/>
          <w:numId w:val="2"/>
        </w:numPr>
        <w:spacing w:after="30" w:line="238"/>
      </w:pPr>
      <w:r>
        <w:rPr>
          <w:rFonts w:ascii="Arial" w:cs="Arial" w:eastAsia="Arial" w:hAnsi="Arial"/>
          <w:color w:val="1A1A1A"/>
          <w:sz w:val="19"/>
          <w:szCs w:val="19"/>
        </w:rPr>
        <w:t xml:space="preserve">You are broadening — the second and third areas you pick up take less ramp than the first.</w:t>
      </w:r>
    </w:p>
    <w:p>
      <w:pPr>
        <w:pStyle w:val="Heading1"/>
        <w:pBdr>
          <w:bottom w:val="single" w:color="E4002B" w:sz="8" w:space="4"/>
        </w:pBdr>
        <w:spacing w:after="70" w:before="170"/>
      </w:pPr>
      <w:r>
        <w:rPr>
          <w:rFonts w:ascii="Arial" w:cs="Arial" w:eastAsia="Arial" w:hAnsi="Arial"/>
          <w:b/>
          <w:bCs/>
          <w:color w:val="1A1A1A"/>
          <w:sz w:val="23"/>
          <w:szCs w:val="23"/>
        </w:rPr>
        <w:t xml:space="preserve">Technology you'll work with</w:t>
      </w:r>
    </w:p>
    <w:p>
      <w:pPr>
        <w:spacing w:after="80" w:line="242"/>
      </w:pPr>
      <w:r>
        <w:rPr>
          <w:rFonts w:ascii="Arial" w:cs="Arial" w:eastAsia="Arial" w:hAnsi="Arial"/>
          <w:color w:val="1A1A1A"/>
          <w:sz w:val="19"/>
          <w:szCs w:val="19"/>
        </w:rPr>
        <w:t xml:space="preserve">Go and Python  ·  Kubernetes (operators, controllers, CRDs)  ·  Policy engines (OPA / Rego)  ·  Identity standards (OAuth / OIDC, workload identity, SPIFFE)  ·  Secrets management  ·  Audit, provenance and lineage tooling  ·  Event-driven architecture  ·  OpenTelemetry / Prometheus / Grafana  ·  CI/CD  ·  AWS  ·  Private and sovereign cloud  ·  AI-assisted development tooling (Claude Code, Kiro, Codex, GitHub Copilot)</w:t>
      </w:r>
    </w:p>
    <w:p>
      <w:pPr>
        <w:pStyle w:val="Heading1"/>
        <w:pBdr>
          <w:bottom w:val="single" w:color="E4002B" w:sz="8" w:space="4"/>
        </w:pBdr>
        <w:spacing w:after="70" w:before="170"/>
      </w:pPr>
      <w:r>
        <w:rPr>
          <w:rFonts w:ascii="Arial" w:cs="Arial" w:eastAsia="Arial" w:hAnsi="Arial"/>
          <w:b/>
          <w:bCs/>
          <w:color w:val="1A1A1A"/>
          <w:sz w:val="23"/>
          <w:szCs w:val="23"/>
        </w:rPr>
        <w:t xml:space="preserve">Career level and requirements</w:t>
      </w:r>
    </w:p>
    <w:p>
      <w:pPr>
        <w:spacing w:after="40" w:line="238"/>
      </w:pPr>
      <w:r>
        <w:rPr>
          <w:rFonts w:ascii="Arial" w:cs="Arial" w:eastAsia="Arial" w:hAnsi="Arial"/>
          <w:b/>
          <w:bCs/>
          <w:color w:val="1A1A1A"/>
          <w:sz w:val="19"/>
          <w:szCs w:val="19"/>
        </w:rPr>
        <w:t xml:space="preserve">Level: </w:t>
      </w:r>
      <w:r>
        <w:rPr>
          <w:rFonts w:ascii="Arial" w:cs="Arial" w:eastAsia="Arial" w:hAnsi="Arial"/>
          <w:color w:val="1A1A1A"/>
          <w:sz w:val="19"/>
          <w:szCs w:val="19"/>
        </w:rPr>
        <w:t xml:space="preserve">Level II — Supporting — competent at the basics and expanding capabilities</w:t>
      </w:r>
    </w:p>
    <w:p>
      <w:pPr>
        <w:spacing w:after="40" w:line="238"/>
      </w:pPr>
      <w:r>
        <w:rPr>
          <w:rFonts w:ascii="Arial" w:cs="Arial" w:eastAsia="Arial" w:hAnsi="Arial"/>
          <w:b/>
          <w:bCs/>
          <w:color w:val="1A1A1A"/>
          <w:sz w:val="19"/>
          <w:szCs w:val="19"/>
        </w:rPr>
        <w:t xml:space="preserve">Career level: </w:t>
      </w:r>
      <w:r>
        <w:rPr>
          <w:rFonts w:ascii="Arial" w:cs="Arial" w:eastAsia="Arial" w:hAnsi="Arial"/>
          <w:color w:val="1A1A1A"/>
          <w:sz w:val="19"/>
          <w:szCs w:val="19"/>
        </w:rPr>
        <w:t xml:space="preserve">Working knowledge and experience in own discipline, broadening capabilities. Performs a range of assignments using prescribed guidelines, with a moderate level of guidance and direction.</w:t>
      </w:r>
    </w:p>
    <w:p>
      <w:pPr>
        <w:spacing w:after="40" w:line="238"/>
      </w:pPr>
      <w:r>
        <w:rPr>
          <w:rFonts w:ascii="Arial" w:cs="Arial" w:eastAsia="Arial" w:hAnsi="Arial"/>
          <w:b/>
          <w:bCs/>
          <w:color w:val="1A1A1A"/>
          <w:sz w:val="19"/>
          <w:szCs w:val="19"/>
        </w:rPr>
        <w:t xml:space="preserve">Experience: </w:t>
      </w:r>
      <w:r>
        <w:rPr>
          <w:rFonts w:ascii="Arial" w:cs="Arial" w:eastAsia="Arial" w:hAnsi="Arial"/>
          <w:color w:val="1A1A1A"/>
          <w:sz w:val="19"/>
          <w:szCs w:val="19"/>
        </w:rPr>
        <w:t xml:space="preserve">2 – 4 years in the underlying engineering discipline, with some exposure to AI or ML systems.</w:t>
      </w:r>
    </w:p>
    <w:p>
      <w:pPr>
        <w:spacing w:after="40" w:line="238"/>
      </w:pPr>
      <w:r>
        <w:rPr>
          <w:rFonts w:ascii="Arial" w:cs="Arial" w:eastAsia="Arial" w:hAnsi="Arial"/>
          <w:b/>
          <w:bCs/>
          <w:color w:val="1A1A1A"/>
          <w:sz w:val="19"/>
          <w:szCs w:val="19"/>
        </w:rPr>
        <w:t xml:space="preserve">Education: </w:t>
      </w:r>
      <w:r>
        <w:rPr>
          <w:rFonts w:ascii="Arial" w:cs="Arial" w:eastAsia="Arial" w:hAnsi="Arial"/>
          <w:color w:val="1A1A1A"/>
          <w:sz w:val="19"/>
          <w:szCs w:val="19"/>
        </w:rPr>
        <w:t xml:space="preserve">Bachelor's Degree preferred in a field related to the role; additional relevant experience may substitute at the manager's discretion.</w:t>
      </w:r>
    </w:p>
    <w:p>
      <w:pPr>
        <w:spacing w:after="40" w:line="238"/>
      </w:pPr>
      <w:r>
        <w:rPr>
          <w:rFonts w:ascii="Arial" w:cs="Arial" w:eastAsia="Arial" w:hAnsi="Arial"/>
          <w:b/>
          <w:bCs/>
          <w:color w:val="1A1A1A"/>
          <w:sz w:val="19"/>
          <w:szCs w:val="19"/>
        </w:rPr>
        <w:t xml:space="preserve">Working pattern: </w:t>
      </w:r>
      <w:r>
        <w:rPr>
          <w:rFonts w:ascii="Arial" w:cs="Arial" w:eastAsia="Arial" w:hAnsi="Arial"/>
          <w:color w:val="1A1A1A"/>
          <w:sz w:val="19"/>
          <w:szCs w:val="19"/>
        </w:rPr>
        <w:t xml:space="preserve">Shift, on-call or alternative schedule may apply. No travel required.</w:t>
      </w:r>
    </w:p>
    <w:sectPr>
      <w:footerReference w:type="default" r:id="rId7"/>
      <w:pgSz w:w="11906" w:h="16838" w:orient="portrait"/>
      <w:pgMar w:top="760" w:right="960" w:bottom="700" w:left="9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6" w:space="4"/>
      </w:pBdr>
      <w:tabs>
        <w:tab w:val="right" w:pos="9026"/>
      </w:tabs>
    </w:pPr>
    <w:r>
      <w:rPr>
        <w:rFonts w:ascii="Arial" w:cs="Arial" w:eastAsia="Arial" w:hAnsi="Arial"/>
        <w:color w:val="595959"/>
        <w:sz w:val="14"/>
        <w:szCs w:val="14"/>
      </w:rPr>
      <w:t xml:space="preserve">Rackspace Technology  ·  Confidential — Internal use only</w:t>
    </w:r>
    <w:r>
      <w:rPr>
        <w:rFonts w:ascii="Arial" w:cs="Arial" w:eastAsia="Arial" w:hAnsi="Arial"/>
        <w:sz w:val="14"/>
        <w:szCs w:val="14"/>
      </w:rPr>
      <w:t xml:space="preserve">	</w:t>
    </w:r>
    <w:r>
      <w:rPr>
        <w:rFonts w:ascii="Arial" w:cs="Arial" w:eastAsia="Arial" w:hAnsi="Arial"/>
        <w:color w:val="595959"/>
        <w:sz w:val="14"/>
        <w:szCs w:val="14"/>
      </w:rPr>
      <w:t xml:space="preserve">Page </w:t>
    </w:r>
    <w:r>
      <w:rPr>
        <w:rFonts w:ascii="Arial" w:cs="Arial" w:eastAsia="Arial" w:hAnsi="Arial"/>
        <w:color w:val="595959"/>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16" w:hanging="215"/>
      </w:pPr>
      <w:rPr>
        <w:rFonts w:ascii="Arial" w:cs="Arial" w:eastAsia="Arial" w:hAnsi="Arial"/>
        <w:color w:val="E4002B"/>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footnotes" Target="footnotes.xml"/><Relationship Id="rId7"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customXml" Target="../customXml/item3.xml"/><Relationship Id="rId5" Type="http://schemas.openxmlformats.org/officeDocument/2006/relationships/settings" Target="settings.xml"/><Relationship Id="rId10" Type="http://schemas.openxmlformats.org/officeDocument/2006/relationships/customXml" Target="../customXml/item2.xml"/><Relationship Id="rId4" Type="http://schemas.openxmlformats.org/officeDocument/2006/relationships/endnotes" Target="endnotes.xml"/><Relationship Id="rId9" Type="http://schemas.openxmlformats.org/officeDocument/2006/relationships/customXml" Target="../customXml/item1.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32C14B45DD4C644BC96213ACB087480" ma:contentTypeVersion="3" ma:contentTypeDescription="Create a new document." ma:contentTypeScope="" ma:versionID="a73f04db5aba893f1d779be7421a2bb8">
  <xsd:schema xmlns:xsd="http://www.w3.org/2001/XMLSchema" xmlns:xs="http://www.w3.org/2001/XMLSchema" xmlns:p="http://schemas.microsoft.com/office/2006/metadata/properties" xmlns:ns2="39c84f24-a008-4cce-bb9c-5ad717601f75" targetNamespace="http://schemas.microsoft.com/office/2006/metadata/properties" ma:root="true" ma:fieldsID="7a3862965fe48b1ad119faff3af803b7" ns2:_="">
    <xsd:import namespace="39c84f24-a008-4cce-bb9c-5ad717601f75"/>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c84f24-a008-4cce-bb9c-5ad717601f7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8B2D627-82F4-47A1-AD51-BF4C7D59EC28}"/>
</file>

<file path=customXml/itemProps2.xml><?xml version="1.0" encoding="utf-8"?>
<ds:datastoreItem xmlns:ds="http://schemas.openxmlformats.org/officeDocument/2006/customXml" ds:itemID="{B2C4BDB9-D71C-42A4-B4D7-784D005C883C}"/>
</file>

<file path=customXml/itemProps3.xml><?xml version="1.0" encoding="utf-8"?>
<ds:datastoreItem xmlns:ds="http://schemas.openxmlformats.org/officeDocument/2006/customXml" ds:itemID="{27F292FB-922B-4391-A45D-9A12818396F2}"/>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Governance Engineer II — RackAI</dc:title>
  <dc:creator>Rackspace Technology</dc:creator>
  <cp:lastModifiedBy>Un-named</cp:lastModifiedBy>
  <cp:revision>1</cp:revision>
  <dcterms:created xsi:type="dcterms:W3CDTF">2026-09-14T22:59:18Z</dcterms:created>
  <dcterms:modified xsi:type="dcterms:W3CDTF">2026-09-14T22:59:18Z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0x010100432C14B45DD4C644BC96213ACB087480</vt:lpwstr>
  </property>
</Properties>
</file>