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Governance Engineer IV</w:t>
      </w:r>
    </w:p>
    <w:p>
      <w:pPr>
        <w:spacing w:after="30"/>
      </w:pPr>
      <w:r>
        <w:rPr>
          <w:rFonts w:ascii="Arial" w:cs="Arial" w:eastAsia="Arial" w:hAnsi="Arial"/>
          <w:b/>
          <w:bCs/>
          <w:caps/>
          <w:color w:val="E4002B"/>
          <w:sz w:val="20"/>
          <w:szCs w:val="20"/>
        </w:rPr>
        <w:t xml:space="preserve">AI Governance Engineering  ·  Policy, Provenance and Agent Identity</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What makes that claim defensible is not the serving layer but the controls around it: policy enforced as the system runs, and a record afterwards of what happened and on whose authority. AI Governance Engineers build those controls.</w:t>
      </w:r>
    </w:p>
    <w:p>
      <w:pPr>
        <w:spacing w:after="80" w:line="242"/>
      </w:pPr>
      <w:r>
        <w:rPr>
          <w:rFonts w:ascii="Arial" w:cs="Arial" w:eastAsia="Arial" w:hAnsi="Arial"/>
          <w:color w:val="1A1A1A"/>
          <w:sz w:val="19"/>
          <w:szCs w:val="19"/>
        </w:rPr>
        <w:t xml:space="preserve">As an AI Governance Engineer IV you will own a major area of the governance control plane, lead others to solve complex problems across it, and provide technical leadership to projects spanning the platform.</w:t>
      </w:r>
    </w:p>
    <w:p>
      <w:pPr>
        <w:spacing w:after="80" w:line="242"/>
      </w:pPr>
      <w:r>
        <w:rPr>
          <w:rFonts w:ascii="Arial" w:cs="Arial" w:eastAsia="Arial" w:hAnsi="Arial"/>
          <w:color w:val="1A1A1A"/>
          <w:sz w:val="19"/>
          <w:szCs w:val="19"/>
        </w:rPr>
        <w:t xml:space="preserve">You will work with the Chief Architect, AI Partner Integrations, with whom this family shares the governance and identity architecture, an AI Governance Engineer V who holds the discipline overall, and AI Assurance Engineers who build the measurement. Your area of the controls is yours to lead.</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Enterprises have stopped asking whether AI can work and started asking who is accountable when it gets something wrong.</w:t>
      </w:r>
    </w:p>
    <w:p>
      <w:pPr>
        <w:spacing w:after="80" w:line="242"/>
      </w:pPr>
      <w:r>
        <w:rPr>
          <w:rFonts w:ascii="Arial" w:cs="Arial" w:eastAsia="Arial" w:hAnsi="Arial"/>
          <w:color w:val="1A1A1A"/>
          <w:sz w:val="19"/>
          <w:szCs w:val="19"/>
        </w:rPr>
        <w:t xml:space="preserve">Answering that in code rather than a policy document is one of the most sought-after engineering capabilities in the market, and the regulatory timetable has made it urgent. The controls built here decide what an agent may do with which data, record it so the record survives an audit, and hold when an agent acts for someone several hops away. Rackspace brings the regulated customers, the real workloads and a platform being built now, so these controls get exercised rather than documented.</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lead the engineering of controls that a regulator will examine, this is an unusually good version of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Lead a major area of the control plane</w:t>
      </w:r>
    </w:p>
    <w:p>
      <w:pPr>
        <w:pStyle w:val="ListParagraph"/>
        <w:numPr>
          <w:ilvl w:val="0"/>
          <w:numId w:val="2"/>
        </w:numPr>
        <w:spacing w:after="30" w:line="238"/>
      </w:pPr>
      <w:r>
        <w:rPr>
          <w:rFonts w:ascii="Arial" w:cs="Arial" w:eastAsia="Arial" w:hAnsi="Arial"/>
          <w:color w:val="1A1A1A"/>
          <w:sz w:val="19"/>
          <w:szCs w:val="19"/>
        </w:rPr>
        <w:t xml:space="preserve">Lead the design and build of runtime policy enforcement across the platform, including the performance characteristics of putting a decision in the request path.</w:t>
      </w:r>
    </w:p>
    <w:p>
      <w:pPr>
        <w:pStyle w:val="ListParagraph"/>
        <w:numPr>
          <w:ilvl w:val="0"/>
          <w:numId w:val="2"/>
        </w:numPr>
        <w:spacing w:after="30" w:line="238"/>
      </w:pPr>
      <w:r>
        <w:rPr>
          <w:rFonts w:ascii="Arial" w:cs="Arial" w:eastAsia="Arial" w:hAnsi="Arial"/>
          <w:color w:val="1A1A1A"/>
          <w:sz w:val="19"/>
          <w:szCs w:val="19"/>
        </w:rPr>
        <w:t xml:space="preserve">Lead the provenance and replay record as a platform capability other teams build against.</w:t>
      </w:r>
    </w:p>
    <w:p>
      <w:pPr>
        <w:pStyle w:val="ListParagraph"/>
        <w:numPr>
          <w:ilvl w:val="0"/>
          <w:numId w:val="2"/>
        </w:numPr>
        <w:spacing w:after="30" w:line="238"/>
      </w:pPr>
      <w:r>
        <w:rPr>
          <w:rFonts w:ascii="Arial" w:cs="Arial" w:eastAsia="Arial" w:hAnsi="Arial"/>
          <w:color w:val="1A1A1A"/>
          <w:sz w:val="19"/>
          <w:szCs w:val="19"/>
        </w:rPr>
        <w:t xml:space="preserve">Lead agent identity and delegated authority, including delegation several hops deep and authority scoped to intent rather than inherited whole.</w:t>
      </w:r>
    </w:p>
    <w:p>
      <w:pPr>
        <w:pStyle w:val="ListParagraph"/>
        <w:numPr>
          <w:ilvl w:val="0"/>
          <w:numId w:val="2"/>
        </w:numPr>
        <w:spacing w:after="30" w:line="238"/>
      </w:pPr>
      <w:r>
        <w:rPr>
          <w:rFonts w:ascii="Arial" w:cs="Arial" w:eastAsia="Arial" w:hAnsi="Arial"/>
          <w:color w:val="1A1A1A"/>
          <w:sz w:val="19"/>
          <w:szCs w:val="19"/>
        </w:rPr>
        <w:t xml:space="preserve">Lead the agentic security baseline — tenant isolation, prompt-injection defences, tool authority — and drive remediation when it falls short.</w:t>
      </w:r>
    </w:p>
    <w:p>
      <w:pPr>
        <w:pStyle w:val="ListParagraph"/>
        <w:numPr>
          <w:ilvl w:val="0"/>
          <w:numId w:val="2"/>
        </w:numPr>
        <w:spacing w:after="30" w:line="238"/>
      </w:pPr>
      <w:r>
        <w:rPr>
          <w:rFonts w:ascii="Arial" w:cs="Arial" w:eastAsia="Arial" w:hAnsi="Arial"/>
          <w:color w:val="1A1A1A"/>
          <w:sz w:val="19"/>
          <w:szCs w:val="19"/>
        </w:rPr>
        <w:t xml:space="preserve">Lead action controls and blast-radius limits across the platform: approval gates, rate limits, reversibility, containment.</w:t>
      </w:r>
    </w:p>
    <w:p>
      <w:pPr>
        <w:pStyle w:val="Heading2"/>
        <w:spacing w:after="44" w:before="112"/>
      </w:pPr>
      <w:r>
        <w:rPr>
          <w:rFonts w:ascii="Arial" w:cs="Arial" w:eastAsia="Arial" w:hAnsi="Arial"/>
          <w:b/>
          <w:bCs/>
          <w:color w:val="E4002B"/>
          <w:sz w:val="19"/>
          <w:szCs w:val="19"/>
        </w:rPr>
        <w:t xml:space="preserve">Make compliance a property of the platform</w:t>
      </w:r>
    </w:p>
    <w:p>
      <w:pPr>
        <w:pStyle w:val="ListParagraph"/>
        <w:numPr>
          <w:ilvl w:val="0"/>
          <w:numId w:val="2"/>
        </w:numPr>
        <w:spacing w:after="30" w:line="238"/>
      </w:pPr>
      <w:r>
        <w:rPr>
          <w:rFonts w:ascii="Arial" w:cs="Arial" w:eastAsia="Arial" w:hAnsi="Arial"/>
          <w:color w:val="1A1A1A"/>
          <w:sz w:val="19"/>
          <w:szCs w:val="19"/>
        </w:rPr>
        <w:t xml:space="preserve">Lead the engineering side of compliance and certification evidence, so an audit becomes a query against the platform rather than a documentation exercise.</w:t>
      </w:r>
    </w:p>
    <w:p>
      <w:pPr>
        <w:pStyle w:val="ListParagraph"/>
        <w:numPr>
          <w:ilvl w:val="0"/>
          <w:numId w:val="2"/>
        </w:numPr>
        <w:spacing w:after="30" w:line="238"/>
      </w:pPr>
      <w:r>
        <w:rPr>
          <w:rFonts w:ascii="Arial" w:cs="Arial" w:eastAsia="Arial" w:hAnsi="Arial"/>
          <w:color w:val="1A1A1A"/>
          <w:sz w:val="19"/>
          <w:szCs w:val="19"/>
        </w:rPr>
        <w:t xml:space="preserve">Own the information-flow and data-residency control implementation, and push back on a design that will not build.</w:t>
      </w:r>
    </w:p>
    <w:p>
      <w:pPr>
        <w:pStyle w:val="ListParagraph"/>
        <w:numPr>
          <w:ilvl w:val="0"/>
          <w:numId w:val="2"/>
        </w:numPr>
        <w:spacing w:after="30" w:line="238"/>
      </w:pPr>
      <w:r>
        <w:rPr>
          <w:rFonts w:ascii="Arial" w:cs="Arial" w:eastAsia="Arial" w:hAnsi="Arial"/>
          <w:color w:val="1A1A1A"/>
          <w:sz w:val="19"/>
          <w:szCs w:val="19"/>
        </w:rPr>
        <w:t xml:space="preserve">Interpret regulatory, customer and internal control requirements, and recommend how the platform should meet them.</w:t>
      </w:r>
    </w:p>
    <w:p>
      <w:pPr>
        <w:pStyle w:val="ListParagraph"/>
        <w:numPr>
          <w:ilvl w:val="0"/>
          <w:numId w:val="2"/>
        </w:numPr>
        <w:spacing w:after="30" w:line="238"/>
      </w:pPr>
      <w:r>
        <w:rPr>
          <w:rFonts w:ascii="Arial" w:cs="Arial" w:eastAsia="Arial" w:hAnsi="Arial"/>
          <w:color w:val="1A1A1A"/>
          <w:sz w:val="19"/>
          <w:szCs w:val="19"/>
        </w:rPr>
        <w:t xml:space="preserve">Represent the control set to auditors, customer risk teams and certification bodies alongside the Director.</w:t>
      </w:r>
    </w:p>
    <w:p>
      <w:pPr>
        <w:pStyle w:val="Heading2"/>
        <w:spacing w:after="44" w:before="112"/>
      </w:pPr>
      <w:r>
        <w:rPr>
          <w:rFonts w:ascii="Arial" w:cs="Arial" w:eastAsia="Arial" w:hAnsi="Arial"/>
          <w:b/>
          <w:bCs/>
          <w:color w:val="E4002B"/>
          <w:sz w:val="19"/>
          <w:szCs w:val="19"/>
        </w:rPr>
        <w:t xml:space="preserve">Lead others</w:t>
      </w:r>
    </w:p>
    <w:p>
      <w:pPr>
        <w:pStyle w:val="ListParagraph"/>
        <w:numPr>
          <w:ilvl w:val="0"/>
          <w:numId w:val="2"/>
        </w:numPr>
        <w:spacing w:after="30" w:line="238"/>
      </w:pPr>
      <w:r>
        <w:rPr>
          <w:rFonts w:ascii="Arial" w:cs="Arial" w:eastAsia="Arial" w:hAnsi="Arial"/>
          <w:color w:val="1A1A1A"/>
          <w:sz w:val="19"/>
          <w:szCs w:val="19"/>
        </w:rPr>
        <w:t xml:space="preserve">Co-own the architecture for your area with the Chief Architect, AI Partner Integrations, and lead other engineers to solve complex control problems within it.</w:t>
      </w:r>
    </w:p>
    <w:p>
      <w:pPr>
        <w:pStyle w:val="ListParagraph"/>
        <w:numPr>
          <w:ilvl w:val="0"/>
          <w:numId w:val="2"/>
        </w:numPr>
        <w:spacing w:after="30" w:line="238"/>
      </w:pPr>
      <w:r>
        <w:rPr>
          <w:rFonts w:ascii="Arial" w:cs="Arial" w:eastAsia="Arial" w:hAnsi="Arial"/>
          <w:color w:val="1A1A1A"/>
          <w:sz w:val="19"/>
          <w:szCs w:val="19"/>
        </w:rPr>
        <w:t xml:space="preserve">Mentor and coach engineers across the function on policy-as-code, identity and auditability.</w:t>
      </w:r>
    </w:p>
    <w:p>
      <w:pPr>
        <w:pStyle w:val="ListParagraph"/>
        <w:numPr>
          <w:ilvl w:val="0"/>
          <w:numId w:val="2"/>
        </w:numPr>
        <w:spacing w:after="30" w:line="238"/>
      </w:pPr>
      <w:r>
        <w:rPr>
          <w:rFonts w:ascii="Arial" w:cs="Arial" w:eastAsia="Arial" w:hAnsi="Arial"/>
          <w:color w:val="1A1A1A"/>
          <w:sz w:val="19"/>
          <w:szCs w:val="19"/>
        </w:rPr>
        <w:t xml:space="preserve">Provide technical leadership to projects spanning the platform, and be an escalation point for hard control questions.</w:t>
      </w:r>
    </w:p>
    <w:p>
      <w:pPr>
        <w:pStyle w:val="ListParagraph"/>
        <w:numPr>
          <w:ilvl w:val="0"/>
          <w:numId w:val="2"/>
        </w:numPr>
        <w:spacing w:after="30" w:line="238"/>
      </w:pPr>
      <w:r>
        <w:rPr>
          <w:rFonts w:ascii="Arial" w:cs="Arial" w:eastAsia="Arial" w:hAnsi="Arial"/>
          <w:color w:val="1A1A1A"/>
          <w:sz w:val="19"/>
          <w:szCs w:val="19"/>
        </w:rPr>
        <w:t xml:space="preserve">Make AI-assisted engineering the default across design, coding, testing, review and documentation, with clear standards for code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Specialised depth and breadth of expertise, built in security, identity, platform or compliance engineering.</w:t>
      </w:r>
    </w:p>
    <w:p>
      <w:pPr>
        <w:pStyle w:val="ListParagraph"/>
        <w:numPr>
          <w:ilvl w:val="0"/>
          <w:numId w:val="2"/>
        </w:numPr>
        <w:spacing w:after="30" w:line="238"/>
      </w:pPr>
      <w:r>
        <w:rPr>
          <w:rFonts w:ascii="Arial" w:cs="Arial" w:eastAsia="Arial" w:hAnsi="Arial"/>
          <w:color w:val="1A1A1A"/>
          <w:sz w:val="19"/>
          <w:szCs w:val="19"/>
        </w:rPr>
        <w:t xml:space="preserve">Strong Go or Python, and the judgement to set direction in whichever the team standardises on.</w:t>
      </w:r>
    </w:p>
    <w:p>
      <w:pPr>
        <w:pStyle w:val="ListParagraph"/>
        <w:numPr>
          <w:ilvl w:val="0"/>
          <w:numId w:val="2"/>
        </w:numPr>
        <w:spacing w:after="30" w:line="238"/>
      </w:pPr>
      <w:r>
        <w:rPr>
          <w:rFonts w:ascii="Arial" w:cs="Arial" w:eastAsia="Arial" w:hAnsi="Arial"/>
          <w:color w:val="1A1A1A"/>
          <w:sz w:val="19"/>
          <w:szCs w:val="19"/>
        </w:rPr>
        <w:t xml:space="preserve">Kubernetes to the depth needed to build and operate platform services, including operators and controllers.</w:t>
      </w:r>
    </w:p>
    <w:p>
      <w:pPr>
        <w:pStyle w:val="ListParagraph"/>
        <w:numPr>
          <w:ilvl w:val="0"/>
          <w:numId w:val="2"/>
        </w:numPr>
        <w:spacing w:after="30" w:line="238"/>
      </w:pPr>
      <w:r>
        <w:rPr>
          <w:rFonts w:ascii="Arial" w:cs="Arial" w:eastAsia="Arial" w:hAnsi="Arial"/>
          <w:color w:val="1A1A1A"/>
          <w:sz w:val="19"/>
          <w:szCs w:val="19"/>
        </w:rPr>
        <w:t xml:space="preserve">Distributed systems at production scale: durable state, failure modes, latency budgets, and the blast radius of a control that fails closed.</w:t>
      </w:r>
    </w:p>
    <w:p>
      <w:pPr>
        <w:pStyle w:val="Heading2"/>
        <w:spacing w:after="44" w:before="112"/>
      </w:pPr>
      <w:r>
        <w:rPr>
          <w:rFonts w:ascii="Arial" w:cs="Arial" w:eastAsia="Arial" w:hAnsi="Arial"/>
          <w:b/>
          <w:bCs/>
          <w:color w:val="E4002B"/>
          <w:sz w:val="19"/>
          <w:szCs w:val="19"/>
        </w:rPr>
        <w:t xml:space="preserve">Governance and security engineering</w:t>
      </w:r>
    </w:p>
    <w:p>
      <w:pPr>
        <w:pStyle w:val="ListParagraph"/>
        <w:numPr>
          <w:ilvl w:val="0"/>
          <w:numId w:val="2"/>
        </w:numPr>
        <w:spacing w:after="30" w:line="238"/>
      </w:pPr>
      <w:r>
        <w:rPr>
          <w:rFonts w:ascii="Arial" w:cs="Arial" w:eastAsia="Arial" w:hAnsi="Arial"/>
          <w:color w:val="1A1A1A"/>
          <w:sz w:val="19"/>
          <w:szCs w:val="19"/>
        </w:rPr>
        <w:t xml:space="preserve">Policy-as-code in production at scale, including the operational reality of distribution, versioning, testing and rollback.</w:t>
      </w:r>
    </w:p>
    <w:p>
      <w:pPr>
        <w:pStyle w:val="ListParagraph"/>
        <w:numPr>
          <w:ilvl w:val="0"/>
          <w:numId w:val="2"/>
        </w:numPr>
        <w:spacing w:after="30" w:line="238"/>
      </w:pPr>
      <w:r>
        <w:rPr>
          <w:rFonts w:ascii="Arial" w:cs="Arial" w:eastAsia="Arial" w:hAnsi="Arial"/>
          <w:color w:val="1A1A1A"/>
          <w:sz w:val="19"/>
          <w:szCs w:val="19"/>
        </w:rPr>
        <w:t xml:space="preserve">Identity and access engineering at depth: OAuth and OIDC, workload identity, short-lived credentials, secrets management, and delegated authority across service boundaries.</w:t>
      </w:r>
    </w:p>
    <w:p>
      <w:pPr>
        <w:pStyle w:val="ListParagraph"/>
        <w:numPr>
          <w:ilvl w:val="0"/>
          <w:numId w:val="2"/>
        </w:numPr>
        <w:spacing w:after="30" w:line="238"/>
      </w:pPr>
      <w:r>
        <w:rPr>
          <w:rFonts w:ascii="Arial" w:cs="Arial" w:eastAsia="Arial" w:hAnsi="Arial"/>
          <w:color w:val="1A1A1A"/>
          <w:sz w:val="19"/>
          <w:szCs w:val="19"/>
        </w:rPr>
        <w:t xml:space="preserve">Audit and provenance systems you have designed, not just used: tamper-evidence, event sourcing, lineage, and retention under regulatory constraint.</w:t>
      </w:r>
    </w:p>
    <w:p>
      <w:pPr>
        <w:pStyle w:val="ListParagraph"/>
        <w:numPr>
          <w:ilvl w:val="0"/>
          <w:numId w:val="2"/>
        </w:numPr>
        <w:spacing w:after="30" w:line="238"/>
      </w:pPr>
      <w:r>
        <w:rPr>
          <w:rFonts w:ascii="Arial" w:cs="Arial" w:eastAsia="Arial" w:hAnsi="Arial"/>
          <w:color w:val="1A1A1A"/>
          <w:sz w:val="19"/>
          <w:szCs w:val="19"/>
        </w:rPr>
        <w:t xml:space="preserve">Multi-tenant isolation at platform level, including having found and fixed a real isolation failure.</w:t>
      </w:r>
    </w:p>
    <w:p>
      <w:pPr>
        <w:pStyle w:val="ListParagraph"/>
        <w:numPr>
          <w:ilvl w:val="0"/>
          <w:numId w:val="2"/>
        </w:numPr>
        <w:spacing w:after="30" w:line="238"/>
      </w:pPr>
      <w:r>
        <w:rPr>
          <w:rFonts w:ascii="Arial" w:cs="Arial" w:eastAsia="Arial" w:hAnsi="Arial"/>
          <w:color w:val="1A1A1A"/>
          <w:sz w:val="19"/>
          <w:szCs w:val="19"/>
        </w:rPr>
        <w:t xml:space="preserve">Agentic security failure modes, and the ability to threat-model an agentic system rather than a conventional one.</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Substantial delivery inside regulated, audited or sovereign environments, and fluency in what an auditor accepts as evidence.</w:t>
      </w:r>
    </w:p>
    <w:p>
      <w:pPr>
        <w:pStyle w:val="ListParagraph"/>
        <w:numPr>
          <w:ilvl w:val="0"/>
          <w:numId w:val="2"/>
        </w:numPr>
        <w:spacing w:after="30" w:line="238"/>
      </w:pPr>
      <w:r>
        <w:rPr>
          <w:rFonts w:ascii="Arial" w:cs="Arial" w:eastAsia="Arial" w:hAnsi="Arial"/>
          <w:color w:val="1A1A1A"/>
          <w:sz w:val="19"/>
          <w:szCs w:val="19"/>
        </w:rPr>
        <w:t xml:space="preserve">Working knowledge of several control frameworks in practice — SOC 2, ISO/IEC 27001 or 42001, NIST AI RMF or sector equivalents — as things you have implemented against.</w:t>
      </w:r>
    </w:p>
    <w:p>
      <w:pPr>
        <w:pStyle w:val="ListParagraph"/>
        <w:numPr>
          <w:ilvl w:val="0"/>
          <w:numId w:val="2"/>
        </w:numPr>
        <w:spacing w:after="30" w:line="238"/>
      </w:pPr>
      <w:r>
        <w:rPr>
          <w:rFonts w:ascii="Arial" w:cs="Arial" w:eastAsia="Arial" w:hAnsi="Arial"/>
          <w:color w:val="1A1A1A"/>
          <w:sz w:val="19"/>
          <w:szCs w:val="19"/>
        </w:rPr>
        <w:t xml:space="preserve">The ability to argue a control design with an engineer, a compliance lead and a customer's risk team, and land it with all three.</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Having led the control implementation for an ISO/IEC 42001 or EU AI Act readiness effort.</w:t>
      </w:r>
    </w:p>
    <w:p>
      <w:pPr>
        <w:pStyle w:val="ListParagraph"/>
        <w:numPr>
          <w:ilvl w:val="0"/>
          <w:numId w:val="2"/>
        </w:numPr>
        <w:spacing w:after="30" w:line="238"/>
      </w:pPr>
      <w:r>
        <w:rPr>
          <w:rFonts w:ascii="Arial" w:cs="Arial" w:eastAsia="Arial" w:hAnsi="Arial"/>
          <w:color w:val="1A1A1A"/>
          <w:sz w:val="19"/>
          <w:szCs w:val="19"/>
        </w:rPr>
        <w:t xml:space="preserve">SPIFFE and SPIRE, service mesh identity, or confidential computing.</w:t>
      </w:r>
    </w:p>
    <w:p>
      <w:pPr>
        <w:pStyle w:val="ListParagraph"/>
        <w:numPr>
          <w:ilvl w:val="0"/>
          <w:numId w:val="2"/>
        </w:numPr>
        <w:spacing w:after="30" w:line="238"/>
      </w:pPr>
      <w:r>
        <w:rPr>
          <w:rFonts w:ascii="Arial" w:cs="Arial" w:eastAsia="Arial" w:hAnsi="Arial"/>
          <w:color w:val="1A1A1A"/>
          <w:sz w:val="19"/>
          <w:szCs w:val="19"/>
        </w:rPr>
        <w:t xml:space="preserve">Information-flow control or data classification at enterprise scale.</w:t>
      </w:r>
    </w:p>
    <w:p>
      <w:pPr>
        <w:pStyle w:val="ListParagraph"/>
        <w:numPr>
          <w:ilvl w:val="0"/>
          <w:numId w:val="2"/>
        </w:numPr>
        <w:spacing w:after="30" w:line="238"/>
      </w:pPr>
      <w:r>
        <w:rPr>
          <w:rFonts w:ascii="Arial" w:cs="Arial" w:eastAsia="Arial" w:hAnsi="Arial"/>
          <w:color w:val="1A1A1A"/>
          <w:sz w:val="19"/>
          <w:szCs w:val="19"/>
        </w:rPr>
        <w:t xml:space="preserve">Having led the engineering side of a certification audit.</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Your area of the control plane is depended on by teams outside your own, and is easier to use than to avoid.</w:t>
      </w:r>
    </w:p>
    <w:p>
      <w:pPr>
        <w:pStyle w:val="ListParagraph"/>
        <w:numPr>
          <w:ilvl w:val="0"/>
          <w:numId w:val="2"/>
        </w:numPr>
        <w:spacing w:after="30" w:line="238"/>
      </w:pPr>
      <w:r>
        <w:rPr>
          <w:rFonts w:ascii="Arial" w:cs="Arial" w:eastAsia="Arial" w:hAnsi="Arial"/>
          <w:color w:val="1A1A1A"/>
          <w:sz w:val="19"/>
          <w:szCs w:val="19"/>
        </w:rPr>
        <w:t xml:space="preserve">Policy enforcement holds under production load, and nobody has built a bypass.</w:t>
      </w:r>
    </w:p>
    <w:p>
      <w:pPr>
        <w:pStyle w:val="ListParagraph"/>
        <w:numPr>
          <w:ilvl w:val="0"/>
          <w:numId w:val="2"/>
        </w:numPr>
        <w:spacing w:after="30" w:line="238"/>
      </w:pPr>
      <w:r>
        <w:rPr>
          <w:rFonts w:ascii="Arial" w:cs="Arial" w:eastAsia="Arial" w:hAnsi="Arial"/>
          <w:color w:val="1A1A1A"/>
          <w:sz w:val="19"/>
          <w:szCs w:val="19"/>
        </w:rPr>
        <w:t xml:space="preserve">Any run in your area is reconstructible from the provenance record, and an auditor has accepted it.</w:t>
      </w:r>
    </w:p>
    <w:p>
      <w:pPr>
        <w:pStyle w:val="ListParagraph"/>
        <w:numPr>
          <w:ilvl w:val="0"/>
          <w:numId w:val="2"/>
        </w:numPr>
        <w:spacing w:after="30" w:line="238"/>
      </w:pPr>
      <w:r>
        <w:rPr>
          <w:rFonts w:ascii="Arial" w:cs="Arial" w:eastAsia="Arial" w:hAnsi="Arial"/>
          <w:color w:val="1A1A1A"/>
          <w:sz w:val="19"/>
          <w:szCs w:val="19"/>
        </w:rPr>
        <w:t xml:space="preserve">Complex problems across your area are solved by the engineers you lead rather than by you alone.</w:t>
      </w:r>
    </w:p>
    <w:p>
      <w:pPr>
        <w:pStyle w:val="ListParagraph"/>
        <w:numPr>
          <w:ilvl w:val="0"/>
          <w:numId w:val="2"/>
        </w:numPr>
        <w:spacing w:after="30" w:line="238"/>
      </w:pPr>
      <w:r>
        <w:rPr>
          <w:rFonts w:ascii="Arial" w:cs="Arial" w:eastAsia="Arial" w:hAnsi="Arial"/>
          <w:color w:val="1A1A1A"/>
          <w:sz w:val="19"/>
          <w:szCs w:val="19"/>
        </w:rPr>
        <w:t xml:space="preserve">The engineering standard in your area is visibly yours, and it has raised the standard elsewhere.</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Go and Python  ·  Kubernetes (operators, controllers, CRDs)  ·  Policy engines (OPA / Rego)  ·  Identity standards (OAuth / OIDC, workload identity, SPIFFE)  ·  Secrets management  ·  Audit, provenance and lineage tooling  ·  Event-driven architecture  ·  OpenTelemetry / Prometheus / Grafana  ·  CI/CD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IV — Leading — mentors others and completes highly complex work with an eye to creating efficiencies for the team</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Specialised depth and breadth of expertise in own discipline. Leads others to solve complex problems, works independently with guidance only in the most complex situations, and may provide functional leadership to teams or projects.</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8 – 11 years in the underlying engineering discipline, including at least 2 years applied to AI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0281C7-66B4-4EF5-8BC3-EA8C36E5FAD7}"/>
</file>

<file path=customXml/itemProps2.xml><?xml version="1.0" encoding="utf-8"?>
<ds:datastoreItem xmlns:ds="http://schemas.openxmlformats.org/officeDocument/2006/customXml" ds:itemID="{0F608CA9-B075-4480-9945-13927E1A530F}"/>
</file>

<file path=customXml/itemProps3.xml><?xml version="1.0" encoding="utf-8"?>
<ds:datastoreItem xmlns:ds="http://schemas.openxmlformats.org/officeDocument/2006/customXml" ds:itemID="{E4E79608-10B6-4130-9258-37C022E7BAD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Engineer IV — RackAI</dc:title>
  <dc:creator>Rackspace Technology</dc:creator>
  <cp:lastModifiedBy>Un-named</cp:lastModifiedBy>
  <cp:revision>1</cp:revision>
  <dcterms:created xsi:type="dcterms:W3CDTF">2026-09-14T22:59:18Z</dcterms:created>
  <dcterms:modified xsi:type="dcterms:W3CDTF">2026-09-14T22:59:18Z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