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80"/>
        <w:tblBorders>
          <w:top w:val="none" w:color="FFFFFF" w:sz="0"/>
          <w:left w:val="none" w:color="FFFFFF" w:sz="0"/>
          <w:bottom w:val="single" w:color="E4002B" w:sz="18"/>
          <w:right w:val="none" w:color="FFFFFF" w:sz="0"/>
          <w:insideH w:val="none" w:color="FFFFFF" w:sz="0"/>
          <w:insideV w:val="none" w:color="FFFFFF" w:sz="0"/>
        </w:tblBorders>
      </w:tblPr>
      <w:tblGrid>
        <w:gridCol w:w="4840"/>
        <w:gridCol w:w="4840"/>
      </w:tblGrid>
      <w:tr>
        <w:tc>
          <w:tcPr>
            <w:tcW w:type="dxa" w:w="4840"/>
            <w:tcMar>
              <w:top w:type="dxa" w:w="40"/>
              <w:left w:type="dxa" w:w="0"/>
              <w:bottom w:type="dxa" w:w="100"/>
              <w:right w:type="dxa" w:w="0"/>
            </w:tcMar>
          </w:tcPr>
          <w:p>
            <w:r>
              <w:rPr>
                <w:rFonts w:ascii="Arial" w:cs="Arial" w:eastAsia="Arial" w:hAnsi="Arial"/>
                <w:b/>
                <w:bCs/>
                <w:color w:val="1A1A1A"/>
                <w:sz w:val="26"/>
                <w:szCs w:val="26"/>
              </w:rPr>
              <w:t xml:space="preserve">rackspace</w:t>
            </w:r>
            <w:r>
              <w:rPr>
                <w:rFonts w:ascii="Arial" w:cs="Arial" w:eastAsia="Arial" w:hAnsi="Arial"/>
                <w:color w:val="595959"/>
                <w:sz w:val="26"/>
                <w:szCs w:val="26"/>
              </w:rPr>
              <w:t xml:space="preserve"> technology</w:t>
            </w:r>
          </w:p>
        </w:tc>
        <w:tc>
          <w:tcPr>
            <w:tcW w:type="dxa" w:w="4840"/>
            <w:tcMar>
              <w:top w:type="dxa" w:w="40"/>
              <w:left w:type="dxa" w:w="0"/>
              <w:bottom w:type="dxa" w:w="100"/>
              <w:right w:type="dxa" w:w="0"/>
            </w:tcMar>
          </w:tcPr>
          <w:p>
            <w:pPr>
              <w:jc w:val="right"/>
            </w:pPr>
            <w:r>
              <w:rPr>
                <w:rFonts w:ascii="Arial" w:cs="Arial" w:eastAsia="Arial" w:hAnsi="Arial"/>
                <w:b/>
                <w:bCs/>
                <w:color w:val="E4002B"/>
                <w:sz w:val="16"/>
                <w:szCs w:val="16"/>
              </w:rPr>
              <w:t xml:space="preserve">CAREERS  ·  ENGINEERING  ·  FOR INTERNAL POSTING</w:t>
            </w:r>
          </w:p>
        </w:tc>
      </w:tr>
    </w:tbl>
    <w:p>
      <w:pPr>
        <w:spacing w:after="40" w:before="240"/>
      </w:pPr>
      <w:r>
        <w:rPr>
          <w:rFonts w:ascii="Arial" w:cs="Arial" w:eastAsia="Arial" w:hAnsi="Arial"/>
          <w:b/>
          <w:bCs/>
          <w:color w:val="1A1A1A"/>
          <w:sz w:val="36"/>
          <w:szCs w:val="36"/>
        </w:rPr>
        <w:t xml:space="preserve">AI Governance Engineer V</w:t>
      </w:r>
    </w:p>
    <w:p>
      <w:pPr>
        <w:spacing w:after="30"/>
      </w:pPr>
      <w:r>
        <w:rPr>
          <w:rFonts w:ascii="Arial" w:cs="Arial" w:eastAsia="Arial" w:hAnsi="Arial"/>
          <w:b/>
          <w:bCs/>
          <w:caps/>
          <w:color w:val="E4002B"/>
          <w:sz w:val="20"/>
          <w:szCs w:val="20"/>
        </w:rPr>
        <w:t xml:space="preserve">AI Governance Engineering  ·  Policy, Provenance and Agent Identity</w:t>
      </w:r>
    </w:p>
    <w:p>
      <w:pPr>
        <w:pBdr>
          <w:bottom w:val="single" w:color="D9D9D9" w:sz="6" w:space="6"/>
        </w:pBdr>
        <w:spacing w:after="180"/>
      </w:pPr>
      <w:r>
        <w:rPr>
          <w:rFonts w:ascii="Arial" w:cs="Arial" w:eastAsia="Arial" w:hAnsi="Arial"/>
          <w:color w:val="595959"/>
          <w:sz w:val="16"/>
          <w:szCs w:val="16"/>
        </w:rPr>
        <w:t xml:space="preserve">Individual Contributor  ·  RackAI Product and Engineering  ·  Remote / Hybrid  ·  Reports to Director, AI Harness, Orchestration and Governance</w:t>
      </w:r>
    </w:p>
    <w:p>
      <w:pPr>
        <w:pStyle w:val="Heading1"/>
        <w:pBdr>
          <w:bottom w:val="single" w:color="E4002B" w:sz="8" w:space="4"/>
        </w:pBdr>
        <w:spacing w:after="70" w:before="170"/>
      </w:pPr>
      <w:r>
        <w:rPr>
          <w:rFonts w:ascii="Arial" w:cs="Arial" w:eastAsia="Arial" w:hAnsi="Arial"/>
          <w:b/>
          <w:bCs/>
          <w:color w:val="1A1A1A"/>
          <w:sz w:val="23"/>
          <w:szCs w:val="23"/>
        </w:rPr>
        <w:t xml:space="preserve">About the opportunity</w:t>
      </w:r>
    </w:p>
    <w:p>
      <w:pPr>
        <w:spacing w:after="80" w:line="242"/>
      </w:pPr>
      <w:r>
        <w:rPr>
          <w:rFonts w:ascii="Arial" w:cs="Arial" w:eastAsia="Arial" w:hAnsi="Arial"/>
          <w:color w:val="1A1A1A"/>
          <w:sz w:val="19"/>
          <w:szCs w:val="19"/>
        </w:rPr>
        <w:t xml:space="preserve">RackAI is Rackspace's managed AI inference platform, built for the private and sovereign environments where regulated enterprises can actually run AI. What makes that claim defensible is not the serving layer but the controls around it: policy enforced as the system runs, and a record afterwards of what happened and on whose authority. AI Governance Engineers build those controls.</w:t>
      </w:r>
    </w:p>
    <w:p>
      <w:pPr>
        <w:spacing w:after="80" w:line="242"/>
      </w:pPr>
      <w:r>
        <w:rPr>
          <w:rFonts w:ascii="Arial" w:cs="Arial" w:eastAsia="Arial" w:hAnsi="Arial"/>
          <w:color w:val="1A1A1A"/>
          <w:sz w:val="19"/>
          <w:szCs w:val="19"/>
        </w:rPr>
        <w:t xml:space="preserve">As an AI Governance Engineer V you are the recognised expert for governance engineering at RackAI. You own the engineering of policy enforcement, provenance, agent identity and action controls, and you contribute to the strategy for the sub-function.</w:t>
      </w:r>
    </w:p>
    <w:p>
      <w:pPr>
        <w:spacing w:after="80" w:line="242"/>
      </w:pPr>
      <w:r>
        <w:rPr>
          <w:rFonts w:ascii="Arial" w:cs="Arial" w:eastAsia="Arial" w:hAnsi="Arial"/>
          <w:color w:val="1A1A1A"/>
          <w:sz w:val="19"/>
          <w:szCs w:val="19"/>
        </w:rPr>
        <w:t xml:space="preserve">You co-own the governance and identity architecture with the Chief Architect, AI Partner Integrations, and work alongside an AI Assurance Engineer who owns the measurement proving the platform behaves.</w:t>
      </w:r>
    </w:p>
    <w:p>
      <w:pPr>
        <w:pStyle w:val="Heading1"/>
        <w:pBdr>
          <w:bottom w:val="single" w:color="E4002B" w:sz="8" w:space="4"/>
        </w:pBdr>
        <w:spacing w:after="70" w:before="170"/>
      </w:pPr>
      <w:r>
        <w:rPr>
          <w:rFonts w:ascii="Arial" w:cs="Arial" w:eastAsia="Arial" w:hAnsi="Arial"/>
          <w:b/>
          <w:bCs/>
          <w:color w:val="1A1A1A"/>
          <w:sz w:val="23"/>
          <w:szCs w:val="23"/>
        </w:rPr>
        <w:t xml:space="preserve">Why RackAI</w:t>
      </w:r>
    </w:p>
    <w:p>
      <w:pPr>
        <w:spacing w:after="80" w:line="242"/>
      </w:pPr>
      <w:r>
        <w:rPr>
          <w:rFonts w:ascii="Arial" w:cs="Arial" w:eastAsia="Arial" w:hAnsi="Arial"/>
          <w:color w:val="1A1A1A"/>
          <w:sz w:val="19"/>
          <w:szCs w:val="19"/>
        </w:rPr>
        <w:t xml:space="preserve">Enterprises have stopped asking whether AI can work and started asking who is accountable when it gets something wrong.</w:t>
      </w:r>
    </w:p>
    <w:p>
      <w:pPr>
        <w:spacing w:after="80" w:line="242"/>
      </w:pPr>
      <w:r>
        <w:rPr>
          <w:rFonts w:ascii="Arial" w:cs="Arial" w:eastAsia="Arial" w:hAnsi="Arial"/>
          <w:color w:val="1A1A1A"/>
          <w:sz w:val="19"/>
          <w:szCs w:val="19"/>
        </w:rPr>
        <w:t xml:space="preserve">Answering that in code rather than a policy document is one of the most sought-after engineering capabilities in the market, and the regulatory timetable has made it urgent. The controls built here decide what an agent may do with which data, record it so the record survives an audit, and hold when an agent acts for someone several hops away. Rackspace brings the regulated customers, the real workloads and a platform being built now, so these controls get exercised rather than documented.</w:t>
      </w:r>
    </w:p>
    <w:p>
      <w:pPr>
        <w:spacing w:after="80" w:line="242"/>
      </w:pPr>
      <w:r>
        <w:rPr>
          <w:rFonts w:ascii="Arial" w:cs="Arial" w:eastAsia="Arial" w:hAnsi="Arial"/>
          <w:b w:val="false"/>
          <w:bCs w:val="false"/>
          <w:color w:val="1A1A1A"/>
          <w:sz w:val="19"/>
          <w:szCs w:val="19"/>
        </w:rPr>
        <w:t xml:space="preserve">And we work the way we build: </w:t>
      </w:r>
      <w:r>
        <w:rPr>
          <w:rFonts w:ascii="Arial" w:cs="Arial" w:eastAsia="Arial" w:hAnsi="Arial"/>
          <w:b/>
          <w:bCs/>
          <w:color w:val="1A1A1A"/>
          <w:sz w:val="19"/>
          <w:szCs w:val="19"/>
        </w:rPr>
        <w:t xml:space="preserve">we build AI, and we build with AI.</w:t>
      </w:r>
      <w:r>
        <w:rPr>
          <w:rFonts w:ascii="Arial" w:cs="Arial" w:eastAsia="Arial" w:hAnsi="Arial"/>
          <w:b w:val="false"/>
          <w:bCs w:val="false"/>
          <w:color w:val="1A1A1A"/>
          <w:sz w:val="19"/>
          <w:szCs w:val="19"/>
        </w:rPr>
        <w:t xml:space="preserve"> If you want governance work that is genuinely engineering rather than paperwork, this is an unusually good version of it.</w:t>
      </w:r>
    </w:p>
    <w:p>
      <w:pPr>
        <w:pStyle w:val="Heading1"/>
        <w:pBdr>
          <w:bottom w:val="single" w:color="E4002B" w:sz="8" w:space="4"/>
        </w:pBdr>
        <w:spacing w:after="70" w:before="170"/>
      </w:pPr>
      <w:r>
        <w:rPr>
          <w:rFonts w:ascii="Arial" w:cs="Arial" w:eastAsia="Arial" w:hAnsi="Arial"/>
          <w:b/>
          <w:bCs/>
          <w:color w:val="1A1A1A"/>
          <w:sz w:val="23"/>
          <w:szCs w:val="23"/>
        </w:rPr>
        <w:t xml:space="preserve">What you'll do</w:t>
      </w:r>
    </w:p>
    <w:p>
      <w:pPr>
        <w:pStyle w:val="Heading2"/>
        <w:spacing w:after="44" w:before="112"/>
      </w:pPr>
      <w:r>
        <w:rPr>
          <w:rFonts w:ascii="Arial" w:cs="Arial" w:eastAsia="Arial" w:hAnsi="Arial"/>
          <w:b/>
          <w:bCs/>
          <w:color w:val="E4002B"/>
          <w:sz w:val="19"/>
          <w:szCs w:val="19"/>
        </w:rPr>
        <w:t xml:space="preserve">Own the governance controls</w:t>
      </w:r>
    </w:p>
    <w:p>
      <w:pPr>
        <w:pStyle w:val="ListParagraph"/>
        <w:numPr>
          <w:ilvl w:val="0"/>
          <w:numId w:val="2"/>
        </w:numPr>
        <w:spacing w:after="30" w:line="238"/>
      </w:pPr>
      <w:r>
        <w:rPr>
          <w:rFonts w:ascii="Arial" w:cs="Arial" w:eastAsia="Arial" w:hAnsi="Arial"/>
          <w:color w:val="1A1A1A"/>
          <w:sz w:val="19"/>
          <w:szCs w:val="19"/>
        </w:rPr>
        <w:t xml:space="preserve">Own runtime policy enforcement deciding inline what an agent may do, with which data and tools, without becoming the platform's bottleneck.</w:t>
      </w:r>
    </w:p>
    <w:p>
      <w:pPr>
        <w:pStyle w:val="ListParagraph"/>
        <w:numPr>
          <w:ilvl w:val="0"/>
          <w:numId w:val="2"/>
        </w:numPr>
        <w:spacing w:after="30" w:line="238"/>
      </w:pPr>
      <w:r>
        <w:rPr>
          <w:rFonts w:ascii="Arial" w:cs="Arial" w:eastAsia="Arial" w:hAnsi="Arial"/>
          <w:color w:val="1A1A1A"/>
          <w:sz w:val="19"/>
          <w:szCs w:val="19"/>
        </w:rPr>
        <w:t xml:space="preserve">Own the provenance and replay record: a durable, tamper-evident account of what ran, on what data and under whose authority, complete enough to reconstruct a decision.</w:t>
      </w:r>
    </w:p>
    <w:p>
      <w:pPr>
        <w:pStyle w:val="ListParagraph"/>
        <w:numPr>
          <w:ilvl w:val="0"/>
          <w:numId w:val="2"/>
        </w:numPr>
        <w:spacing w:after="30" w:line="238"/>
      </w:pPr>
      <w:r>
        <w:rPr>
          <w:rFonts w:ascii="Arial" w:cs="Arial" w:eastAsia="Arial" w:hAnsi="Arial"/>
          <w:color w:val="1A1A1A"/>
          <w:sz w:val="19"/>
          <w:szCs w:val="19"/>
        </w:rPr>
        <w:t xml:space="preserve">Own agent identity and delegated authority — service identities, scoped tokens, and permissions that expire when a task ends rather than being inherited whole.</w:t>
      </w:r>
    </w:p>
    <w:p>
      <w:pPr>
        <w:pStyle w:val="ListParagraph"/>
        <w:numPr>
          <w:ilvl w:val="0"/>
          <w:numId w:val="2"/>
        </w:numPr>
        <w:spacing w:after="30" w:line="238"/>
      </w:pPr>
      <w:r>
        <w:rPr>
          <w:rFonts w:ascii="Arial" w:cs="Arial" w:eastAsia="Arial" w:hAnsi="Arial"/>
          <w:color w:val="1A1A1A"/>
          <w:sz w:val="19"/>
          <w:szCs w:val="19"/>
        </w:rPr>
        <w:t xml:space="preserve">Own tenant isolation and prompt-injection defences, and the action controls that bound what an agent can change in the world — approval gates, rate limits, reversibility, containment.</w:t>
      </w:r>
    </w:p>
    <w:p>
      <w:pPr>
        <w:pStyle w:val="Heading2"/>
        <w:spacing w:after="44" w:before="112"/>
      </w:pPr>
      <w:r>
        <w:rPr>
          <w:rFonts w:ascii="Arial" w:cs="Arial" w:eastAsia="Arial" w:hAnsi="Arial"/>
          <w:b/>
          <w:bCs/>
          <w:color w:val="E4002B"/>
          <w:sz w:val="19"/>
          <w:szCs w:val="19"/>
        </w:rPr>
        <w:t xml:space="preserve">Make compliance a property of the platform</w:t>
      </w:r>
    </w:p>
    <w:p>
      <w:pPr>
        <w:pStyle w:val="ListParagraph"/>
        <w:numPr>
          <w:ilvl w:val="0"/>
          <w:numId w:val="2"/>
        </w:numPr>
        <w:spacing w:after="30" w:line="238"/>
      </w:pPr>
      <w:r>
        <w:rPr>
          <w:rFonts w:ascii="Arial" w:cs="Arial" w:eastAsia="Arial" w:hAnsi="Arial"/>
          <w:color w:val="1A1A1A"/>
          <w:sz w:val="19"/>
          <w:szCs w:val="19"/>
        </w:rPr>
        <w:t xml:space="preserve">Own the engineering of compliance and certification evidence, so an audit becomes a query against the platform.</w:t>
      </w:r>
    </w:p>
    <w:p>
      <w:pPr>
        <w:pStyle w:val="ListParagraph"/>
        <w:numPr>
          <w:ilvl w:val="0"/>
          <w:numId w:val="2"/>
        </w:numPr>
        <w:spacing w:after="30" w:line="238"/>
      </w:pPr>
      <w:r>
        <w:rPr>
          <w:rFonts w:ascii="Arial" w:cs="Arial" w:eastAsia="Arial" w:hAnsi="Arial"/>
          <w:color w:val="1A1A1A"/>
          <w:sz w:val="19"/>
          <w:szCs w:val="19"/>
        </w:rPr>
        <w:t xml:space="preserve">Own the inventory of what is running — models, prompts, tools, components, versions and provenance — that a regulator will ask for.</w:t>
      </w:r>
    </w:p>
    <w:p>
      <w:pPr>
        <w:pStyle w:val="ListParagraph"/>
        <w:numPr>
          <w:ilvl w:val="0"/>
          <w:numId w:val="2"/>
        </w:numPr>
        <w:spacing w:after="30" w:line="238"/>
      </w:pPr>
      <w:r>
        <w:rPr>
          <w:rFonts w:ascii="Arial" w:cs="Arial" w:eastAsia="Arial" w:hAnsi="Arial"/>
          <w:color w:val="1A1A1A"/>
          <w:sz w:val="19"/>
          <w:szCs w:val="19"/>
        </w:rPr>
        <w:t xml:space="preserve">Own data-residency and information-flow controls so protected data reaches only permitted models and jurisdictions, anticipating regulatory change rather than reacting to it.</w:t>
      </w:r>
    </w:p>
    <w:p>
      <w:pPr>
        <w:pStyle w:val="Heading2"/>
        <w:spacing w:after="44" w:before="112"/>
      </w:pPr>
      <w:r>
        <w:rPr>
          <w:rFonts w:ascii="Arial" w:cs="Arial" w:eastAsia="Arial" w:hAnsi="Arial"/>
          <w:b/>
          <w:bCs/>
          <w:color w:val="E4002B"/>
          <w:sz w:val="19"/>
          <w:szCs w:val="19"/>
        </w:rPr>
        <w:t xml:space="preserve">Lead the discipline</w:t>
      </w:r>
    </w:p>
    <w:p>
      <w:pPr>
        <w:pStyle w:val="ListParagraph"/>
        <w:numPr>
          <w:ilvl w:val="0"/>
          <w:numId w:val="2"/>
        </w:numPr>
        <w:spacing w:after="30" w:line="238"/>
      </w:pPr>
      <w:r>
        <w:rPr>
          <w:rFonts w:ascii="Arial" w:cs="Arial" w:eastAsia="Arial" w:hAnsi="Arial"/>
          <w:color w:val="1A1A1A"/>
          <w:sz w:val="19"/>
          <w:szCs w:val="19"/>
        </w:rPr>
        <w:t xml:space="preserve">Set the engineering standard for governance controls, review the designs of teams implementing against them, and contribute to the strategy for the sub-function.</w:t>
      </w:r>
    </w:p>
    <w:p>
      <w:pPr>
        <w:pStyle w:val="ListParagraph"/>
        <w:numPr>
          <w:ilvl w:val="0"/>
          <w:numId w:val="2"/>
        </w:numPr>
        <w:spacing w:after="30" w:line="238"/>
      </w:pPr>
      <w:r>
        <w:rPr>
          <w:rFonts w:ascii="Arial" w:cs="Arial" w:eastAsia="Arial" w:hAnsi="Arial"/>
          <w:color w:val="1A1A1A"/>
          <w:sz w:val="19"/>
          <w:szCs w:val="19"/>
        </w:rPr>
        <w:t xml:space="preserve">Co-own the governance and identity architecture with the Chief Architect, AI Partner Integrations — the policy, provenance and delegated-authority models — as well as its implementation.</w:t>
      </w:r>
    </w:p>
    <w:p>
      <w:pPr>
        <w:pStyle w:val="ListParagraph"/>
        <w:numPr>
          <w:ilvl w:val="0"/>
          <w:numId w:val="2"/>
        </w:numPr>
        <w:spacing w:after="30" w:line="238"/>
      </w:pPr>
      <w:r>
        <w:rPr>
          <w:rFonts w:ascii="Arial" w:cs="Arial" w:eastAsia="Arial" w:hAnsi="Arial"/>
          <w:color w:val="1A1A1A"/>
          <w:sz w:val="19"/>
          <w:szCs w:val="19"/>
        </w:rPr>
        <w:t xml:space="preserve">Coach engineers across the business on policy-as-code, identity and auditability, and be the final escalation point for those questions.</w:t>
      </w:r>
    </w:p>
    <w:p>
      <w:pPr>
        <w:pStyle w:val="ListParagraph"/>
        <w:numPr>
          <w:ilvl w:val="0"/>
          <w:numId w:val="2"/>
        </w:numPr>
        <w:spacing w:after="30" w:line="238"/>
      </w:pPr>
      <w:r>
        <w:rPr>
          <w:rFonts w:ascii="Arial" w:cs="Arial" w:eastAsia="Arial" w:hAnsi="Arial"/>
          <w:color w:val="1A1A1A"/>
          <w:sz w:val="19"/>
          <w:szCs w:val="19"/>
        </w:rPr>
        <w:t xml:space="preserve">Make AI-assisted engineering the default across the discipline, within clear standards for quality, security, licensing and human review.</w:t>
      </w:r>
    </w:p>
    <w:p>
      <w:pPr>
        <w:pStyle w:val="Heading1"/>
        <w:pBdr>
          <w:bottom w:val="single" w:color="E4002B" w:sz="8" w:space="4"/>
        </w:pBdr>
        <w:spacing w:after="70" w:before="170"/>
      </w:pPr>
      <w:r>
        <w:rPr>
          <w:rFonts w:ascii="Arial" w:cs="Arial" w:eastAsia="Arial" w:hAnsi="Arial"/>
          <w:b/>
          <w:bCs/>
          <w:color w:val="1A1A1A"/>
          <w:sz w:val="23"/>
          <w:szCs w:val="23"/>
        </w:rPr>
        <w:t xml:space="preserve">What you'll bring</w:t>
      </w:r>
    </w:p>
    <w:p>
      <w:pPr>
        <w:pStyle w:val="Heading2"/>
        <w:spacing w:after="44" w:before="112"/>
      </w:pPr>
      <w:r>
        <w:rPr>
          <w:rFonts w:ascii="Arial" w:cs="Arial" w:eastAsia="Arial" w:hAnsi="Arial"/>
          <w:b/>
          <w:bCs/>
          <w:color w:val="E4002B"/>
          <w:sz w:val="19"/>
          <w:szCs w:val="19"/>
        </w:rPr>
        <w:t xml:space="preserve">Engineering depth</w:t>
      </w:r>
    </w:p>
    <w:p>
      <w:pPr>
        <w:pStyle w:val="ListParagraph"/>
        <w:numPr>
          <w:ilvl w:val="0"/>
          <w:numId w:val="2"/>
        </w:numPr>
        <w:spacing w:after="30" w:line="238"/>
      </w:pPr>
      <w:r>
        <w:rPr>
          <w:rFonts w:ascii="Arial" w:cs="Arial" w:eastAsia="Arial" w:hAnsi="Arial"/>
          <w:color w:val="1A1A1A"/>
          <w:sz w:val="19"/>
          <w:szCs w:val="19"/>
        </w:rPr>
        <w:t xml:space="preserve">Recognised expertise in security, identity or platform engineering, with broad knowledge of the other disciplines in the function.</w:t>
      </w:r>
    </w:p>
    <w:p>
      <w:pPr>
        <w:pStyle w:val="ListParagraph"/>
        <w:numPr>
          <w:ilvl w:val="0"/>
          <w:numId w:val="2"/>
        </w:numPr>
        <w:spacing w:after="30" w:line="238"/>
      </w:pPr>
      <w:r>
        <w:rPr>
          <w:rFonts w:ascii="Arial" w:cs="Arial" w:eastAsia="Arial" w:hAnsi="Arial"/>
          <w:color w:val="1A1A1A"/>
          <w:sz w:val="19"/>
          <w:szCs w:val="19"/>
        </w:rPr>
        <w:t xml:space="preserve">Strong Go or Python, and the judgement to set direction in whichever the team standardises on.</w:t>
      </w:r>
    </w:p>
    <w:p>
      <w:pPr>
        <w:pStyle w:val="ListParagraph"/>
        <w:numPr>
          <w:ilvl w:val="0"/>
          <w:numId w:val="2"/>
        </w:numPr>
        <w:spacing w:after="30" w:line="238"/>
      </w:pPr>
      <w:r>
        <w:rPr>
          <w:rFonts w:ascii="Arial" w:cs="Arial" w:eastAsia="Arial" w:hAnsi="Arial"/>
          <w:color w:val="1A1A1A"/>
          <w:sz w:val="19"/>
          <w:szCs w:val="19"/>
        </w:rPr>
        <w:t xml:space="preserve">Kubernetes to the depth needed to build and operate platform services on it, including operators and controllers.</w:t>
      </w:r>
    </w:p>
    <w:p>
      <w:pPr>
        <w:pStyle w:val="ListParagraph"/>
        <w:numPr>
          <w:ilvl w:val="0"/>
          <w:numId w:val="2"/>
        </w:numPr>
        <w:spacing w:after="30" w:line="238"/>
      </w:pPr>
      <w:r>
        <w:rPr>
          <w:rFonts w:ascii="Arial" w:cs="Arial" w:eastAsia="Arial" w:hAnsi="Arial"/>
          <w:color w:val="1A1A1A"/>
          <w:sz w:val="19"/>
          <w:szCs w:val="19"/>
        </w:rPr>
        <w:t xml:space="preserve">Distributed systems at production scale, and a realistic view of the performance cost of putting a control in the request path.</w:t>
      </w:r>
    </w:p>
    <w:p>
      <w:pPr>
        <w:pStyle w:val="Heading2"/>
        <w:spacing w:after="44" w:before="112"/>
      </w:pPr>
      <w:r>
        <w:rPr>
          <w:rFonts w:ascii="Arial" w:cs="Arial" w:eastAsia="Arial" w:hAnsi="Arial"/>
          <w:b/>
          <w:bCs/>
          <w:color w:val="E4002B"/>
          <w:sz w:val="19"/>
          <w:szCs w:val="19"/>
        </w:rPr>
        <w:t xml:space="preserve">Governance and security engineering</w:t>
      </w:r>
    </w:p>
    <w:p>
      <w:pPr>
        <w:pStyle w:val="ListParagraph"/>
        <w:numPr>
          <w:ilvl w:val="0"/>
          <w:numId w:val="2"/>
        </w:numPr>
        <w:spacing w:after="30" w:line="238"/>
      </w:pPr>
      <w:r>
        <w:rPr>
          <w:rFonts w:ascii="Arial" w:cs="Arial" w:eastAsia="Arial" w:hAnsi="Arial"/>
          <w:color w:val="1A1A1A"/>
          <w:sz w:val="19"/>
          <w:szCs w:val="19"/>
        </w:rPr>
        <w:t xml:space="preserve">Policy-as-code in production at scale — OPA and Rego or equivalent — including distribution, versioning, testing and rollback.</w:t>
      </w:r>
    </w:p>
    <w:p>
      <w:pPr>
        <w:pStyle w:val="ListParagraph"/>
        <w:numPr>
          <w:ilvl w:val="0"/>
          <w:numId w:val="2"/>
        </w:numPr>
        <w:spacing w:after="30" w:line="238"/>
      </w:pPr>
      <w:r>
        <w:rPr>
          <w:rFonts w:ascii="Arial" w:cs="Arial" w:eastAsia="Arial" w:hAnsi="Arial"/>
          <w:color w:val="1A1A1A"/>
          <w:sz w:val="19"/>
          <w:szCs w:val="19"/>
        </w:rPr>
        <w:t xml:space="preserve">Identity and access engineering at depth: OAuth and OIDC, workload identity, short-lived credentials, and delegated authority across service boundaries.</w:t>
      </w:r>
    </w:p>
    <w:p>
      <w:pPr>
        <w:pStyle w:val="ListParagraph"/>
        <w:numPr>
          <w:ilvl w:val="0"/>
          <w:numId w:val="2"/>
        </w:numPr>
        <w:spacing w:after="30" w:line="238"/>
      </w:pPr>
      <w:r>
        <w:rPr>
          <w:rFonts w:ascii="Arial" w:cs="Arial" w:eastAsia="Arial" w:hAnsi="Arial"/>
          <w:color w:val="1A1A1A"/>
          <w:sz w:val="19"/>
          <w:szCs w:val="19"/>
        </w:rPr>
        <w:t xml:space="preserve">Audit and provenance systems you have designed: tamper-evidence, event sourcing, lineage, and the query an auditor will ask.</w:t>
      </w:r>
    </w:p>
    <w:p>
      <w:pPr>
        <w:pStyle w:val="ListParagraph"/>
        <w:numPr>
          <w:ilvl w:val="0"/>
          <w:numId w:val="2"/>
        </w:numPr>
        <w:spacing w:after="30" w:line="238"/>
      </w:pPr>
      <w:r>
        <w:rPr>
          <w:rFonts w:ascii="Arial" w:cs="Arial" w:eastAsia="Arial" w:hAnsi="Arial"/>
          <w:color w:val="1A1A1A"/>
          <w:sz w:val="19"/>
          <w:szCs w:val="19"/>
        </w:rPr>
        <w:t xml:space="preserve">Multi-tenant isolation at platform level, and the ability to threat-model an agentic system — prompt injection, cross-tenant leakage, over-broad tool authority — and design the controls that answer it.</w:t>
      </w:r>
    </w:p>
    <w:p>
      <w:pPr>
        <w:pStyle w:val="Heading2"/>
        <w:spacing w:after="44" w:before="112"/>
      </w:pPr>
      <w:r>
        <w:rPr>
          <w:rFonts w:ascii="Arial" w:cs="Arial" w:eastAsia="Arial" w:hAnsi="Arial"/>
          <w:b/>
          <w:bCs/>
          <w:color w:val="E4002B"/>
          <w:sz w:val="19"/>
          <w:szCs w:val="19"/>
        </w:rPr>
        <w:t xml:space="preserve">Regulated-environment judgement</w:t>
      </w:r>
    </w:p>
    <w:p>
      <w:pPr>
        <w:pStyle w:val="ListParagraph"/>
        <w:numPr>
          <w:ilvl w:val="0"/>
          <w:numId w:val="2"/>
        </w:numPr>
        <w:spacing w:after="30" w:line="238"/>
      </w:pPr>
      <w:r>
        <w:rPr>
          <w:rFonts w:ascii="Arial" w:cs="Arial" w:eastAsia="Arial" w:hAnsi="Arial"/>
          <w:color w:val="1A1A1A"/>
          <w:sz w:val="19"/>
          <w:szCs w:val="19"/>
        </w:rPr>
        <w:t xml:space="preserve">Deep delivery experience inside regulated, audited or sovereign environments, and fluency in what auditors accept as evidence.</w:t>
      </w:r>
    </w:p>
    <w:p>
      <w:pPr>
        <w:pStyle w:val="ListParagraph"/>
        <w:numPr>
          <w:ilvl w:val="0"/>
          <w:numId w:val="2"/>
        </w:numPr>
        <w:spacing w:after="30" w:line="238"/>
      </w:pPr>
      <w:r>
        <w:rPr>
          <w:rFonts w:ascii="Arial" w:cs="Arial" w:eastAsia="Arial" w:hAnsi="Arial"/>
          <w:color w:val="1A1A1A"/>
          <w:sz w:val="19"/>
          <w:szCs w:val="19"/>
        </w:rPr>
        <w:t xml:space="preserve">Control frameworks — SOC 2, ISO/IEC 27001 or 42001, NIST AI RMF — implemented against rather than read.</w:t>
      </w:r>
    </w:p>
    <w:p>
      <w:pPr>
        <w:pStyle w:val="ListParagraph"/>
        <w:numPr>
          <w:ilvl w:val="0"/>
          <w:numId w:val="2"/>
        </w:numPr>
        <w:spacing w:after="30" w:line="238"/>
      </w:pPr>
      <w:r>
        <w:rPr>
          <w:rFonts w:ascii="Arial" w:cs="Arial" w:eastAsia="Arial" w:hAnsi="Arial"/>
          <w:color w:val="1A1A1A"/>
          <w:sz w:val="19"/>
          <w:szCs w:val="19"/>
        </w:rPr>
        <w:t xml:space="preserve">The ability to argue a control design with an engineer, a compliance lead and a customer's risk team.</w:t>
      </w:r>
    </w:p>
    <w:p>
      <w:pPr>
        <w:pStyle w:val="ListParagraph"/>
        <w:numPr>
          <w:ilvl w:val="0"/>
          <w:numId w:val="2"/>
        </w:numPr>
        <w:spacing w:after="30" w:line="238"/>
      </w:pPr>
      <w:r>
        <w:rPr>
          <w:rFonts w:ascii="Arial" w:cs="Arial" w:eastAsia="Arial" w:hAnsi="Arial"/>
          <w:color w:val="1A1A1A"/>
          <w:sz w:val="19"/>
          <w:szCs w:val="19"/>
        </w:rPr>
        <w:t xml:space="preserve">Hands-on use of AI coding assistants in real engineering work.</w:t>
      </w:r>
    </w:p>
    <w:p>
      <w:pPr>
        <w:pStyle w:val="Heading1"/>
        <w:pBdr>
          <w:bottom w:val="single" w:color="E4002B" w:sz="8" w:space="4"/>
        </w:pBdr>
        <w:spacing w:after="70" w:before="170"/>
      </w:pPr>
      <w:r>
        <w:rPr>
          <w:rFonts w:ascii="Arial" w:cs="Arial" w:eastAsia="Arial" w:hAnsi="Arial"/>
          <w:b/>
          <w:bCs/>
          <w:color w:val="1A1A1A"/>
          <w:sz w:val="23"/>
          <w:szCs w:val="23"/>
        </w:rPr>
        <w:t xml:space="preserve">Nice to have</w:t>
      </w:r>
    </w:p>
    <w:p>
      <w:pPr>
        <w:pStyle w:val="ListParagraph"/>
        <w:numPr>
          <w:ilvl w:val="0"/>
          <w:numId w:val="2"/>
        </w:numPr>
        <w:spacing w:after="30" w:line="238"/>
      </w:pPr>
      <w:r>
        <w:rPr>
          <w:rFonts w:ascii="Arial" w:cs="Arial" w:eastAsia="Arial" w:hAnsi="Arial"/>
          <w:color w:val="1A1A1A"/>
          <w:sz w:val="19"/>
          <w:szCs w:val="19"/>
        </w:rPr>
        <w:t xml:space="preserve">Experience implementing controls for an ISO/IEC 42001 or EU AI Act readiness effort.</w:t>
      </w:r>
    </w:p>
    <w:p>
      <w:pPr>
        <w:pStyle w:val="ListParagraph"/>
        <w:numPr>
          <w:ilvl w:val="0"/>
          <w:numId w:val="2"/>
        </w:numPr>
        <w:spacing w:after="30" w:line="238"/>
      </w:pPr>
      <w:r>
        <w:rPr>
          <w:rFonts w:ascii="Arial" w:cs="Arial" w:eastAsia="Arial" w:hAnsi="Arial"/>
          <w:color w:val="1A1A1A"/>
          <w:sz w:val="19"/>
          <w:szCs w:val="19"/>
        </w:rPr>
        <w:t xml:space="preserve">SPIFFE and SPIRE, service mesh identity, or confidential computing.</w:t>
      </w:r>
    </w:p>
    <w:p>
      <w:pPr>
        <w:pStyle w:val="ListParagraph"/>
        <w:numPr>
          <w:ilvl w:val="0"/>
          <w:numId w:val="2"/>
        </w:numPr>
        <w:spacing w:after="30" w:line="238"/>
      </w:pPr>
      <w:r>
        <w:rPr>
          <w:rFonts w:ascii="Arial" w:cs="Arial" w:eastAsia="Arial" w:hAnsi="Arial"/>
          <w:color w:val="1A1A1A"/>
          <w:sz w:val="19"/>
          <w:szCs w:val="19"/>
        </w:rPr>
        <w:t xml:space="preserve">Information-flow control, data classification or labelling at scale.</w:t>
      </w:r>
    </w:p>
    <w:p>
      <w:pPr>
        <w:pStyle w:val="ListParagraph"/>
        <w:numPr>
          <w:ilvl w:val="0"/>
          <w:numId w:val="2"/>
        </w:numPr>
        <w:spacing w:after="30" w:line="238"/>
      </w:pPr>
      <w:r>
        <w:rPr>
          <w:rFonts w:ascii="Arial" w:cs="Arial" w:eastAsia="Arial" w:hAnsi="Arial"/>
          <w:color w:val="1A1A1A"/>
          <w:sz w:val="19"/>
          <w:szCs w:val="19"/>
        </w:rPr>
        <w:t xml:space="preserve">Having been on the engineering side of a certification audit.</w:t>
      </w:r>
    </w:p>
    <w:p>
      <w:pPr>
        <w:pStyle w:val="Heading1"/>
        <w:pBdr>
          <w:bottom w:val="single" w:color="E4002B" w:sz="8" w:space="4"/>
        </w:pBdr>
        <w:spacing w:after="70" w:before="170"/>
      </w:pPr>
      <w:r>
        <w:rPr>
          <w:rFonts w:ascii="Arial" w:cs="Arial" w:eastAsia="Arial" w:hAnsi="Arial"/>
          <w:b/>
          <w:bCs/>
          <w:color w:val="1A1A1A"/>
          <w:sz w:val="23"/>
          <w:szCs w:val="23"/>
        </w:rPr>
        <w:t xml:space="preserve">How we'll measure success</w:t>
      </w:r>
    </w:p>
    <w:p>
      <w:pPr>
        <w:pStyle w:val="ListParagraph"/>
        <w:numPr>
          <w:ilvl w:val="0"/>
          <w:numId w:val="2"/>
        </w:numPr>
        <w:spacing w:after="30" w:line="238"/>
      </w:pPr>
      <w:r>
        <w:rPr>
          <w:rFonts w:ascii="Arial" w:cs="Arial" w:eastAsia="Arial" w:hAnsi="Arial"/>
          <w:color w:val="1A1A1A"/>
          <w:sz w:val="19"/>
          <w:szCs w:val="19"/>
        </w:rPr>
        <w:t xml:space="preserve">Policy is enforced inline in production, and the enforcement path is fast enough that nobody proposes routing around it.</w:t>
      </w:r>
    </w:p>
    <w:p>
      <w:pPr>
        <w:pStyle w:val="ListParagraph"/>
        <w:numPr>
          <w:ilvl w:val="0"/>
          <w:numId w:val="2"/>
        </w:numPr>
        <w:spacing w:after="30" w:line="238"/>
      </w:pPr>
      <w:r>
        <w:rPr>
          <w:rFonts w:ascii="Arial" w:cs="Arial" w:eastAsia="Arial" w:hAnsi="Arial"/>
          <w:color w:val="1A1A1A"/>
          <w:sz w:val="19"/>
          <w:szCs w:val="19"/>
        </w:rPr>
        <w:t xml:space="preserve">Any run can be reconstructed from the provenance record without engineering archaeology.</w:t>
      </w:r>
    </w:p>
    <w:p>
      <w:pPr>
        <w:pStyle w:val="ListParagraph"/>
        <w:numPr>
          <w:ilvl w:val="0"/>
          <w:numId w:val="2"/>
        </w:numPr>
        <w:spacing w:after="30" w:line="238"/>
      </w:pPr>
      <w:r>
        <w:rPr>
          <w:rFonts w:ascii="Arial" w:cs="Arial" w:eastAsia="Arial" w:hAnsi="Arial"/>
          <w:color w:val="1A1A1A"/>
          <w:sz w:val="19"/>
          <w:szCs w:val="19"/>
        </w:rPr>
        <w:t xml:space="preserve">Agent identity holds under delegation, and permissions expire rather than accumulate.</w:t>
      </w:r>
    </w:p>
    <w:p>
      <w:pPr>
        <w:pStyle w:val="ListParagraph"/>
        <w:numPr>
          <w:ilvl w:val="0"/>
          <w:numId w:val="2"/>
        </w:numPr>
        <w:spacing w:after="30" w:line="238"/>
      </w:pPr>
      <w:r>
        <w:rPr>
          <w:rFonts w:ascii="Arial" w:cs="Arial" w:eastAsia="Arial" w:hAnsi="Arial"/>
          <w:color w:val="1A1A1A"/>
          <w:sz w:val="19"/>
          <w:szCs w:val="19"/>
        </w:rPr>
        <w:t xml:space="preserve">Compliance evidence is produced by querying the platform, and an auditor accepts it.</w:t>
      </w:r>
    </w:p>
    <w:p>
      <w:pPr>
        <w:pStyle w:val="ListParagraph"/>
        <w:numPr>
          <w:ilvl w:val="0"/>
          <w:numId w:val="2"/>
        </w:numPr>
        <w:spacing w:after="30" w:line="238"/>
      </w:pPr>
      <w:r>
        <w:rPr>
          <w:rFonts w:ascii="Arial" w:cs="Arial" w:eastAsia="Arial" w:hAnsi="Arial"/>
          <w:color w:val="1A1A1A"/>
          <w:sz w:val="19"/>
          <w:szCs w:val="19"/>
        </w:rPr>
        <w:t xml:space="preserve">Other teams build against your controls because they are easier to use than to avoid.</w:t>
      </w:r>
    </w:p>
    <w:p>
      <w:pPr>
        <w:pStyle w:val="Heading1"/>
        <w:pBdr>
          <w:bottom w:val="single" w:color="E4002B" w:sz="8" w:space="4"/>
        </w:pBdr>
        <w:spacing w:after="70" w:before="170"/>
      </w:pPr>
      <w:r>
        <w:rPr>
          <w:rFonts w:ascii="Arial" w:cs="Arial" w:eastAsia="Arial" w:hAnsi="Arial"/>
          <w:b/>
          <w:bCs/>
          <w:color w:val="1A1A1A"/>
          <w:sz w:val="23"/>
          <w:szCs w:val="23"/>
        </w:rPr>
        <w:t xml:space="preserve">Technology you'll work with</w:t>
      </w:r>
    </w:p>
    <w:p>
      <w:pPr>
        <w:spacing w:after="80" w:line="242"/>
      </w:pPr>
      <w:r>
        <w:rPr>
          <w:rFonts w:ascii="Arial" w:cs="Arial" w:eastAsia="Arial" w:hAnsi="Arial"/>
          <w:color w:val="1A1A1A"/>
          <w:sz w:val="19"/>
          <w:szCs w:val="19"/>
        </w:rPr>
        <w:t xml:space="preserve">Go and Python  ·  Kubernetes (operators, controllers, CRDs)  ·  Policy engines (OPA / Rego)  ·  Identity standards (OAuth / OIDC, workload identity, SPIFFE)  ·  Secrets management  ·  Audit, provenance and lineage tooling  ·  Event-driven architecture  ·  OpenTelemetry / Prometheus / Grafana  ·  CI/CD  ·  AWS  ·  Private and sovereign cloud  ·  AI-assisted development tooling (Claude Code, Kiro, Codex, GitHub Copilot)</w:t>
      </w:r>
    </w:p>
    <w:p>
      <w:pPr>
        <w:pStyle w:val="Heading1"/>
        <w:pBdr>
          <w:bottom w:val="single" w:color="E4002B" w:sz="8" w:space="4"/>
        </w:pBdr>
        <w:spacing w:after="70" w:before="170"/>
      </w:pPr>
      <w:r>
        <w:rPr>
          <w:rFonts w:ascii="Arial" w:cs="Arial" w:eastAsia="Arial" w:hAnsi="Arial"/>
          <w:b/>
          <w:bCs/>
          <w:color w:val="1A1A1A"/>
          <w:sz w:val="23"/>
          <w:szCs w:val="23"/>
        </w:rPr>
        <w:t xml:space="preserve">Career level and requirements</w:t>
      </w:r>
    </w:p>
    <w:p>
      <w:pPr>
        <w:spacing w:after="40" w:line="238"/>
      </w:pPr>
      <w:r>
        <w:rPr>
          <w:rFonts w:ascii="Arial" w:cs="Arial" w:eastAsia="Arial" w:hAnsi="Arial"/>
          <w:b/>
          <w:bCs/>
          <w:color w:val="1A1A1A"/>
          <w:sz w:val="19"/>
          <w:szCs w:val="19"/>
        </w:rPr>
        <w:t xml:space="preserve">Level: </w:t>
      </w:r>
      <w:r>
        <w:rPr>
          <w:rFonts w:ascii="Arial" w:cs="Arial" w:eastAsia="Arial" w:hAnsi="Arial"/>
          <w:color w:val="1A1A1A"/>
          <w:sz w:val="19"/>
          <w:szCs w:val="19"/>
        </w:rPr>
        <w:t xml:space="preserve">Level V — Shaping — influences the way work is done at Rackspace</w:t>
      </w:r>
    </w:p>
    <w:p>
      <w:pPr>
        <w:spacing w:after="40" w:line="238"/>
      </w:pPr>
      <w:r>
        <w:rPr>
          <w:rFonts w:ascii="Arial" w:cs="Arial" w:eastAsia="Arial" w:hAnsi="Arial"/>
          <w:b/>
          <w:bCs/>
          <w:color w:val="1A1A1A"/>
          <w:sz w:val="19"/>
          <w:szCs w:val="19"/>
        </w:rPr>
        <w:t xml:space="preserve">Career level: </w:t>
      </w:r>
      <w:r>
        <w:rPr>
          <w:rFonts w:ascii="Arial" w:cs="Arial" w:eastAsia="Arial" w:hAnsi="Arial"/>
          <w:color w:val="1A1A1A"/>
          <w:sz w:val="19"/>
          <w:szCs w:val="19"/>
        </w:rPr>
        <w:t xml:space="preserve">Recognised as an expert within the company, with broad knowledge of other disciplines in the function. Solves unique problems with broad business impact and contributes to sub-function strategy. Progression is restricted on the basis of business requirements.</w:t>
      </w:r>
    </w:p>
    <w:p>
      <w:pPr>
        <w:spacing w:after="40" w:line="238"/>
      </w:pPr>
      <w:r>
        <w:rPr>
          <w:rFonts w:ascii="Arial" w:cs="Arial" w:eastAsia="Arial" w:hAnsi="Arial"/>
          <w:b/>
          <w:bCs/>
          <w:color w:val="1A1A1A"/>
          <w:sz w:val="19"/>
          <w:szCs w:val="19"/>
        </w:rPr>
        <w:t xml:space="preserve">Experience: </w:t>
      </w:r>
      <w:r>
        <w:rPr>
          <w:rFonts w:ascii="Arial" w:cs="Arial" w:eastAsia="Arial" w:hAnsi="Arial"/>
          <w:color w:val="1A1A1A"/>
          <w:sz w:val="19"/>
          <w:szCs w:val="19"/>
        </w:rPr>
        <w:t xml:space="preserve">12 – 14 years in the underlying engineering discipline, including at least 3 years applied to LLM-based or agentic systems.</w:t>
      </w:r>
    </w:p>
    <w:p>
      <w:pPr>
        <w:spacing w:after="40" w:line="238"/>
      </w:pPr>
      <w:r>
        <w:rPr>
          <w:rFonts w:ascii="Arial" w:cs="Arial" w:eastAsia="Arial" w:hAnsi="Arial"/>
          <w:b/>
          <w:bCs/>
          <w:color w:val="1A1A1A"/>
          <w:sz w:val="19"/>
          <w:szCs w:val="19"/>
        </w:rPr>
        <w:t xml:space="preserve">Education: </w:t>
      </w:r>
      <w:r>
        <w:rPr>
          <w:rFonts w:ascii="Arial" w:cs="Arial" w:eastAsia="Arial" w:hAnsi="Arial"/>
          <w:color w:val="1A1A1A"/>
          <w:sz w:val="19"/>
          <w:szCs w:val="19"/>
        </w:rPr>
        <w:t xml:space="preserve">Bachelor's Degree preferred in a field related to the role; additional relevant experience may substitute at the manager's discretion.</w:t>
      </w:r>
    </w:p>
    <w:p>
      <w:pPr>
        <w:spacing w:after="40" w:line="238"/>
      </w:pPr>
      <w:r>
        <w:rPr>
          <w:rFonts w:ascii="Arial" w:cs="Arial" w:eastAsia="Arial" w:hAnsi="Arial"/>
          <w:b/>
          <w:bCs/>
          <w:color w:val="1A1A1A"/>
          <w:sz w:val="19"/>
          <w:szCs w:val="19"/>
        </w:rPr>
        <w:t xml:space="preserve">Working pattern: </w:t>
      </w:r>
      <w:r>
        <w:rPr>
          <w:rFonts w:ascii="Arial" w:cs="Arial" w:eastAsia="Arial" w:hAnsi="Arial"/>
          <w:color w:val="1A1A1A"/>
          <w:sz w:val="19"/>
          <w:szCs w:val="19"/>
        </w:rPr>
        <w:t xml:space="preserve">Shift, on-call or alternative schedule may apply. No travel required.</w:t>
      </w:r>
    </w:p>
    <w:sectPr>
      <w:footerReference w:type="default" r:id="rId7"/>
      <w:pgSz w:w="11906" w:h="16838" w:orient="portrait"/>
      <w:pgMar w:top="760" w:right="960" w:bottom="7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4"/>
      </w:pBdr>
      <w:tabs>
        <w:tab w:val="right" w:pos="9026"/>
      </w:tabs>
    </w:pPr>
    <w:r>
      <w:rPr>
        <w:rFonts w:ascii="Arial" w:cs="Arial" w:eastAsia="Arial" w:hAnsi="Arial"/>
        <w:color w:val="595959"/>
        <w:sz w:val="14"/>
        <w:szCs w:val="14"/>
      </w:rPr>
      <w:t xml:space="preserve">Rackspace Technology  ·  Confidential — Internal use only</w:t>
    </w:r>
    <w:r>
      <w:rPr>
        <w:rFonts w:ascii="Arial" w:cs="Arial" w:eastAsia="Arial" w:hAnsi="Arial"/>
        <w:sz w:val="14"/>
        <w:szCs w:val="14"/>
      </w:rPr>
      <w:t xml:space="preserve">	</w:t>
    </w:r>
    <w:r>
      <w:rPr>
        <w:rFonts w:ascii="Arial" w:cs="Arial" w:eastAsia="Arial" w:hAnsi="Arial"/>
        <w:color w:val="595959"/>
        <w:sz w:val="14"/>
        <w:szCs w:val="14"/>
      </w:rPr>
      <w:t xml:space="preserve">Page </w:t>
    </w:r>
    <w:r>
      <w:rPr>
        <w:rFonts w:ascii="Arial" w:cs="Arial" w:eastAsia="Arial" w:hAnsi="Arial"/>
        <w:color w:val="59595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rPr>
        <w:rFonts w:ascii="Arial" w:cs="Arial" w:eastAsia="Arial" w:hAnsi="Arial"/>
        <w:color w:val="E400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2C14B45DD4C644BC96213ACB087480" ma:contentTypeVersion="3" ma:contentTypeDescription="Create a new document." ma:contentTypeScope="" ma:versionID="a73f04db5aba893f1d779be7421a2bb8">
  <xsd:schema xmlns:xsd="http://www.w3.org/2001/XMLSchema" xmlns:xs="http://www.w3.org/2001/XMLSchema" xmlns:p="http://schemas.microsoft.com/office/2006/metadata/properties" xmlns:ns2="39c84f24-a008-4cce-bb9c-5ad717601f75" targetNamespace="http://schemas.microsoft.com/office/2006/metadata/properties" ma:root="true" ma:fieldsID="7a3862965fe48b1ad119faff3af803b7" ns2:_="">
    <xsd:import namespace="39c84f24-a008-4cce-bb9c-5ad717601f7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c84f24-a008-4cce-bb9c-5ad717601f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5A1952-30F8-437C-B6F3-3B2D544C4D4C}"/>
</file>

<file path=customXml/itemProps2.xml><?xml version="1.0" encoding="utf-8"?>
<ds:datastoreItem xmlns:ds="http://schemas.openxmlformats.org/officeDocument/2006/customXml" ds:itemID="{6278E4FC-27BD-42D4-ACCF-90649528408E}"/>
</file>

<file path=customXml/itemProps3.xml><?xml version="1.0" encoding="utf-8"?>
<ds:datastoreItem xmlns:ds="http://schemas.openxmlformats.org/officeDocument/2006/customXml" ds:itemID="{6F3DA948-72A8-4864-92CA-B782B6E23EE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Governance Engineer V — RackAI</dc:title>
  <dc:creator>Rackspace Technology</dc:creator>
  <cp:lastModifiedBy>Un-named</cp:lastModifiedBy>
  <cp:revision>1</cp:revision>
  <dcterms:created xsi:type="dcterms:W3CDTF">2026-09-14T22:59:18Z</dcterms:created>
  <dcterms:modified xsi:type="dcterms:W3CDTF">2026-09-14T22:59:18Z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0x010100432C14B45DD4C644BC96213ACB087480</vt:lpwstr>
  </property>
</Properties>
</file>